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34" w:hanging="11"/>
        <w:jc w:val="center"/>
        <w:rPr>
          <w:b/>
          <w:szCs w:val="28"/>
        </w:rPr>
      </w:pPr>
      <w:r>
        <w:rPr>
          <w:b/>
          <w:szCs w:val="28"/>
        </w:rPr>
        <w:t xml:space="preserve">Обоснование </w:t>
        <w:br/>
        <w:t xml:space="preserve">начальной (максимальной) цены договора </w:t>
        <w:br/>
        <w:t>/ цены единицы товара, работы, услуги</w:t>
      </w:r>
    </w:p>
    <w:p>
      <w:pPr>
        <w:pStyle w:val="Normal"/>
        <w:rPr>
          <w:i/>
          <w:i/>
          <w:highlight w:val="yellow"/>
        </w:rPr>
      </w:pPr>
      <w:r>
        <w:rPr>
          <w:i/>
          <w:highlight w:val="yellow"/>
        </w:rPr>
      </w:r>
    </w:p>
    <w:p>
      <w:pPr>
        <w:pStyle w:val="ListParagraph"/>
        <w:numPr>
          <w:ilvl w:val="0"/>
          <w:numId w:val="2"/>
        </w:numPr>
        <w:spacing w:before="0" w:after="120"/>
        <w:ind w:left="714" w:hanging="357"/>
        <w:contextualSpacing w:val="false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Общая информация</w:t>
      </w:r>
    </w:p>
    <w:tbl>
      <w:tblPr>
        <w:tblStyle w:val="a3"/>
        <w:tblW w:w="938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8"/>
        <w:gridCol w:w="3686"/>
        <w:gridCol w:w="4991"/>
      </w:tblGrid>
      <w:tr>
        <w:trPr/>
        <w:tc>
          <w:tcPr>
            <w:tcW w:w="708" w:type="dxa"/>
            <w:tcBorders/>
          </w:tcPr>
          <w:p>
            <w:pPr>
              <w:pStyle w:val="ListParagraph"/>
              <w:widowControl/>
              <w:spacing w:before="120" w:after="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widowControl/>
              <w:spacing w:before="120" w:after="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Наименование</w:t>
            </w:r>
          </w:p>
        </w:tc>
        <w:tc>
          <w:tcPr>
            <w:tcW w:w="4991" w:type="dxa"/>
            <w:tcBorders/>
          </w:tcPr>
          <w:p>
            <w:pPr>
              <w:pStyle w:val="ListParagraph"/>
              <w:widowControl/>
              <w:spacing w:before="120" w:after="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Информация по лоту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ListParagraph"/>
              <w:widowControl/>
              <w:numPr>
                <w:ilvl w:val="1"/>
                <w:numId w:val="2"/>
              </w:numPr>
              <w:spacing w:before="0" w:after="12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widowControl/>
              <w:spacing w:before="120" w:after="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Наименование лота</w:t>
            </w:r>
          </w:p>
        </w:tc>
        <w:tc>
          <w:tcPr>
            <w:tcW w:w="4991" w:type="dxa"/>
            <w:tcBorders/>
          </w:tcPr>
          <w:p>
            <w:pPr>
              <w:pStyle w:val="Normal"/>
              <w:widowControl/>
              <w:spacing w:lineRule="auto" w:line="240" w:before="60" w:after="60"/>
              <w:ind w:hanging="0"/>
              <w:jc w:val="left"/>
              <w:rPr>
                <w:i/>
                <w:i/>
                <w:sz w:val="22"/>
                <w:szCs w:val="22"/>
                <w:lang w:eastAsia="en-US"/>
              </w:rPr>
            </w:pPr>
            <w:r>
              <w:rPr>
                <w:i/>
                <w:kern w:val="0"/>
                <w:sz w:val="22"/>
                <w:szCs w:val="22"/>
                <w:lang w:val="ru-RU" w:eastAsia="en-US" w:bidi="ar-SA"/>
              </w:rPr>
              <w:t>ОКПД2 43.22.11.190 Монтаж и наладка водопроводных систем полива грунтовой плотины № 40 Волжской ГЭС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ListParagraph"/>
              <w:widowControl/>
              <w:numPr>
                <w:ilvl w:val="1"/>
                <w:numId w:val="2"/>
              </w:numPr>
              <w:spacing w:before="0" w:after="12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widowControl/>
              <w:spacing w:before="120" w:after="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Номер лота</w:t>
            </w:r>
          </w:p>
        </w:tc>
        <w:tc>
          <w:tcPr>
            <w:tcW w:w="4991" w:type="dxa"/>
            <w:tcBorders/>
          </w:tcPr>
          <w:p>
            <w:pPr>
              <w:pStyle w:val="Normal"/>
              <w:widowControl/>
              <w:spacing w:before="60" w:after="60"/>
              <w:ind w:hanging="0"/>
              <w:jc w:val="left"/>
              <w:rPr>
                <w:i/>
                <w:i/>
                <w:sz w:val="22"/>
                <w:szCs w:val="22"/>
                <w:shd w:fill="FFFF99" w:val="clear"/>
              </w:rPr>
            </w:pPr>
            <w:r>
              <w:rPr>
                <w:i/>
                <w:kern w:val="0"/>
                <w:sz w:val="22"/>
                <w:szCs w:val="22"/>
                <w:lang w:val="ru-RU" w:eastAsia="en-US" w:bidi="ar-SA"/>
              </w:rPr>
              <w:t>0044-ТПиР ОБСЛ-2026-ВолГЭС</w:t>
            </w:r>
          </w:p>
        </w:tc>
      </w:tr>
      <w:tr>
        <w:trPr/>
        <w:tc>
          <w:tcPr>
            <w:tcW w:w="708" w:type="dxa"/>
            <w:tcBorders/>
          </w:tcPr>
          <w:p>
            <w:pPr>
              <w:pStyle w:val="ListParagraph"/>
              <w:widowControl/>
              <w:numPr>
                <w:ilvl w:val="1"/>
                <w:numId w:val="2"/>
              </w:numPr>
              <w:spacing w:before="0" w:after="12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</w:r>
          </w:p>
        </w:tc>
        <w:tc>
          <w:tcPr>
            <w:tcW w:w="3686" w:type="dxa"/>
            <w:tcBorders/>
          </w:tcPr>
          <w:p>
            <w:pPr>
              <w:pStyle w:val="ListParagraph"/>
              <w:widowControl/>
              <w:spacing w:before="120" w:after="0"/>
              <w:ind w:left="0" w:hanging="0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НМЦ</w:t>
            </w:r>
          </w:p>
        </w:tc>
        <w:tc>
          <w:tcPr>
            <w:tcW w:w="4991" w:type="dxa"/>
            <w:tcBorders/>
          </w:tcPr>
          <w:p>
            <w:pPr>
              <w:pStyle w:val="Normal"/>
              <w:widowControl/>
              <w:spacing w:lineRule="auto" w:line="240" w:before="60" w:after="60"/>
              <w:ind w:hanging="0"/>
              <w:jc w:val="left"/>
              <w:rPr>
                <w:i/>
                <w:i/>
                <w:sz w:val="22"/>
                <w:szCs w:val="22"/>
                <w:shd w:fill="FFFF99" w:val="clear"/>
              </w:rPr>
            </w:pPr>
            <w:r>
              <w:rPr>
                <w:i/>
                <w:kern w:val="0"/>
                <w:sz w:val="22"/>
                <w:szCs w:val="22"/>
                <w:lang w:val="ru-RU" w:eastAsia="en-US" w:bidi="ar-SA"/>
              </w:rPr>
              <w:t>220 137 308,15  руб. без НДС</w:t>
            </w:r>
          </w:p>
        </w:tc>
      </w:tr>
    </w:tbl>
    <w:p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false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lineRule="auto" w:line="240" w:before="0" w:after="120"/>
        <w:ind w:left="360" w:hanging="0"/>
        <w:rPr>
          <w:rFonts w:eastAsia="Geneva"/>
          <w:bCs/>
          <w:sz w:val="26"/>
          <w:szCs w:val="26"/>
          <w:lang w:eastAsia="en-US"/>
        </w:rPr>
      </w:pPr>
      <w:r>
        <w:rPr>
          <w:rFonts w:eastAsia="Geneva"/>
          <w:bCs/>
          <w:sz w:val="26"/>
          <w:szCs w:val="26"/>
          <w:lang w:eastAsia="en-US"/>
        </w:rPr>
        <w:t>Ресурсно-индексный метод</w:t>
      </w:r>
    </w:p>
    <w:p>
      <w:pPr>
        <w:pStyle w:val="Normal"/>
        <w:spacing w:lineRule="auto" w:line="240" w:before="0" w:after="120"/>
        <w:ind w:left="360" w:hanging="0"/>
        <w:rPr>
          <w:sz w:val="26"/>
        </w:rPr>
      </w:pPr>
      <w:r>
        <w:rPr>
          <w:rFonts w:eastAsia="Geneva"/>
          <w:bCs/>
          <w:sz w:val="26"/>
          <w:szCs w:val="26"/>
          <w:lang w:eastAsia="en-US"/>
        </w:rPr>
        <w:t xml:space="preserve">Обоснование расчета НМЦ: прилагаемые сметные расчеты (в составе Приложения № </w:t>
      </w:r>
      <w:bookmarkStart w:id="0" w:name="_GoBack"/>
      <w:bookmarkEnd w:id="0"/>
      <w:r>
        <w:rPr>
          <w:rFonts w:eastAsia="Geneva"/>
          <w:bCs/>
          <w:sz w:val="26"/>
          <w:szCs w:val="26"/>
          <w:lang w:eastAsia="en-US"/>
        </w:rPr>
        <w:t>10</w:t>
      </w:r>
      <w:r>
        <w:rPr>
          <w:rFonts w:eastAsia="Geneva"/>
          <w:bCs/>
          <w:sz w:val="26"/>
          <w:szCs w:val="26"/>
          <w:lang w:eastAsia="en-US"/>
        </w:rPr>
        <w:t xml:space="preserve"> к Техническим Требованиям.)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Geneva C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3418d"/>
    <w:pPr>
      <w:widowControl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e3418d"/>
    <w:rPr>
      <w:rFonts w:ascii="Geneva CY" w:hAnsi="Geneva CY" w:eastAsia="Geneva" w:cs="Times New Roman"/>
      <w:sz w:val="24"/>
      <w:szCs w:val="26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link w:val="Style9"/>
    <w:uiPriority w:val="34"/>
    <w:qFormat/>
    <w:rsid w:val="00e3418d"/>
    <w:pPr>
      <w:spacing w:lineRule="auto" w:line="240" w:before="120" w:after="0"/>
      <w:ind w:left="720" w:hanging="0"/>
      <w:contextualSpacing/>
      <w:jc w:val="left"/>
    </w:pPr>
    <w:rPr>
      <w:rFonts w:ascii="Geneva CY" w:hAnsi="Geneva CY" w:eastAsia="Geneva"/>
      <w:sz w:val="24"/>
      <w:szCs w:val="26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418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AlterOffice/3.4.0.9$Linux_X86_64 LibreOffice_project/b8daf9e823b1a5463a2f48435ddc2e8696e7d4fc</Application>
  <AppVersion>15.0000</AppVersion>
  <Pages>1</Pages>
  <Words>78</Words>
  <Characters>489</Characters>
  <CharactersWithSpaces>551</CharactersWithSpaces>
  <Paragraphs>17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2026-08-18T08:40:00Z</dcterms:created>
  <dc:creator>Несмеянова Татьяна Евгеньевна</dc:creator>
  <dc:description/>
  <dc:language>ru-RU</dc:language>
  <cp:lastModifiedBy/>
  <dcterms:modified xsi:type="dcterms:W3CDTF">2026-08-20T16:55:39Z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