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jc w:val="right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0" distB="0" distL="635" distR="0" simplePos="0" locked="0" layoutInCell="0" allowOverlap="1" relativeHeight="3" wp14:anchorId="728695E9">
                <wp:simplePos x="0" y="0"/>
                <wp:positionH relativeFrom="column">
                  <wp:posOffset>1228725</wp:posOffset>
                </wp:positionH>
                <wp:positionV relativeFrom="paragraph">
                  <wp:posOffset>-66675</wp:posOffset>
                </wp:positionV>
                <wp:extent cx="5074285" cy="1679575"/>
                <wp:effectExtent l="635" t="0" r="0" b="0"/>
                <wp:wrapNone/>
                <wp:docPr id="1" name="Надпись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4200" cy="1679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6"/>
                              <w:spacing w:before="120" w:after="120"/>
                              <w:ind w:left="2410" w:firstLine="142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36"/>
                              <w:ind w:firstLine="269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3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3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3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36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" path="m0,0l-2147483645,0l-2147483645,-2147483646l0,-2147483646xe" stroked="f" o:allowincell="f" style="position:absolute;margin-left:96.75pt;margin-top:-5.25pt;width:399.5pt;height:132.2pt;mso-wrap-style:square;v-text-anchor:top" wp14:anchorId="728695E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36"/>
                        <w:spacing w:before="120" w:after="120"/>
                        <w:ind w:left="2410" w:firstLine="142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Style36"/>
                        <w:ind w:firstLine="269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3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3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3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36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bookmarkStart w:id="0" w:name="_GoBack_Копия_1"/>
      <w:bookmarkStart w:id="1" w:name="_GoBack_Копия_1"/>
      <w:bookmarkEnd w:id="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/>
      </w:pPr>
      <w:r>
        <w:rPr>
          <w:rFonts w:eastAsia="Times New Roman" w:cs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  <w:t xml:space="preserve">ОКПД2 74.20.23.000 Услуги съемки и монтажа видеоролика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</w:pPr>
      <w:r>
        <w:rPr>
          <w:rFonts w:eastAsia="Times New Roman" w:cs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b/>
          <w:bCs/>
          <w:i w:val="false"/>
          <w:i w:val="false"/>
          <w:iCs w:val="false"/>
        </w:rPr>
      </w:pPr>
      <w:r>
        <w:rPr>
          <w:rFonts w:eastAsia="Calibri"/>
          <w:b/>
          <w:bCs/>
          <w:i w:val="false"/>
          <w:iCs w:val="false"/>
          <w:sz w:val="28"/>
          <w:szCs w:val="28"/>
        </w:rPr>
        <w:t>«У</w:t>
      </w:r>
      <w:r>
        <w:rPr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слуги по съемке вводного инструктажа в формате видеоролика для нужд филиала ПАО «РусГидро» - «Камская ГЭС» в рамках реализации коммуникационных проектов, посвященных Году охраны труда в РусГидро</w:t>
      </w:r>
      <w:r>
        <w:rPr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 в 2026 году»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before="0" w:after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/>
      </w:pPr>
      <w:r>
        <w:rPr/>
        <w:t>г. Пермь</w:t>
      </w:r>
    </w:p>
    <w:p>
      <w:pPr>
        <w:pStyle w:val="Normal"/>
        <w:jc w:val="center"/>
        <w:rPr/>
      </w:pPr>
      <w:r>
        <w:rPr/>
        <w:t>2026 г.</w:t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5"/>
              <w:vanish w:val="false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</w:rPr>
            <w:fldChar w:fldCharType="separate"/>
          </w:r>
          <w:hyperlink w:anchor="__RefHeading___Toc83409_3380148450">
            <w:r>
              <w:rPr>
                <w:webHidden/>
                <w:rStyle w:val="Style15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411_3380148450">
            <w:r>
              <w:rPr>
                <w:webHidden/>
                <w:rStyle w:val="Style15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413_3380148450">
            <w:r>
              <w:rPr>
                <w:webHidden/>
                <w:rStyle w:val="Style15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415_3380148450">
            <w:r>
              <w:rPr>
                <w:webHidden/>
                <w:rStyle w:val="Style15"/>
                <w:vanish w:val="false"/>
              </w:rPr>
              <w:t>1.3. Цель оказания Услуг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417_3380148450">
            <w:r>
              <w:rPr>
                <w:webHidden/>
                <w:rStyle w:val="Style15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419_3380148450">
            <w:r>
              <w:rPr>
                <w:webHidden/>
                <w:rStyle w:val="Style15"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421_3380148450">
            <w:r>
              <w:rPr>
                <w:webHidden/>
                <w:rStyle w:val="Style15"/>
                <w:i w:val="false"/>
                <w:iCs w:val="false"/>
                <w:vanish w:val="false"/>
              </w:rPr>
              <w:t>Договор заключается по форме заказчика.</w:t>
            </w:r>
            <w:r>
              <w:rPr>
                <w:rStyle w:val="Style15"/>
              </w:rPr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423_3380148450">
            <w:r>
              <w:rPr>
                <w:webHidden/>
                <w:rStyle w:val="Style15"/>
                <w:vanish w:val="false"/>
              </w:rPr>
              <w:t>2. Требования к услугам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425_3380148450">
            <w:r>
              <w:rPr>
                <w:webHidden/>
                <w:rStyle w:val="Style15"/>
                <w:vanish w:val="false"/>
              </w:rPr>
              <w:t>2.1. Требования к объемам и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427_3380148450">
            <w:r>
              <w:rPr>
                <w:webHidden/>
                <w:rStyle w:val="Style15"/>
                <w:vanish w:val="false"/>
              </w:rPr>
              <w:t>2.1.1. Требования к перечню и объему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429_3380148450">
            <w:r>
              <w:rPr>
                <w:webHidden/>
                <w:rStyle w:val="Style15"/>
                <w:vanish w:val="false"/>
              </w:rPr>
              <w:t>Таблица 2. Перечень и объем оказываемых услуг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33143_428345931">
            <w:r>
              <w:rPr>
                <w:webHidden/>
                <w:rStyle w:val="Style15"/>
                <w:vanish w:val="false"/>
              </w:rPr>
              <w:t>2.1.2.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33147_428345931">
            <w:r>
              <w:rPr>
                <w:webHidden/>
                <w:rStyle w:val="Style15"/>
                <w:vanish w:val="false"/>
              </w:rPr>
              <w:t>2.2. Требования к качеству услуг</w:t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rPr>
              <w:vanish w:val="false"/>
            </w:rPr>
            <w:t>3</w:t>
          </w:r>
          <w:hyperlink w:anchor="__RefHeading___Toc83433_3380148450">
            <w:r>
              <w:rPr>
                <w:webHidden/>
                <w:rStyle w:val="Style15"/>
                <w:vanish w:val="false"/>
              </w:rPr>
              <w:t>. Требования к документации на этапе закупки</w:t>
              <w:tab/>
              <w:t>9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438_3380148450">
            <w:r>
              <w:rPr>
                <w:webHidden/>
                <w:rStyle w:val="Style15"/>
                <w:vanish w:val="false"/>
              </w:rPr>
              <w:t>Приложение № 1</w:t>
              <w:tab/>
              <w:t>10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442_3380148450">
            <w:r>
              <w:rPr>
                <w:webHidden/>
                <w:rStyle w:val="Style15"/>
                <w:vanish w:val="false"/>
              </w:rPr>
              <w:t>Приложение № 2</w:t>
              <w:tab/>
              <w:t>11</w:t>
            </w:r>
          </w:hyperlink>
          <w:r>
            <w:rPr>
              <w:rStyle w:val="Style15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21" w:leader="dot"/>
        </w:tabs>
        <w:rPr>
          <w:vanish w:val="false"/>
        </w:rPr>
      </w:pPr>
      <w:r>
        <w:rPr>
          <w:vanish w:val="false"/>
        </w:rPr>
      </w:r>
    </w:p>
    <w:p>
      <w:pPr>
        <w:pStyle w:val="Heading2"/>
        <w:rPr>
          <w:i/>
          <w:i/>
        </w:rPr>
      </w:pPr>
      <w:r>
        <w:rPr>
          <w:i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/>
      </w:pPr>
      <w:bookmarkStart w:id="2" w:name="__RefHeading___Toc83409_3380148450"/>
      <w:bookmarkStart w:id="3" w:name="_Toc167105912"/>
      <w:bookmarkEnd w:id="2"/>
      <w:r>
        <w:rPr/>
        <w:t>Общие сведения</w:t>
      </w:r>
      <w:bookmarkEnd w:id="3"/>
    </w:p>
    <w:p>
      <w:pPr>
        <w:pStyle w:val="Heading4"/>
        <w:numPr>
          <w:ilvl w:val="1"/>
          <w:numId w:val="3"/>
        </w:numPr>
        <w:spacing w:before="0" w:after="60"/>
        <w:ind w:left="0" w:hanging="0"/>
        <w:rPr/>
      </w:pPr>
      <w:bookmarkStart w:id="4" w:name="__RefHeading___Toc83411_3380148450"/>
      <w:bookmarkStart w:id="5" w:name="_Toc124414617"/>
      <w:bookmarkStart w:id="6" w:name="_Toc167105913"/>
      <w:bookmarkStart w:id="7" w:name="_Toc46743505"/>
      <w:bookmarkEnd w:id="4"/>
      <w:r>
        <w:rPr/>
        <w:t>Обозначения и сокращения</w:t>
      </w:r>
      <w:bookmarkEnd w:id="5"/>
      <w:bookmarkEnd w:id="6"/>
      <w:bookmarkEnd w:id="7"/>
      <w:r>
        <w:rPr/>
        <w:t xml:space="preserve"> 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73"/>
        <w:gridCol w:w="7709"/>
      </w:tblGrid>
      <w:tr>
        <w:trPr>
          <w:cantSplit w:val="true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rPr>
                <w:rStyle w:val="Style8"/>
                <w:rFonts w:eastAsia="Calibri"/>
                <w:b w:val="false"/>
                <w:bCs/>
                <w:i w:val="false"/>
                <w:i w:val="false"/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left"/>
              <w:rPr/>
            </w:pPr>
            <w:r>
              <w:rPr>
                <w:sz w:val="24"/>
                <w:szCs w:val="24"/>
              </w:rPr>
              <w:t>Публичное акционерное общество «Федеральная гидрогенерирующая компания – РусГидро» (ПАО «РусГидро»)</w:t>
            </w:r>
          </w:p>
        </w:tc>
      </w:tr>
      <w:tr>
        <w:trPr>
          <w:cantSplit w:val="true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left"/>
              <w:rPr/>
            </w:pPr>
            <w:r>
              <w:rPr>
                <w:sz w:val="24"/>
                <w:szCs w:val="24"/>
              </w:rPr>
              <w:t>Подразделение Заказчика (функциональный Заказчик)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sz w:val="24"/>
                <w:szCs w:val="24"/>
              </w:rPr>
              <w:t>Филиал Публичного акционерного общества «Федеральная гидрогенерирующая компания - РусГидро» - «Камская ГЭС»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left"/>
              <w:rPr/>
            </w:pPr>
            <w:r>
              <w:rPr>
                <w:sz w:val="24"/>
                <w:szCs w:val="24"/>
              </w:rPr>
              <w:t>(Филиал ПАО «РусГидро» – «Камская ГЭС»)</w:t>
            </w:r>
          </w:p>
        </w:tc>
      </w:tr>
      <w:tr>
        <w:trPr>
          <w:cantSplit w:val="true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Мероприятие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Год охраны труда в РусГидро в 2026 году</w:t>
            </w:r>
          </w:p>
        </w:tc>
      </w:tr>
    </w:tbl>
    <w:p>
      <w:pPr>
        <w:pStyle w:val="Heading4"/>
        <w:rPr>
          <w:lang w:val="ru-RU"/>
        </w:rPr>
      </w:pPr>
      <w:r>
        <w:rPr>
          <w:lang w:val="ru-RU"/>
        </w:rPr>
      </w:r>
    </w:p>
    <w:p>
      <w:pPr>
        <w:pStyle w:val="Normal"/>
        <w:rPr>
          <w:rFonts w:eastAsia="Calibri"/>
          <w:b/>
          <w:bCs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eastAsia="x-none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0" w:after="60"/>
        <w:ind w:left="0" w:hanging="0"/>
        <w:rPr/>
      </w:pPr>
      <w:bookmarkStart w:id="8" w:name="__RefHeading___Toc83413_3380148450"/>
      <w:bookmarkStart w:id="9" w:name="_Toc167105914"/>
      <w:bookmarkStart w:id="10" w:name="_Toc46743506"/>
      <w:bookmarkEnd w:id="8"/>
      <w:r>
        <w:rPr/>
        <w:t>Наименование закупаемой продукции</w:t>
      </w:r>
      <w:bookmarkEnd w:id="9"/>
      <w:bookmarkEnd w:id="10"/>
    </w:p>
    <w:p>
      <w:pPr>
        <w:pStyle w:val="Normal"/>
        <w:spacing w:before="0" w:after="0"/>
        <w:rPr/>
      </w:pPr>
      <w:r>
        <w:rPr>
          <w:rFonts w:eastAsia="Calibri"/>
          <w:b/>
          <w:bCs/>
          <w:i/>
          <w:iCs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У</w:t>
      </w:r>
      <w:r>
        <w:rPr>
          <w:rFonts w:eastAsia="Calibri"/>
          <w:b/>
          <w:bCs/>
          <w:i/>
          <w:iCs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слуги по съемке вводного инструктажа в формате видеоролика для нужд филиала ПАО «РусГидро» - «Камская ГЭС» в рамках реализации коммуникационных проектов, посвященных Году охраны труда в РусГидро</w:t>
      </w:r>
      <w:r>
        <w:rPr>
          <w:rFonts w:eastAsia="Calibri"/>
          <w:b/>
          <w:bCs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 в 2026 году</w:t>
      </w:r>
      <w:r>
        <w:rPr>
          <w:rFonts w:eastAsia="Calibri"/>
          <w:i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(далее – «Услуги»).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60"/>
        <w:ind w:left="0" w:hanging="0"/>
        <w:rPr/>
      </w:pPr>
      <w:bookmarkStart w:id="11" w:name="__RefHeading___Toc83415_3380148450"/>
      <w:bookmarkStart w:id="12" w:name="_Toc167105915"/>
      <w:bookmarkStart w:id="13" w:name="_Toc46743507"/>
      <w:bookmarkEnd w:id="11"/>
      <w:r>
        <w:rPr/>
        <w:t xml:space="preserve">Цель </w:t>
      </w:r>
      <w:bookmarkEnd w:id="13"/>
      <w:r>
        <w:rPr/>
        <w:t xml:space="preserve">оказания </w:t>
      </w:r>
      <w:r>
        <w:rPr>
          <w:lang w:val="ru-RU"/>
        </w:rPr>
        <w:t>У</w:t>
      </w:r>
      <w:r>
        <w:rPr/>
        <w:t>слуг</w:t>
      </w:r>
      <w:bookmarkEnd w:id="12"/>
      <w:r>
        <w:rPr/>
        <w:t xml:space="preserve"> </w:t>
      </w:r>
    </w:p>
    <w:p>
      <w:pPr>
        <w:pStyle w:val="Style35"/>
        <w:widowControl/>
        <w:suppressAutoHyphens w:val="true"/>
        <w:bidi w:val="0"/>
        <w:spacing w:before="40" w:after="40"/>
        <w:ind w:left="0" w:right="57" w:hanging="0"/>
        <w:jc w:val="both"/>
        <w:rPr/>
      </w:pPr>
      <w:r>
        <w:rPr>
          <w:rStyle w:val="Style8"/>
          <w:rFonts w:eastAsia="Times New Roman" w:cs="Times New Roman"/>
          <w:b w:val="false"/>
          <w:bCs w:val="false"/>
          <w:i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Основной целью оказания услуг является подготовка видеоролика «Вводный инструктаж» для демонстрации сотрудникам и подрядчикам филиала ПАО «РусГидро» - «Камская ГЭС»</w:t>
      </w:r>
    </w:p>
    <w:p>
      <w:pPr>
        <w:pStyle w:val="Normal"/>
        <w:spacing w:before="0" w:after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60"/>
        <w:ind w:left="0" w:hanging="0"/>
        <w:rPr/>
      </w:pPr>
      <w:bookmarkStart w:id="14" w:name="__RefHeading___Toc83417_3380148450"/>
      <w:bookmarkStart w:id="15" w:name="_Toc54643698"/>
      <w:bookmarkStart w:id="16" w:name="_Toc167105916"/>
      <w:bookmarkEnd w:id="14"/>
      <w:r>
        <w:rPr/>
        <w:t>Существующее положение</w:t>
      </w:r>
      <w:bookmarkEnd w:id="15"/>
      <w:bookmarkEnd w:id="16"/>
    </w:p>
    <w:p>
      <w:pPr>
        <w:pStyle w:val="Normal"/>
        <w:keepNext w:val="true"/>
        <w:keepLines/>
        <w:numPr>
          <w:ilvl w:val="0"/>
          <w:numId w:val="0"/>
        </w:numPr>
        <w:spacing w:before="0" w:after="0"/>
        <w:ind w:left="0" w:hanging="0"/>
        <w:jc w:val="left"/>
        <w:outlineLvl w:val="0"/>
        <w:rPr>
          <w:rFonts w:eastAsia="Calibri"/>
          <w:b/>
          <w:sz w:val="24"/>
          <w:szCs w:val="24"/>
          <w:lang w:eastAsia="x-none"/>
        </w:rPr>
      </w:pPr>
      <w:bookmarkStart w:id="17" w:name="__RefHeading___Toc83419_3380148450"/>
      <w:bookmarkStart w:id="18" w:name="_Toc167105917"/>
      <w:bookmarkStart w:id="19" w:name="_Toc54643699"/>
      <w:bookmarkEnd w:id="17"/>
      <w:r>
        <w:rPr>
          <w:rFonts w:eastAsia="Calibri"/>
          <w:b/>
          <w:sz w:val="24"/>
          <w:szCs w:val="24"/>
          <w:lang w:val="x-none" w:eastAsia="x-none"/>
        </w:rPr>
        <w:t>Таблица 1</w:t>
      </w:r>
      <w:r>
        <w:rPr>
          <w:rFonts w:eastAsia="Calibri"/>
          <w:b/>
          <w:sz w:val="24"/>
          <w:szCs w:val="24"/>
          <w:lang w:eastAsia="x-none"/>
        </w:rPr>
        <w:t>.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 xml:space="preserve">Перечень объектов </w:t>
      </w:r>
      <w:bookmarkEnd w:id="19"/>
      <w:r>
        <w:rPr>
          <w:rFonts w:eastAsia="Calibri"/>
          <w:b/>
          <w:sz w:val="24"/>
          <w:szCs w:val="24"/>
          <w:lang w:eastAsia="x-none"/>
        </w:rPr>
        <w:t>Заказчика</w:t>
      </w:r>
      <w:bookmarkEnd w:id="18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25"/>
        <w:gridCol w:w="3826"/>
        <w:gridCol w:w="2406"/>
        <w:gridCol w:w="2863"/>
      </w:tblGrid>
      <w:tr>
        <w:trPr/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b/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/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20" w:hRule="atLeast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bidi w:val="0"/>
              <w:spacing w:before="0" w:after="0"/>
              <w:ind w:left="227" w:right="454" w:hanging="0"/>
              <w:contextualSpacing/>
              <w:jc w:val="right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Calibri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У</w:t>
            </w:r>
            <w:r>
              <w:rPr>
                <w:rFonts w:eastAsia="Calibri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слуги по съемке вводного инструктажа в формате видеоролика для нужд филиала ПАО «РусГидро» - «Камская ГЭС» в рамках реализации коммуникационных проектов, посвященных Году охраны труда в РусГидро в 2026 году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Пермь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Внешние и внутренние группы общественности Филиала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0" w:after="0"/>
        <w:ind w:left="0" w:hanging="0"/>
        <w:jc w:val="left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</w:r>
    </w:p>
    <w:p>
      <w:pPr>
        <w:pStyle w:val="Style35"/>
        <w:numPr>
          <w:ilvl w:val="0"/>
          <w:numId w:val="0"/>
        </w:numPr>
        <w:spacing w:before="0" w:after="0"/>
        <w:ind w:left="0" w:right="57" w:hanging="0"/>
        <w:jc w:val="left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20" w:name="__RefHeading___Toc83421_3380148450"/>
      <w:bookmarkEnd w:id="20"/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  <w:lang w:val="x-none" w:eastAsia="x-none"/>
        </w:rPr>
        <w:t>Договор заключается по форме заказчика.</w:t>
      </w:r>
    </w:p>
    <w:p>
      <w:pPr>
        <w:pStyle w:val="ListParagraph"/>
        <w:spacing w:before="0" w:after="0"/>
        <w:ind w:left="0" w:hanging="0"/>
        <w:contextualSpacing/>
        <w:rPr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/>
      </w:pPr>
      <w:bookmarkStart w:id="21" w:name="__RefHeading___Toc83423_3380148450"/>
      <w:bookmarkStart w:id="22" w:name="_Toc167105918"/>
      <w:bookmarkStart w:id="23" w:name="_Toc51339693"/>
      <w:bookmarkStart w:id="24" w:name="_Toc50125126"/>
      <w:bookmarkStart w:id="25" w:name="_Toc121322469_Копия_1"/>
      <w:bookmarkStart w:id="26" w:name="_Toc46743508_Копия_1"/>
      <w:bookmarkEnd w:id="21"/>
      <w:bookmarkEnd w:id="24"/>
      <w:bookmarkEnd w:id="25"/>
      <w:bookmarkEnd w:id="26"/>
      <w:r>
        <w:rPr/>
        <w:t xml:space="preserve">Требования к </w:t>
      </w:r>
      <w:bookmarkEnd w:id="22"/>
      <w:bookmarkEnd w:id="23"/>
      <w:r>
        <w:rPr/>
        <w:t>услугам</w:t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left="0" w:hanging="0"/>
        <w:jc w:val="left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27" w:name="__RefHeading___Toc83425_3380148450"/>
      <w:bookmarkEnd w:id="27"/>
      <w:r>
        <w:rPr>
          <w:rFonts w:eastAsia="Calibri"/>
          <w:b/>
          <w:bCs/>
          <w:sz w:val="24"/>
          <w:szCs w:val="24"/>
          <w:lang w:val="x-none" w:eastAsia="x-none"/>
        </w:rPr>
        <w:t>2.1. Перечень и объем оказываемых услуг</w:t>
      </w:r>
    </w:p>
    <w:p>
      <w:pPr>
        <w:pStyle w:val="ListParagraph"/>
        <w:widowControl/>
        <w:tabs>
          <w:tab w:val="clear" w:pos="708"/>
          <w:tab w:val="left" w:pos="796" w:leader="none"/>
        </w:tabs>
        <w:suppressAutoHyphens w:val="false"/>
        <w:spacing w:before="0" w:after="0"/>
        <w:ind w:left="1077" w:right="0" w:hanging="340"/>
        <w:contextualSpacing/>
        <w:jc w:val="both"/>
        <w:rPr>
          <w:rFonts w:ascii="Times New Roman" w:hAnsi="Times New Roman" w:eastAsia="Calibri"/>
          <w:b/>
          <w:bCs/>
          <w:sz w:val="24"/>
          <w:szCs w:val="24"/>
          <w:lang w:val="x-none" w:eastAsia="x-none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</w:r>
    </w:p>
    <w:p>
      <w:pPr>
        <w:pStyle w:val="ListParagraph"/>
        <w:widowControl/>
        <w:numPr>
          <w:ilvl w:val="0"/>
          <w:numId w:val="9"/>
        </w:numPr>
        <w:tabs>
          <w:tab w:val="clear" w:pos="708"/>
          <w:tab w:val="left" w:pos="796" w:leader="none"/>
        </w:tabs>
        <w:suppressAutoHyphens w:val="false"/>
        <w:spacing w:before="0" w:after="0"/>
        <w:ind w:left="1077" w:right="0" w:hanging="340"/>
        <w:contextualSpacing/>
        <w:jc w:val="both"/>
        <w:rPr/>
      </w:pPr>
      <w:r>
        <w:rPr>
          <w:sz w:val="24"/>
          <w:szCs w:val="24"/>
        </w:rPr>
        <w:t>Разработка сценария и организация съемки, подбор персонажей, согласование материала.</w:t>
      </w:r>
    </w:p>
    <w:p>
      <w:pPr>
        <w:pStyle w:val="ListParagraph"/>
        <w:widowControl/>
        <w:numPr>
          <w:ilvl w:val="0"/>
          <w:numId w:val="9"/>
        </w:numPr>
        <w:tabs>
          <w:tab w:val="clear" w:pos="708"/>
          <w:tab w:val="left" w:pos="796" w:leader="none"/>
        </w:tabs>
        <w:suppressAutoHyphens w:val="false"/>
        <w:spacing w:before="0" w:after="0"/>
        <w:ind w:left="1077" w:right="0" w:hanging="340"/>
        <w:contextualSpacing/>
        <w:jc w:val="both"/>
        <w:rPr/>
      </w:pPr>
      <w:r>
        <w:rPr>
          <w:sz w:val="24"/>
          <w:szCs w:val="24"/>
        </w:rPr>
        <w:t>В</w:t>
      </w:r>
      <w:r>
        <w:rPr>
          <w:rFonts w:eastAsia="Calibri" w:cs="Times New Roman"/>
          <w:color w:val="000000"/>
          <w:kern w:val="0"/>
          <w:lang w:val="ru-RU" w:eastAsia="en-US" w:bidi="ar-SA"/>
        </w:rPr>
        <w:t>ычитка и корректировка текста для озвучки.</w:t>
      </w:r>
    </w:p>
    <w:p>
      <w:pPr>
        <w:pStyle w:val="ListParagraph"/>
        <w:widowControl/>
        <w:numPr>
          <w:ilvl w:val="0"/>
          <w:numId w:val="9"/>
        </w:numPr>
        <w:tabs>
          <w:tab w:val="clear" w:pos="708"/>
          <w:tab w:val="left" w:pos="796" w:leader="none"/>
        </w:tabs>
        <w:suppressAutoHyphens w:val="false"/>
        <w:spacing w:before="0" w:after="0"/>
        <w:ind w:left="1077" w:right="0" w:hanging="340"/>
        <w:contextualSpacing/>
        <w:jc w:val="both"/>
        <w:rPr/>
      </w:pPr>
      <w:r>
        <w:rPr>
          <w:sz w:val="24"/>
          <w:szCs w:val="24"/>
        </w:rPr>
        <w:t>Услуги постановщика, видеографа, звукорежиссера и монтажника.</w:t>
      </w:r>
    </w:p>
    <w:p>
      <w:pPr>
        <w:pStyle w:val="ListParagraph"/>
        <w:widowControl/>
        <w:numPr>
          <w:ilvl w:val="0"/>
          <w:numId w:val="9"/>
        </w:numPr>
        <w:tabs>
          <w:tab w:val="clear" w:pos="708"/>
          <w:tab w:val="left" w:pos="796" w:leader="none"/>
        </w:tabs>
        <w:suppressAutoHyphens w:val="false"/>
        <w:spacing w:before="0" w:after="0"/>
        <w:ind w:left="1077" w:right="0" w:hanging="340"/>
        <w:contextualSpacing/>
        <w:jc w:val="both"/>
        <w:rPr/>
      </w:pPr>
      <w:r>
        <w:rPr>
          <w:rFonts w:eastAsia="Calibri" w:cs="Times New Roman"/>
          <w:color w:val="000000"/>
          <w:kern w:val="0"/>
          <w:lang w:val="ru-RU" w:eastAsia="en-US" w:bidi="ar-SA"/>
        </w:rPr>
        <w:t>Подготовка и организация съёмочного процесса.</w:t>
      </w:r>
    </w:p>
    <w:p>
      <w:pPr>
        <w:pStyle w:val="ListParagraph"/>
        <w:widowControl/>
        <w:tabs>
          <w:tab w:val="clear" w:pos="708"/>
          <w:tab w:val="left" w:pos="796" w:leader="none"/>
        </w:tabs>
        <w:suppressAutoHyphens w:val="false"/>
        <w:spacing w:before="0" w:after="0"/>
        <w:ind w:left="1077" w:right="0" w:hanging="340"/>
        <w:contextualSpacing/>
        <w:jc w:val="both"/>
        <w:rPr>
          <w:rFonts w:eastAsia="Calibri" w:cs="Times New Roman"/>
          <w:color w:val="000000"/>
          <w:kern w:val="0"/>
          <w:lang w:val="ru-RU" w:eastAsia="en-US" w:bidi="ar-SA"/>
        </w:rPr>
      </w:pPr>
      <w:r>
        <w:rPr>
          <w:rFonts w:eastAsia="Calibri" w:cs="Times New Roman"/>
          <w:color w:val="000000"/>
          <w:kern w:val="0"/>
          <w:lang w:val="ru-RU" w:eastAsia="en-US" w:bidi="ar-SA"/>
        </w:rPr>
      </w:r>
    </w:p>
    <w:p>
      <w:pPr>
        <w:pStyle w:val="Style35"/>
        <w:widowControl/>
        <w:numPr>
          <w:ilvl w:val="0"/>
          <w:numId w:val="0"/>
        </w:numPr>
        <w:suppressAutoHyphens w:val="true"/>
        <w:bidi w:val="0"/>
        <w:spacing w:before="40" w:after="40"/>
        <w:ind w:left="0" w:right="57" w:hanging="0"/>
        <w:jc w:val="both"/>
        <w:rPr/>
      </w:pPr>
      <w:bookmarkStart w:id="28" w:name="__RefHeading___Toc33145_428345931_Копия_"/>
      <w:bookmarkStart w:id="29" w:name="_Toc51339697_Копия_1_Копия_1"/>
      <w:bookmarkStart w:id="30" w:name="_Toc54646408_Копия_1"/>
      <w:bookmarkStart w:id="31" w:name="_Toc50125127_Копия_1_Копия_1"/>
      <w:bookmarkStart w:id="32" w:name="_Toc501251261_Копия_1"/>
      <w:bookmarkEnd w:id="28"/>
      <w:bookmarkEnd w:id="32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 xml:space="preserve">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 xml:space="preserve">2.2.  </w:t>
      </w:r>
      <w:bookmarkStart w:id="33" w:name="_Hlk50465284_Копия_1_Копия_1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 xml:space="preserve">Требования по срокам </w:t>
      </w:r>
      <w:bookmarkEnd w:id="29"/>
      <w:bookmarkEnd w:id="30"/>
      <w:bookmarkEnd w:id="31"/>
      <w:bookmarkEnd w:id="33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оказания услуг</w:t>
      </w:r>
    </w:p>
    <w:p>
      <w:pPr>
        <w:pStyle w:val="NormalWeb"/>
        <w:spacing w:before="0" w:after="0"/>
        <w:ind w:left="492" w:right="15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first" r:id="rId5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Web"/>
        <w:spacing w:before="0" w:after="0"/>
        <w:ind w:left="492" w:right="150" w:hanging="0"/>
        <w:rPr>
          <w:rFonts w:ascii="Times New Roman" w:hAnsi="Times New Roman"/>
          <w:sz w:val="24"/>
          <w:szCs w:val="24"/>
        </w:rPr>
      </w:pPr>
      <w:r>
        <w:rPr>
          <w:rFonts w:cs="Times New Roman"/>
          <w:iCs/>
          <w:color w:val="auto"/>
          <w:sz w:val="24"/>
          <w:szCs w:val="24"/>
        </w:rPr>
        <w:t>сентябрь 2026 года</w:t>
      </w:r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0" w:right="0" w:hanging="0"/>
        <w:jc w:val="both"/>
        <w:rPr/>
      </w:pPr>
      <w:bookmarkStart w:id="34" w:name="__RefHeading___Toc33147_428345931_Копия_"/>
      <w:bookmarkEnd w:id="34"/>
      <w:r>
        <w:rPr>
          <w:rFonts w:cs="Times New Roman"/>
          <w:iCs/>
          <w:color w:val="auto"/>
        </w:rPr>
        <w:t xml:space="preserve">2.3. Требования к </w:t>
      </w:r>
      <w:r>
        <w:rPr>
          <w:rFonts w:cs="Times New Roman"/>
          <w:iCs/>
          <w:color w:val="auto"/>
          <w:lang w:val="ru-RU"/>
        </w:rPr>
        <w:t>качеству услуг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120" w:after="60"/>
        <w:ind w:left="0" w:right="0" w:hanging="0"/>
        <w:jc w:val="both"/>
        <w:outlineLvl w:val="3"/>
        <w:rPr>
          <w:rFonts w:cs="Times New Roman"/>
          <w:iCs/>
          <w:color w:val="auto"/>
          <w:lang w:val="ru-RU"/>
        </w:rPr>
      </w:pPr>
      <w:r>
        <w:rPr>
          <w:rFonts w:cs="Times New Roman"/>
          <w:iCs/>
          <w:color w:val="auto"/>
          <w:lang w:val="ru-RU"/>
        </w:rPr>
      </w:r>
    </w:p>
    <w:p>
      <w:pPr>
        <w:pStyle w:val="NormalWeb"/>
        <w:numPr>
          <w:ilvl w:val="0"/>
          <w:numId w:val="10"/>
        </w:numPr>
        <w:spacing w:before="0" w:after="0"/>
        <w:jc w:val="both"/>
        <w:rPr/>
      </w:pPr>
      <w:r>
        <w:rPr>
          <w:rFonts w:cs="Times New Roman"/>
          <w:b w:val="false"/>
          <w:bCs w:val="false"/>
          <w:i w:val="false"/>
          <w:iCs w:val="false"/>
          <w:color w:val="auto"/>
          <w:sz w:val="24"/>
          <w:szCs w:val="24"/>
        </w:rPr>
        <w:t>Хронометраж: от 7 до 10 минут.</w:t>
      </w:r>
    </w:p>
    <w:p>
      <w:pPr>
        <w:pStyle w:val="NormalWeb"/>
        <w:numPr>
          <w:ilvl w:val="0"/>
          <w:numId w:val="10"/>
        </w:numPr>
        <w:spacing w:before="0" w:after="0"/>
        <w:jc w:val="both"/>
        <w:rPr/>
      </w:pPr>
      <w:r>
        <w:rPr>
          <w:rFonts w:cs="Times New Roman"/>
          <w:b w:val="false"/>
          <w:bCs w:val="false"/>
          <w:i w:val="false"/>
          <w:iCs w:val="false"/>
          <w:color w:val="auto"/>
          <w:sz w:val="24"/>
          <w:szCs w:val="24"/>
        </w:rPr>
        <w:t xml:space="preserve">Формат видео: Full HD (1920x1080) или выше. </w:t>
      </w:r>
    </w:p>
    <w:p>
      <w:pPr>
        <w:pStyle w:val="NormalWeb"/>
        <w:numPr>
          <w:ilvl w:val="0"/>
          <w:numId w:val="11"/>
        </w:numPr>
        <w:spacing w:before="0" w:after="0"/>
        <w:jc w:val="both"/>
        <w:rPr/>
      </w:pPr>
      <w:r>
        <w:rPr>
          <w:rFonts w:cs="Times New Roman"/>
          <w:b w:val="false"/>
          <w:bCs w:val="false"/>
          <w:i w:val="false"/>
          <w:iCs w:val="false"/>
          <w:color w:val="auto"/>
          <w:sz w:val="24"/>
          <w:szCs w:val="24"/>
        </w:rPr>
        <w:t xml:space="preserve">Соотношение сторон: 16:9. 6.4. </w:t>
      </w:r>
    </w:p>
    <w:p>
      <w:pPr>
        <w:pStyle w:val="NormalWeb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color w:val="auto"/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24"/>
          <w:szCs w:val="24"/>
        </w:rPr>
        <w:t>Ориентация видео: горизонтальная.</w:t>
      </w:r>
    </w:p>
    <w:p>
      <w:pPr>
        <w:pStyle w:val="NormalWeb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color w:val="auto"/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24"/>
          <w:szCs w:val="24"/>
        </w:rPr>
        <w:t>Сценарий: видеоработа должна иметь четкий режиссерский замысел, логичную структуру, монтаж, подчеркивающий смысл, а не технические приемы. Необходимые данные об объекте предоставляются Службой охраны труда и производственного контроля филиала. Подготовка сценария ведется совместно с инженером-инспектором Службы.</w:t>
      </w:r>
    </w:p>
    <w:p>
      <w:pPr>
        <w:pStyle w:val="NormalWeb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color w:val="auto"/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24"/>
          <w:szCs w:val="24"/>
        </w:rPr>
        <w:t xml:space="preserve">Варианты одежды: спецодежда без каски или рабочая униформа с логотипом компании с каской (в зависимости от требований пребывания в конкретной локации). При наличии каски подбородочный ремень обязательно застегнут. Комплект спецодежды должен быть без загрязнений и потертостей, застегнут в соответствии с требованиями техники безопасности. </w:t>
      </w:r>
    </w:p>
    <w:p>
      <w:pPr>
        <w:pStyle w:val="NormalWeb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color w:val="auto"/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24"/>
          <w:szCs w:val="24"/>
        </w:rPr>
        <w:t>Звук: профессиональный дикторский текст, при необходимости фоновая музыка.</w:t>
      </w:r>
    </w:p>
    <w:p>
      <w:pPr>
        <w:pStyle w:val="NormalWeb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color w:val="auto"/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24"/>
          <w:szCs w:val="24"/>
        </w:rPr>
        <w:t>Озвучка видеоролика должна быть продублирована субтитрами, не перекрывающими ключевые действия.</w:t>
      </w:r>
    </w:p>
    <w:p>
      <w:pPr>
        <w:pStyle w:val="NormalWeb"/>
        <w:numPr>
          <w:ilvl w:val="0"/>
          <w:numId w:val="11"/>
        </w:numPr>
        <w:spacing w:before="0" w:after="0"/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24"/>
          <w:szCs w:val="24"/>
        </w:rPr>
        <w:t xml:space="preserve">Безопасность съемок: категорически запрещается проводить съемки на действующем оборудовании объекта. Все демонстрации работ должны быть постановочными, на учебных полигонах, с полным соблюдением всех требований правил и использованием СИЗ. </w:t>
      </w:r>
    </w:p>
    <w:p>
      <w:pPr>
        <w:pStyle w:val="NormalWeb"/>
        <w:numPr>
          <w:ilvl w:val="0"/>
          <w:numId w:val="11"/>
        </w:numPr>
        <w:spacing w:before="0" w:after="0"/>
        <w:jc w:val="both"/>
        <w:rPr/>
      </w:pPr>
      <w:r>
        <w:rPr>
          <w:rFonts w:eastAsia="Calibri" w:cs="Times New Roman"/>
          <w:b w:val="false"/>
          <w:bCs w:val="false"/>
          <w:i w:val="false"/>
          <w:iCs w:val="false"/>
          <w:color w:val="auto"/>
          <w:sz w:val="24"/>
          <w:szCs w:val="24"/>
          <w:lang w:val="x-none" w:eastAsia="x-none"/>
        </w:rPr>
        <w:t>Использование для съемки профессиональной камеры, объективов, штатива, света, при необходимости квадрокоптера и др. техники.</w:t>
      </w:r>
      <w:bookmarkStart w:id="35" w:name="_Toc51339698_Копия_1"/>
      <w:bookmarkStart w:id="36" w:name="_Toc54646410"/>
    </w:p>
    <w:p>
      <w:pPr>
        <w:pStyle w:val="Style35"/>
        <w:rPr>
          <w:b/>
          <w:bCs/>
        </w:rPr>
      </w:pPr>
      <w:r>
        <w:rPr>
          <w:b/>
          <w:bCs/>
        </w:rPr>
      </w:r>
      <w:bookmarkEnd w:id="35"/>
      <w:bookmarkEnd w:id="36"/>
    </w:p>
    <w:p>
      <w:pPr>
        <w:pStyle w:val="Heading1"/>
        <w:numPr>
          <w:ilvl w:val="0"/>
          <w:numId w:val="3"/>
        </w:numPr>
        <w:ind w:left="0" w:hanging="0"/>
        <w:jc w:val="center"/>
        <w:rPr/>
      </w:pPr>
      <w:bookmarkStart w:id="37" w:name="__RefHeading___Toc83433_3380148450"/>
      <w:bookmarkStart w:id="38" w:name="_Toc167105927"/>
      <w:bookmarkStart w:id="39" w:name="_Toc124414631"/>
      <w:bookmarkEnd w:id="37"/>
      <w:r>
        <w:rPr/>
        <w:t>Требования к документации на этапе закупки</w:t>
      </w:r>
      <w:bookmarkEnd w:id="38"/>
      <w:bookmarkEnd w:id="39"/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>
          <w:sz w:val="24"/>
          <w:szCs w:val="24"/>
        </w:rPr>
        <w:t>Участник закупочной процедуры в составе пакета документации предоставляет:</w:t>
      </w:r>
    </w:p>
    <w:p>
      <w:pPr>
        <w:pStyle w:val="ListParagraph"/>
        <w:numPr>
          <w:ilvl w:val="0"/>
          <w:numId w:val="7"/>
        </w:numPr>
        <w:spacing w:before="0" w:after="0"/>
        <w:contextualSpacing/>
        <w:rPr>
          <w:vanish/>
        </w:rPr>
      </w:pPr>
      <w:r>
        <w:rPr>
          <w:vanish/>
        </w:rPr>
      </w:r>
    </w:p>
    <w:p>
      <w:pPr>
        <w:pStyle w:val="ListParagraph"/>
        <w:numPr>
          <w:ilvl w:val="0"/>
          <w:numId w:val="7"/>
        </w:numPr>
        <w:spacing w:before="0" w:after="0"/>
        <w:contextualSpacing/>
        <w:rPr>
          <w:vanish/>
        </w:rPr>
      </w:pPr>
      <w:r>
        <w:rPr>
          <w:vanish/>
        </w:rPr>
      </w:r>
    </w:p>
    <w:p>
      <w:pPr>
        <w:pStyle w:val="ListParagraph"/>
        <w:numPr>
          <w:ilvl w:val="0"/>
          <w:numId w:val="7"/>
        </w:numPr>
        <w:spacing w:before="0" w:after="0"/>
        <w:contextualSpacing/>
        <w:rPr>
          <w:vanish/>
        </w:rPr>
      </w:pPr>
      <w:r>
        <w:rPr>
          <w:vanish/>
        </w:rPr>
      </w:r>
    </w:p>
    <w:p>
      <w:pPr>
        <w:pStyle w:val="ListParagraph"/>
        <w:numPr>
          <w:ilvl w:val="0"/>
          <w:numId w:val="7"/>
        </w:numPr>
        <w:spacing w:before="0" w:after="0"/>
        <w:contextualSpacing/>
        <w:rPr>
          <w:vanish/>
        </w:rPr>
      </w:pPr>
      <w:r>
        <w:rPr>
          <w:vanish/>
        </w:rPr>
      </w:r>
    </w:p>
    <w:p>
      <w:pPr>
        <w:pStyle w:val="ListParagraph"/>
        <w:numPr>
          <w:ilvl w:val="1"/>
          <w:numId w:val="7"/>
        </w:numPr>
        <w:spacing w:before="0" w:after="0"/>
        <w:ind w:left="432" w:hanging="432"/>
        <w:contextualSpacing/>
        <w:rPr/>
      </w:pPr>
      <w:r>
        <w:rPr/>
        <w:t xml:space="preserve">Технико-коммерческое предложение </w:t>
      </w:r>
      <w:r>
        <w:rPr>
          <w:color w:val="000000" w:themeColor="text1"/>
        </w:rPr>
        <w:t>по форме Приложении № 1 к настоящим Техническим требованиям;</w:t>
      </w:r>
    </w:p>
    <w:p>
      <w:pPr>
        <w:pStyle w:val="ListParagraph"/>
        <w:numPr>
          <w:ilvl w:val="0"/>
          <w:numId w:val="0"/>
        </w:numPr>
        <w:spacing w:before="0" w:after="0"/>
        <w:ind w:left="432" w:hanging="0"/>
        <w:contextualSpacing/>
        <w:rPr/>
      </w:pPr>
      <w:r>
        <w:rPr/>
      </w:r>
    </w:p>
    <w:p>
      <w:pPr>
        <w:pStyle w:val="Heading4"/>
        <w:ind w:left="1224" w:right="0" w:hanging="50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ind w:left="1224" w:right="0" w:hanging="504"/>
        <w:rPr>
          <w:rFonts w:ascii="Times New Roman" w:hAnsi="Times New Roman" w:eastAsia="Times New Roman"/>
          <w:b w:val="false"/>
          <w:bCs w:val="false"/>
          <w:sz w:val="24"/>
          <w:szCs w:val="24"/>
          <w:lang w:eastAsia="ru-RU"/>
        </w:rPr>
      </w:pPr>
      <w:r>
        <w:rPr>
          <w:rFonts w:eastAsia="Times New Roman"/>
          <w:b w:val="false"/>
          <w:bCs w:val="false"/>
          <w:sz w:val="24"/>
          <w:szCs w:val="24"/>
          <w:lang w:eastAsia="ru-RU"/>
        </w:rPr>
      </w:r>
    </w:p>
    <w:p>
      <w:pPr>
        <w:pStyle w:val="Normal"/>
        <w:ind w:left="1224" w:right="0" w:hanging="504"/>
        <w:rPr>
          <w:rFonts w:ascii="Times New Roman" w:hAnsi="Times New Roman" w:eastAsia="Times New Roman"/>
          <w:b w:val="false"/>
          <w:bCs w:val="false"/>
          <w:sz w:val="24"/>
          <w:szCs w:val="24"/>
          <w:lang w:eastAsia="ru-RU"/>
        </w:rPr>
      </w:pPr>
      <w:r>
        <w:rPr>
          <w:rFonts w:eastAsia="Times New Roman"/>
          <w:b w:val="false"/>
          <w:bCs w:val="false"/>
          <w:sz w:val="24"/>
          <w:szCs w:val="24"/>
          <w:lang w:eastAsia="ru-RU"/>
        </w:rPr>
      </w:r>
    </w:p>
    <w:p>
      <w:pPr>
        <w:pStyle w:val="Normal"/>
        <w:ind w:left="1224" w:right="0" w:hanging="504"/>
        <w:rPr>
          <w:rFonts w:ascii="Times New Roman" w:hAnsi="Times New Roman" w:eastAsia="Times New Roman"/>
          <w:b w:val="false"/>
          <w:bCs w:val="false"/>
          <w:sz w:val="24"/>
          <w:szCs w:val="24"/>
          <w:lang w:eastAsia="ru-RU"/>
        </w:rPr>
      </w:pPr>
      <w:r>
        <w:rPr>
          <w:rFonts w:eastAsia="Times New Roman"/>
          <w:b w:val="false"/>
          <w:bCs w:val="false"/>
          <w:sz w:val="24"/>
          <w:szCs w:val="24"/>
          <w:lang w:eastAsia="ru-RU"/>
        </w:rPr>
      </w:r>
    </w:p>
    <w:p>
      <w:pPr>
        <w:pStyle w:val="Normal"/>
        <w:ind w:left="1224" w:right="0" w:hanging="504"/>
        <w:rPr>
          <w:rFonts w:ascii="Times New Roman" w:hAnsi="Times New Roman" w:eastAsia="Times New Roman"/>
          <w:b w:val="false"/>
          <w:bCs w:val="false"/>
          <w:sz w:val="24"/>
          <w:szCs w:val="24"/>
          <w:lang w:eastAsia="ru-RU"/>
        </w:rPr>
      </w:pPr>
      <w:r>
        <w:rPr>
          <w:rFonts w:eastAsia="Times New Roman"/>
          <w:b w:val="false"/>
          <w:bCs w:val="false"/>
          <w:sz w:val="24"/>
          <w:szCs w:val="24"/>
          <w:lang w:eastAsia="ru-RU"/>
        </w:rPr>
      </w:r>
    </w:p>
    <w:p>
      <w:pPr>
        <w:pStyle w:val="Normal"/>
        <w:ind w:left="1224" w:right="0" w:hanging="504"/>
        <w:rPr>
          <w:rFonts w:ascii="Times New Roman" w:hAnsi="Times New Roman" w:eastAsia="Times New Roman"/>
          <w:b w:val="false"/>
          <w:bCs w:val="false"/>
          <w:sz w:val="24"/>
          <w:szCs w:val="24"/>
          <w:lang w:eastAsia="ru-RU"/>
        </w:rPr>
      </w:pPr>
      <w:r>
        <w:rPr>
          <w:rFonts w:eastAsia="Times New Roman"/>
          <w:b w:val="false"/>
          <w:bCs w:val="false"/>
          <w:sz w:val="24"/>
          <w:szCs w:val="24"/>
          <w:lang w:eastAsia="ru-RU"/>
        </w:rPr>
      </w:r>
    </w:p>
    <w:p>
      <w:pPr>
        <w:pStyle w:val="Normal"/>
        <w:ind w:left="1224" w:right="0" w:hanging="504"/>
        <w:rPr>
          <w:rFonts w:ascii="Times New Roman" w:hAnsi="Times New Roman" w:eastAsia="Times New Roman"/>
          <w:b w:val="false"/>
          <w:bCs w:val="false"/>
          <w:sz w:val="24"/>
          <w:szCs w:val="24"/>
          <w:lang w:eastAsia="ru-RU"/>
        </w:rPr>
      </w:pPr>
      <w:r>
        <w:rPr>
          <w:rFonts w:eastAsia="Times New Roman"/>
          <w:b w:val="false"/>
          <w:bCs w:val="false"/>
          <w:sz w:val="24"/>
          <w:szCs w:val="24"/>
          <w:lang w:eastAsia="ru-RU"/>
        </w:rPr>
      </w:r>
    </w:p>
    <w:p>
      <w:pPr>
        <w:pStyle w:val="Normal"/>
        <w:ind w:left="1224" w:right="0" w:hanging="504"/>
        <w:rPr>
          <w:rFonts w:ascii="Times New Roman" w:hAnsi="Times New Roman" w:eastAsia="Times New Roman"/>
          <w:b w:val="false"/>
          <w:bCs w:val="false"/>
          <w:sz w:val="24"/>
          <w:szCs w:val="24"/>
          <w:lang w:eastAsia="ru-RU"/>
        </w:rPr>
      </w:pPr>
      <w:r>
        <w:rPr>
          <w:rFonts w:eastAsia="Times New Roman"/>
          <w:b w:val="false"/>
          <w:bCs w:val="false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080" w:hanging="0"/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eastAsia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57" w:right="0" w:hanging="0"/>
        <w:jc w:val="both"/>
        <w:rPr>
          <w:rFonts w:eastAsia="Times New Roman"/>
          <w:b/>
          <w:sz w:val="24"/>
          <w:szCs w:val="24"/>
          <w:lang w:eastAsia="ru-RU"/>
        </w:rPr>
      </w:pPr>
      <w:r>
        <w:rPr/>
      </w:r>
      <w:r>
        <w:br w:type="page"/>
      </w:r>
    </w:p>
    <w:p>
      <w:pPr>
        <w:pStyle w:val="Heading1"/>
        <w:jc w:val="right"/>
        <w:rPr/>
      </w:pPr>
      <w:bookmarkStart w:id="40" w:name="__RefHeading___Toc83438_3380148450"/>
      <w:bookmarkEnd w:id="40"/>
      <w:r>
        <w:rPr/>
        <w:t>Приложение № 1</w:t>
      </w:r>
    </w:p>
    <w:p>
      <w:pPr>
        <w:pStyle w:val="Normal"/>
        <w:jc w:val="right"/>
        <w:rPr/>
      </w:pPr>
      <w:bookmarkStart w:id="41" w:name="__RefHeading___Toc83440_3380148450"/>
      <w:bookmarkEnd w:id="41"/>
      <w:r>
        <w:rPr/>
        <w:t>к Техническим требованиям</w:t>
      </w:r>
    </w:p>
    <w:p>
      <w:pPr>
        <w:pStyle w:val="Normal"/>
        <w:spacing w:lineRule="auto" w:line="276" w:before="0" w:after="0"/>
        <w:contextualSpacing/>
        <w:jc w:val="left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tbl>
      <w:tblPr>
        <w:tblW w:w="99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начало формы</w:t>
            </w:r>
          </w:p>
        </w:tc>
      </w:tr>
    </w:tbl>
    <w:p>
      <w:pPr>
        <w:pStyle w:val="Normal"/>
        <w:spacing w:lineRule="auto" w:line="276" w:before="0" w:after="0"/>
        <w:contextualSpacing/>
        <w:jc w:val="center"/>
        <w:rPr>
          <w:rFonts w:eastAsia="Calibri"/>
          <w:i/>
          <w:i/>
          <w:color w:val="000000" w:themeColor="text1"/>
          <w:sz w:val="24"/>
          <w:szCs w:val="24"/>
        </w:rPr>
      </w:pPr>
      <w:r>
        <w:rPr>
          <w:rFonts w:eastAsia="Calibri"/>
          <w:i/>
          <w:color w:val="000000" w:themeColor="text1"/>
          <w:sz w:val="24"/>
          <w:szCs w:val="24"/>
        </w:rPr>
        <w:t>На официальном бланке участника</w:t>
      </w:r>
    </w:p>
    <w:p>
      <w:pPr>
        <w:pStyle w:val="Normal"/>
        <w:spacing w:lineRule="auto" w:line="276" w:before="0" w:after="0"/>
        <w:contextualSpacing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eastAsia="Calibri"/>
          <w:b/>
          <w:color w:val="000000" w:themeColor="text1"/>
          <w:sz w:val="26"/>
          <w:szCs w:val="26"/>
        </w:rPr>
      </w:pPr>
      <w:r>
        <w:rPr>
          <w:rFonts w:eastAsia="Calibri"/>
          <w:b/>
          <w:color w:val="000000" w:themeColor="text1"/>
          <w:sz w:val="26"/>
          <w:szCs w:val="26"/>
        </w:rPr>
        <w:t>Технико-коммерческое предложение</w:t>
      </w:r>
    </w:p>
    <w:p>
      <w:pPr>
        <w:pStyle w:val="Normal"/>
        <w:spacing w:before="0" w:after="0"/>
        <w:contextualSpacing/>
        <w:jc w:val="left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tbl>
      <w:tblPr>
        <w:tblW w:w="99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0"/>
        <w:gridCol w:w="1148"/>
        <w:gridCol w:w="1702"/>
        <w:gridCol w:w="6147"/>
        <w:gridCol w:w="263"/>
      </w:tblGrid>
      <w:tr>
        <w:trPr/>
        <w:tc>
          <w:tcPr>
            <w:tcW w:w="180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Исходящий №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</w:r>
          </w:p>
        </w:tc>
        <w:tc>
          <w:tcPr>
            <w:tcW w:w="6147" w:type="dxa"/>
            <w:tcBorders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/>
            </w:r>
          </w:p>
        </w:tc>
        <w:tc>
          <w:tcPr>
            <w:tcW w:w="263" w:type="dxa"/>
            <w:tcBorders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от</w:t>
            </w:r>
          </w:p>
        </w:tc>
        <w:tc>
          <w:tcPr>
            <w:tcW w:w="2850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</w:r>
          </w:p>
        </w:tc>
        <w:tc>
          <w:tcPr>
            <w:tcW w:w="6147" w:type="dxa"/>
            <w:tcBorders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/>
            </w:r>
          </w:p>
        </w:tc>
        <w:tc>
          <w:tcPr>
            <w:tcW w:w="263" w:type="dxa"/>
            <w:tcBorders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r>
          </w:p>
        </w:tc>
        <w:tc>
          <w:tcPr>
            <w:tcW w:w="285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147" w:type="dxa"/>
            <w:tcBorders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/>
            </w:r>
          </w:p>
        </w:tc>
        <w:tc>
          <w:tcPr>
            <w:tcW w:w="263" w:type="dxa"/>
            <w:tcBorders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9920" w:type="dxa"/>
            <w:gridSpan w:val="5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left="-105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Изучив Технические требования Заказчика и Запрос технико-коммерческого предложени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я в рамках упрощенной закупки на право заключения договора по ОКПД2 74.20.23.000 Услуги съемки и монтажа видеоролика «Услуги по съемке вводного инструктажа в формате видеоролика для нужд филиала ПАО «РусГидро» - «Камская ГЭС» в рамках реализации коммуникационных проектов, посвященных Году охраны труда в РусГидро в 2026 году»</w:t>
            </w:r>
          </w:p>
        </w:tc>
      </w:tr>
      <w:tr>
        <w:trPr/>
        <w:tc>
          <w:tcPr>
            <w:tcW w:w="9657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(полное наименование Участника с указанием организационно-правой формы и ИНН)</w:t>
            </w:r>
          </w:p>
        </w:tc>
        <w:tc>
          <w:tcPr>
            <w:tcW w:w="263" w:type="dxa"/>
            <w:tcBorders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9657" w:type="dxa"/>
            <w:gridSpan w:val="4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63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657" w:type="dxa"/>
            <w:gridSpan w:val="4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(юридический адрес)</w:t>
            </w:r>
          </w:p>
        </w:tc>
        <w:tc>
          <w:tcPr>
            <w:tcW w:w="263" w:type="dxa"/>
            <w:tcBorders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9657" w:type="dxa"/>
            <w:gridSpan w:val="4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63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657" w:type="dxa"/>
            <w:gridSpan w:val="4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(почтовый адрес)</w:t>
            </w:r>
          </w:p>
        </w:tc>
        <w:tc>
          <w:tcPr>
            <w:tcW w:w="263" w:type="dxa"/>
            <w:tcBorders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сообщаем следующее:</w:t>
      </w:r>
    </w:p>
    <w:p>
      <w:pPr>
        <w:pStyle w:val="Normal"/>
        <w:numPr>
          <w:ilvl w:val="0"/>
          <w:numId w:val="8"/>
        </w:numPr>
        <w:suppressAutoHyphens w:val="false"/>
        <w:spacing w:before="0" w:after="0"/>
        <w:ind w:left="420" w:hanging="420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Готовы оказать услуги в полном соответствии с требованиями Заказчика в части объема, сроков и места оказания услуг.</w:t>
      </w:r>
    </w:p>
    <w:p>
      <w:pPr>
        <w:pStyle w:val="Normal"/>
        <w:numPr>
          <w:ilvl w:val="0"/>
          <w:numId w:val="8"/>
        </w:numPr>
        <w:suppressAutoHyphens w:val="false"/>
        <w:spacing w:before="0" w:after="0"/>
        <w:ind w:left="420" w:hanging="420"/>
        <w:contextualSpacing/>
        <w:rPr>
          <w:rFonts w:eastAsia="Calibri"/>
          <w:sz w:val="24"/>
          <w:szCs w:val="24"/>
        </w:rPr>
      </w:pPr>
      <w:r>
        <w:rPr>
          <w:rFonts w:eastAsia="Calibri"/>
          <w:kern w:val="2"/>
          <w:sz w:val="24"/>
          <w:szCs w:val="24"/>
          <w:highlight w:val="lightGray"/>
          <w:u w:val="single"/>
        </w:rPr>
        <w:t>Организация/ФИО</w:t>
      </w:r>
      <w:r>
        <w:rPr>
          <w:rFonts w:eastAsia="Calibri"/>
          <w:kern w:val="2"/>
          <w:sz w:val="24"/>
          <w:szCs w:val="24"/>
          <w:highlight w:val="lightGray"/>
        </w:rPr>
        <w:t xml:space="preserve"> (указываются данные Участника мониторинга – краткое наименование)</w:t>
      </w:r>
      <w:r>
        <w:rPr>
          <w:rFonts w:eastAsia="Calibri"/>
          <w:kern w:val="2"/>
          <w:sz w:val="24"/>
          <w:szCs w:val="24"/>
        </w:rPr>
        <w:t xml:space="preserve"> обладает гражданской правоспособностью в полном объеме для заключения и исполнения договора, в том числе наличием регистрации и отсутствием банкротства, стадии ликвидации или приостановления деятельности.</w:t>
      </w:r>
    </w:p>
    <w:p>
      <w:pPr>
        <w:pStyle w:val="Normal"/>
        <w:suppressAutoHyphens w:val="false"/>
        <w:spacing w:before="0" w:after="0"/>
        <w:ind w:hanging="0"/>
        <w:contextualSpacing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tbl>
      <w:tblPr>
        <w:tblW w:w="100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65"/>
        <w:gridCol w:w="7954"/>
      </w:tblGrid>
      <w:tr>
        <w:trPr>
          <w:trHeight w:val="164" w:hRule="atLeast"/>
        </w:trPr>
        <w:tc>
          <w:tcPr>
            <w:tcW w:w="10019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Style39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  <w:t>Итоговая стоимость заявки, руб., без НДС:</w:t>
            </w:r>
          </w:p>
          <w:p>
            <w:pPr>
              <w:pStyle w:val="Style39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>
          <w:trHeight w:val="158" w:hRule="atLeast"/>
        </w:trPr>
        <w:tc>
          <w:tcPr>
            <w:tcW w:w="10019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Style39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</w:r>
          </w:p>
        </w:tc>
      </w:tr>
      <w:tr>
        <w:trPr>
          <w:trHeight w:val="81" w:hRule="atLeast"/>
        </w:trPr>
        <w:tc>
          <w:tcPr>
            <w:tcW w:w="206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Style39"/>
              <w:keepNext w:val="tru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кроме того НДС, руб.</w:t>
            </w:r>
            <w:r>
              <w:rPr>
                <w:rStyle w:val="FootnoteReference"/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footnoteReference w:id="2"/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:</w:t>
            </w:r>
          </w:p>
        </w:tc>
        <w:tc>
          <w:tcPr>
            <w:tcW w:w="795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Style39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>
          <w:trHeight w:val="158" w:hRule="atLeast"/>
        </w:trPr>
        <w:tc>
          <w:tcPr>
            <w:tcW w:w="2065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Style39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</w:r>
          </w:p>
        </w:tc>
        <w:tc>
          <w:tcPr>
            <w:tcW w:w="7954" w:type="dxa"/>
            <w:tcBorders/>
            <w:shd w:color="auto" w:fill="auto" w:val="clear"/>
          </w:tcPr>
          <w:p>
            <w:pPr>
              <w:pStyle w:val="Style39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(НДС по итоговой стоимости, рублей)</w:t>
            </w:r>
          </w:p>
        </w:tc>
      </w:tr>
      <w:tr>
        <w:trPr>
          <w:trHeight w:val="164" w:hRule="atLeast"/>
        </w:trPr>
        <w:tc>
          <w:tcPr>
            <w:tcW w:w="10019" w:type="dxa"/>
            <w:gridSpan w:val="2"/>
            <w:tcBorders/>
            <w:shd w:color="auto" w:fill="auto" w:val="clear"/>
          </w:tcPr>
          <w:p>
            <w:pPr>
              <w:pStyle w:val="Style39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6"/>
                <w:szCs w:val="22"/>
                <w:lang w:val="ru-RU" w:eastAsia="en-US" w:bidi="ar-SA"/>
              </w:rPr>
              <w:t>итого, руб., с НДС</w:t>
            </w:r>
            <w:r>
              <w:rPr>
                <w:rStyle w:val="FootnoteReference"/>
                <w:rFonts w:eastAsia="Calibri" w:cs=""/>
                <w:b/>
                <w:bCs/>
                <w:kern w:val="0"/>
                <w:sz w:val="26"/>
                <w:szCs w:val="22"/>
                <w:lang w:val="ru-RU" w:eastAsia="en-US" w:bidi="ar-SA"/>
              </w:rPr>
              <w:footnoteReference w:id="3"/>
            </w:r>
            <w:r>
              <w:rPr>
                <w:rFonts w:eastAsia="Calibri" w:cs=""/>
                <w:b/>
                <w:bCs/>
                <w:kern w:val="0"/>
                <w:sz w:val="26"/>
                <w:szCs w:val="22"/>
                <w:lang w:val="ru-RU" w:eastAsia="en-US" w:bidi="ar-SA"/>
              </w:rPr>
              <w:t>:</w:t>
            </w:r>
          </w:p>
        </w:tc>
      </w:tr>
      <w:tr>
        <w:trPr>
          <w:trHeight w:val="164" w:hRule="atLeast"/>
        </w:trPr>
        <w:tc>
          <w:tcPr>
            <w:tcW w:w="10019" w:type="dxa"/>
            <w:gridSpan w:val="2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700" w:leader="none"/>
              </w:tabs>
              <w:spacing w:before="0" w:after="0"/>
              <w:ind w:left="0" w:hanging="0"/>
              <w:contextualSpacing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700" w:leader="none"/>
              </w:tabs>
              <w:spacing w:before="0" w:after="0"/>
              <w:ind w:left="0" w:hanging="0"/>
              <w:contextualSpacing/>
              <w:rPr/>
            </w:pPr>
            <w:r>
              <w:rPr/>
              <w:t>При наличии у Участника права на освобождение от начисления и уплаты НДС в соответствии с действующим законодательством РФ в составе закупочной документации должна быть предоставлена заверенная копия документа, подтверждающего данное право: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1134" w:leader="none"/>
              </w:tabs>
              <w:spacing w:before="0" w:after="0"/>
              <w:ind w:left="0" w:firstLine="56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Уведомления о применении УСН;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1134" w:leader="none"/>
              </w:tabs>
              <w:spacing w:before="0" w:after="0"/>
              <w:ind w:left="0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Иной документ, оформленный уполномоченным органом.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этом случае, все документы, содержащие порядок начисления НДС должны быть заполнены с указанием следующей информации – «НДС не облагается, на основании (далее следует ссылка на документ, подтверждающий право на освобождение)».</w:t>
            </w:r>
          </w:p>
        </w:tc>
      </w:tr>
    </w:tbl>
    <w:p>
      <w:pPr>
        <w:pStyle w:val="Normal"/>
        <w:spacing w:lineRule="auto" w:line="276" w:before="0" w:after="0"/>
        <w:contextualSpacing/>
        <w:jc w:val="left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378"/>
      </w:tblGrid>
      <w:tr>
        <w:trPr/>
        <w:tc>
          <w:tcPr>
            <w:tcW w:w="10378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конец формы</w:t>
            </w:r>
          </w:p>
        </w:tc>
      </w:tr>
    </w:tbl>
    <w:p>
      <w:pPr>
        <w:pStyle w:val="Normal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Heading1"/>
        <w:jc w:val="right"/>
        <w:rPr/>
      </w:pPr>
      <w:r>
        <w:rPr/>
      </w:r>
      <w:r>
        <w:br w:type="page"/>
      </w:r>
    </w:p>
    <w:p>
      <w:pPr>
        <w:pStyle w:val="Heading1"/>
        <w:spacing w:before="120" w:after="60"/>
        <w:jc w:val="right"/>
        <w:rPr/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footnotePr>
        <w:numFmt w:val="decimal"/>
      </w:footnotePr>
      <w:type w:val="nextPage"/>
      <w:pgSz w:w="11906" w:h="16838"/>
      <w:pgMar w:left="992" w:right="536" w:gutter="0" w:header="680" w:top="1134" w:footer="737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  <w:p>
    <w:pPr>
      <w:pStyle w:val="Footer"/>
      <w:spacing w:before="120" w:after="12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before="120" w:after="120"/>
      <w:jc w:val="both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40"/>
        <w:widowControl w:val="false"/>
        <w:spacing w:before="80" w:after="0"/>
        <w:ind w:left="567" w:hanging="567"/>
        <w:jc w:val="both"/>
        <w:rPr/>
      </w:pPr>
      <w:r>
        <w:rPr>
          <w:rStyle w:val="Style"/>
        </w:rPr>
        <w:footnoteRef/>
      </w:r>
      <w:r>
        <w:rPr/>
        <w:tab/>
        <w:t>Е</w:t>
      </w:r>
      <w:r>
        <w:rPr>
          <w:sz w:val="18"/>
          <w:szCs w:val="20"/>
        </w:rPr>
        <w:t>сли Участник применяет упрощенную систему налогообложения или специальный налоговый режим «Налог на профессиональный доход», то в данной графе необходимо указать: «НДС не облагается».</w:t>
      </w:r>
    </w:p>
  </w:footnote>
  <w:footnote w:id="3">
    <w:p>
      <w:pPr>
        <w:pStyle w:val="Style40"/>
        <w:widowControl w:val="false"/>
        <w:spacing w:before="80" w:after="0"/>
        <w:ind w:left="567" w:hanging="567"/>
        <w:jc w:val="both"/>
        <w:rPr>
          <w:sz w:val="18"/>
          <w:szCs w:val="20"/>
        </w:rPr>
      </w:pPr>
      <w:r>
        <w:rPr>
          <w:rStyle w:val="Style"/>
        </w:rPr>
        <w:footnoteRef/>
      </w:r>
      <w:r>
        <w:rPr>
          <w:sz w:val="18"/>
          <w:szCs w:val="20"/>
        </w:rPr>
        <w:tab/>
        <w:t>Если Участник применяет упрощенную систему налогообложения или специальный налоговый режим «Налог на профессиональный доход», то в данной графе указывается цена без НДС, указанная в графе «Итоговая стоимость заявки без НДС, руб.».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68F43C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spacing w:before="120" w:after="12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68F43C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spacing w:before="120" w:after="12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09759322"/>
    </w:sdtPr>
    <w:sdtContent>
      <w:p>
        <w:pPr>
          <w:pStyle w:val="Header"/>
          <w:spacing w:before="120" w:after="12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76833885"/>
    </w:sdtPr>
    <w:sdtContent>
      <w:p>
        <w:pPr>
          <w:pStyle w:val="Header"/>
          <w:spacing w:before="120" w:after="120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2"/>
    <w:lvlOverride w:ilvl="0">
      <w:startOverride w:val="1"/>
    </w:lvlOverride>
  </w:num>
  <w:num w:numId="16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360804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12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12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12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360804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d93675"/>
    <w:rPr>
      <w:sz w:val="28"/>
      <w:szCs w:val="28"/>
    </w:rPr>
  </w:style>
  <w:style w:type="character" w:styleId="Style15" w:customStyle="1">
    <w:name w:val="Ссылка указателя"/>
    <w:qFormat/>
    <w:rPr/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/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12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/>
      <w:ind w:left="283" w:hanging="0"/>
    </w:pPr>
    <w:rPr/>
  </w:style>
  <w:style w:type="paragraph" w:styleId="BodyText3">
    <w:name w:val="Body Text 3"/>
    <w:basedOn w:val="Normal"/>
    <w:qFormat/>
    <w:rsid w:val="0076353a"/>
    <w:pPr/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jc w:val="left"/>
    </w:pPr>
    <w:rPr>
      <w:rFonts w:ascii="Calibri" w:hAnsi="Calibri" w:cs="Calibri" w:asciiTheme="minorHAnsi" w:cstheme="minorHAnsi" w:hAnsi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376c2c"/>
    <w:pPr>
      <w:spacing w:before="0" w:after="0"/>
      <w:ind w:left="560" w:hanging="0"/>
      <w:jc w:val="left"/>
    </w:pPr>
    <w:rPr>
      <w:rFonts w:ascii="Calibri" w:hAnsi="Calibri" w:cs="Calibri" w:asciiTheme="minorHAnsi" w:cstheme="minorHAnsi" w:hAnsiTheme="minorHAnsi"/>
      <w:i/>
      <w:iCs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0" w:after="0"/>
      <w:ind w:left="280" w:hanging="0"/>
      <w:jc w:val="left"/>
    </w:pPr>
    <w:rPr>
      <w:rFonts w:ascii="Calibri" w:hAnsi="Calibri" w:cs="Calibri" w:asciiTheme="minorHAnsi" w:cstheme="minorHAnsi" w:hAnsiTheme="minorHAnsi"/>
      <w:smallCap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spacing w:before="0" w:after="0"/>
      <w:ind w:left="2240" w:hanging="0"/>
      <w:jc w:val="left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f57628"/>
    <w:pPr>
      <w:spacing w:before="0" w:after="0"/>
      <w:ind w:left="1120" w:hanging="0"/>
      <w:jc w:val="left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4">
    <w:name w:val="TOC 4"/>
    <w:basedOn w:val="Normal"/>
    <w:next w:val="Normal"/>
    <w:autoRedefine/>
    <w:uiPriority w:val="39"/>
    <w:rsid w:val="006b6b70"/>
    <w:pPr>
      <w:spacing w:before="0" w:after="0"/>
      <w:ind w:left="840" w:hanging="0"/>
      <w:jc w:val="left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25" w:customStyle="1">
    <w:name w:val="Раздел положения 2"/>
    <w:basedOn w:val="Normal"/>
    <w:qFormat/>
    <w:rsid w:val="002c1e0e"/>
    <w:pPr>
      <w:pageBreakBefore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120" w:after="160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120" w:after="12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12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120" w:after="120"/>
      <w:ind w:firstLine="720"/>
      <w:jc w:val="both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120" w:after="160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/>
      <w:ind w:left="1134" w:right="800" w:hanging="1134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12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120"/>
      <w:contextualSpacing w:val="false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120"/>
      <w:contextualSpacing w:val="false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120"/>
      <w:contextualSpacing w:val="false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120"/>
      <w:contextualSpacing w:val="false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spacing w:before="0" w:after="0"/>
      <w:ind w:left="1400" w:hanging="0"/>
      <w:jc w:val="left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d849aa"/>
    <w:pPr>
      <w:spacing w:before="0" w:after="0"/>
      <w:ind w:left="1680" w:hanging="0"/>
      <w:jc w:val="left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d849aa"/>
    <w:pPr>
      <w:spacing w:before="0" w:after="0"/>
      <w:ind w:left="1960" w:hanging="0"/>
      <w:jc w:val="left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Style39">
    <w:name w:val="[РГ] Текст"/>
    <w:basedOn w:val="Normal"/>
    <w:qFormat/>
    <w:pPr>
      <w:jc w:val="both"/>
    </w:pPr>
    <w:rPr/>
  </w:style>
  <w:style w:type="paragraph" w:styleId="Style40">
    <w:name w:val="[РГ] Сноска"/>
    <w:basedOn w:val="FootnoteText"/>
    <w:qFormat/>
    <w:pPr>
      <w:spacing w:before="80" w:after="0"/>
      <w:ind w:left="567" w:hanging="567"/>
      <w:jc w:val="both"/>
    </w:pPr>
    <w:rPr>
      <w:sz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22723998101">
    <w:name w:val="22723998101"/>
    <w:qFormat/>
  </w:style>
  <w:style w:type="numbering" w:styleId="24444294121">
    <w:name w:val="24444294121"/>
    <w:qFormat/>
  </w:style>
  <w:style w:type="numbering" w:styleId="14786646111">
    <w:name w:val="14786646111"/>
    <w:qFormat/>
  </w:style>
  <w:style w:type="numbering" w:styleId="37584950181">
    <w:name w:val="3758495018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notes" Target="footnot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2A920-012C-4FE7-BB2D-782329E2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7622</TotalTime>
  <Application>AlterOffice/3.4.0.9$Linux_X86_64 LibreOffice_project/b8daf9e823b1a5463a2f48435ddc2e8696e7d4fc</Application>
  <AppVersion>15.0000</AppVersion>
  <Pages>8</Pages>
  <Words>861</Words>
  <Characters>5650</Characters>
  <CharactersWithSpaces>6398</CharactersWithSpaces>
  <Paragraphs>105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2023-01-25T10:06:00Z</dcterms:created>
  <dc:creator>Быстров Олег Геннадьевич</dc:creator>
  <dc:description/>
  <dc:language>ru-RU</dc:language>
  <cp:lastModifiedBy>mityaninana@corp.gidroogk.com</cp:lastModifiedBy>
  <cp:lastPrinted>2025-11-11T13:44:46Z</cp:lastPrinted>
  <dcterms:modified xsi:type="dcterms:W3CDTF">2026-09-03T11:32:21Z</dcterms:modified>
  <cp:revision>70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