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settings.xml" ContentType="application/vnd.openxmlformats-officedocument.wordprocessingml.setting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media/image9.wmf" ContentType="image/x-wmf"/>
  <Override PartName="/word/media/image10.wmf" ContentType="image/x-wmf"/>
  <Override PartName="/word/media/image17.png" ContentType="image/png"/>
  <Override PartName="/word/media/image13.wmf" ContentType="image/x-wmf"/>
  <Override PartName="/word/media/image8.wmf" ContentType="image/x-wmf"/>
  <Override PartName="/word/media/image12.wmf" ContentType="image/x-wmf"/>
  <Override PartName="/word/media/image20.wmf" ContentType="image/x-wmf"/>
  <Override PartName="/word/media/image19.wmf" ContentType="image/x-wmf"/>
  <Override PartName="/word/media/image1.png" ContentType="image/png"/>
  <Override PartName="/word/media/image18.wmf" ContentType="image/x-wmf"/>
  <Override PartName="/word/media/image16.wmf" ContentType="image/x-wmf"/>
  <Override PartName="/word/media/image15.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11.wmf" ContentType="image/x-wmf"/>
  <Override PartName="/word/media/image7.wmf" ContentType="image/x-wmf"/>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spacing w:val="2"/>
          <w:sz w:val="24"/>
          <w:szCs w:val="24"/>
        </w:rPr>
        <w:t xml:space="preserve">Акционерное общество «Транспортная компания РусГидро» </w:t>
      </w:r>
      <w:r>
        <w:rPr>
          <w:spacing w:val="2"/>
          <w:sz w:val="24"/>
          <w:szCs w:val="24"/>
        </w:rPr>
        <w:t xml:space="preserve">(АО «ТК РусГидро»)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конкурентной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false"/>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highlight w:val="lightGray"/>
        </w:rPr>
        <w:t>«___» ___________ 20___</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vertAlign w:val="superscript"/>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9"/>
          <w:tab w:val="left" w:pos="568" w:leader="none"/>
          <w:tab w:val="left" w:pos="1134" w:leader="none"/>
        </w:tabs>
        <w:ind w:left="0" w:firstLine="709"/>
        <w:jc w:val="both"/>
        <w:rPr/>
      </w:pPr>
      <w:r>
        <w:rPr>
          <w:bCs/>
          <w:sz w:val="24"/>
          <w:szCs w:val="24"/>
          <w:highlight w:val="lightGray"/>
        </w:rPr>
        <w: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t>
        <w:br/>
        <w: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t>
        <w:br/>
        <w: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w:t>
      </w:r>
      <w:r>
        <w:rPr>
          <w:rStyle w:val="FootnoteReference"/>
          <w:sz w:val="24"/>
        </w:rPr>
        <w:footnoteReference w:id="4"/>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2"/>
        </w:numPr>
        <w:tabs>
          <w:tab w:val="clear" w:pos="709"/>
        </w:tabs>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5"/>
      </w:r>
      <w:r>
        <w:rPr>
          <w:sz w:val="24"/>
        </w:rPr>
        <w:t xml:space="preserve">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10"/>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1"/>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2"/>
      </w:r>
      <w:r>
        <w:rPr>
          <w:sz w:val="24"/>
          <w:szCs w:val="24"/>
          <w:highlight w:val="lightGray"/>
        </w:rPr>
        <w:t>.</w:t>
      </w:r>
    </w:p>
    <w:p>
      <w:pPr>
        <w:pStyle w:val="ListParagraph"/>
        <w:widowControl/>
        <w:numPr>
          <w:ilvl w:val="1"/>
          <w:numId w:val="2"/>
        </w:numPr>
        <w:shd w:val="clear" w:color="auto" w:fill="FFFFFF"/>
        <w:tabs>
          <w:tab w:val="clear" w:pos="709"/>
        </w:tabs>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8"/>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8"/>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8"/>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8"/>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8"/>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8"/>
        </w:numPr>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в ценовых зонах:</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 xml:space="preserve">в неценовой зоне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6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неценовой зоне Дальнего Востока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w:t>
      </w:r>
    </w:p>
    <w:p>
      <w:pPr>
        <w:pStyle w:val="ListParagraph"/>
        <w:numPr>
          <w:ilvl w:val="2"/>
          <w:numId w:val="18"/>
        </w:numPr>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как произведение установленной мощности модернизированного объекта на тариф </w:t>
        <w:br/>
        <w:t xml:space="preserve">по мощности, определенный Коммерческим оператором оптового рынка согласно приложению № 5(3) к Основам ценообразования в области регулируемых цен (тарифов) </w:t>
        <w:br/>
        <w:t xml:space="preserve">в электроэнергетике, утвержденным постановлением Правительства Российской Федерации от 29.12.2011 № 1178 «О ценообразовании в области регулируемых цен (тарифов) </w:t>
        <w:br/>
        <w:t>в электроэнергетике», в порядке, установленном договором о присоединении к торговой системе оптового рынка, на каждый месяц в течение 180 (ста восьмидесяти) месяцев с даты начала поставки мощности, указанной в перечне, утвержденном Правительством Российской Федерации.</w:t>
      </w:r>
    </w:p>
    <w:p>
      <w:pPr>
        <w:pStyle w:val="ListParagraph"/>
        <w:numPr>
          <w:ilvl w:val="2"/>
          <w:numId w:val="18"/>
        </w:numPr>
        <w:ind w:left="0" w:firstLine="709"/>
        <w:jc w:val="both"/>
        <w:rPr>
          <w:sz w:val="24"/>
          <w:szCs w:val="24"/>
          <w:highlight w:val="lightGray"/>
        </w:rPr>
      </w:pPr>
      <w:r>
        <w:rPr>
          <w:sz w:val="24"/>
          <w:szCs w:val="24"/>
          <w:highlight w:val="lightGray"/>
        </w:rPr>
        <w:t xml:space="preserve">С уменьшением тарифа на мощность генерирующего объекта в порядке, установленном договором о присоединении к торговой системе оптового рынка, </w:t>
        <w:br/>
        <w: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t>
        <w:br/>
        <w:t>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t>
        <w:br/>
        <w:t>по локализации.</w:t>
      </w:r>
    </w:p>
    <w:p>
      <w:pPr>
        <w:pStyle w:val="ListParagraph"/>
        <w:numPr>
          <w:ilvl w:val="2"/>
          <w:numId w:val="18"/>
        </w:numPr>
        <w:ind w:left="0" w:firstLine="709"/>
        <w:jc w:val="both"/>
        <w:rPr>
          <w:sz w:val="24"/>
          <w:szCs w:val="24"/>
          <w:highlight w:val="lightGray"/>
        </w:rPr>
      </w:pPr>
      <w:r>
        <w:rPr>
          <w:sz w:val="24"/>
          <w:szCs w:val="24"/>
          <w:highlight w:val="lightGray"/>
        </w:rPr>
        <w:t xml:space="preserve"> </w:t>
      </w:r>
      <w:r>
        <w:rPr>
          <w:sz w:val="24"/>
          <w:szCs w:val="24"/>
          <w:highlight w:val="lightGray"/>
        </w:rPr>
        <w:t xml:space="preserve">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w:t>
        <w:br/>
        <w:t>№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sz w:val="24"/>
          <w:szCs w:val="24"/>
          <w:highlight w:val="lightGray"/>
        </w:rPr>
        <w:footnoteReference w:id="13"/>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6 к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18"/>
        </w:numPr>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FootnoteReference"/>
          <w:rFonts w:eastAsia="Calibri"/>
          <w:bCs/>
          <w:sz w:val="24"/>
          <w:szCs w:val="24"/>
          <w:highlight w:val="lightGray"/>
        </w:rPr>
        <w:footnoteReference w:id="14"/>
      </w:r>
      <w:r>
        <w:rPr>
          <w:rFonts w:eastAsia="Calibri"/>
          <w:bCs/>
          <w:sz w:val="24"/>
          <w:szCs w:val="24"/>
          <w:highlight w:val="lightGray"/>
        </w:rPr>
        <w:t>.</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8"/>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8"/>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5"/>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bCs/>
          <w:sz w:val="24"/>
          <w:szCs w:val="24"/>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6"/>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7"/>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8"/>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5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 xml:space="preserve">Приложение № 6 – Методика расчета упущенной выгоды (выручки) </w:t>
        <w:br/>
        <w:t xml:space="preserve">и дополнительных обязательств участника ОРЭМ от недопоставки электрической энергии </w:t>
        <w:br/>
        <w:t>и мощности на ОРЭМ в неценовой зоне Дальнего Востока.</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3"/>
        <w:gridCol w:w="145"/>
        <w:gridCol w:w="4641"/>
        <w:gridCol w:w="321"/>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color w:val="000000"/>
                <w:sz w:val="24"/>
                <w:szCs w:val="24"/>
              </w:rPr>
            </w:pPr>
            <w:r>
              <w:rPr>
                <w:color w:val="000000"/>
                <w:sz w:val="24"/>
                <w:szCs w:val="24"/>
              </w:rPr>
              <w:t>Полное наименование юридического лица:</w:t>
            </w:r>
          </w:p>
          <w:p>
            <w:pPr>
              <w:pStyle w:val="Normal"/>
              <w:widowControl w:val="false"/>
              <w:rPr>
                <w:color w:val="000000"/>
                <w:sz w:val="24"/>
                <w:szCs w:val="24"/>
              </w:rPr>
            </w:pPr>
            <w:r>
              <w:rPr>
                <w:color w:val="000000"/>
                <w:sz w:val="24"/>
                <w:szCs w:val="24"/>
              </w:rPr>
              <w:t>Акционерное общество «Транспортная компания РусГидро»</w:t>
            </w:r>
          </w:p>
          <w:p>
            <w:pPr>
              <w:pStyle w:val="Normal"/>
              <w:widowControl w:val="false"/>
              <w:rPr>
                <w:color w:val="000000"/>
                <w:sz w:val="24"/>
                <w:szCs w:val="24"/>
              </w:rPr>
            </w:pPr>
            <w:r>
              <w:rPr>
                <w:color w:val="000000"/>
                <w:sz w:val="24"/>
                <w:szCs w:val="24"/>
              </w:rPr>
              <w:t>Сокращенное наименование юридического лица</w:t>
              <w:tab/>
              <w:t>АО «ТК РусГидро»</w:t>
            </w:r>
          </w:p>
          <w:p>
            <w:pPr>
              <w:pStyle w:val="Normal"/>
              <w:widowControl w:val="false"/>
              <w:rPr>
                <w:color w:val="000000"/>
                <w:sz w:val="24"/>
                <w:szCs w:val="24"/>
              </w:rPr>
            </w:pPr>
            <w:r>
              <w:rPr>
                <w:color w:val="000000"/>
                <w:sz w:val="24"/>
                <w:szCs w:val="24"/>
              </w:rPr>
              <w:t>Юридический адрес</w:t>
              <w:tab/>
              <w:t>655619, Хакасия Республика, Саяногорск город, Черемушки рабочий поселок, строение 101</w:t>
            </w:r>
          </w:p>
          <w:p>
            <w:pPr>
              <w:pStyle w:val="Normal"/>
              <w:widowControl w:val="false"/>
              <w:rPr>
                <w:color w:val="000000"/>
                <w:sz w:val="24"/>
                <w:szCs w:val="24"/>
              </w:rPr>
            </w:pPr>
            <w:r>
              <w:rPr>
                <w:color w:val="000000"/>
                <w:sz w:val="24"/>
                <w:szCs w:val="24"/>
              </w:rPr>
              <w:t>Почтовый адрес</w:t>
              <w:tab/>
              <w:t>690003, Россия, Приморский край, г. Владивосток, ул. Станюковича, д.1</w:t>
            </w:r>
          </w:p>
          <w:p>
            <w:pPr>
              <w:pStyle w:val="Normal"/>
              <w:widowControl w:val="false"/>
              <w:rPr>
                <w:color w:val="000000"/>
                <w:sz w:val="24"/>
                <w:szCs w:val="24"/>
              </w:rPr>
            </w:pPr>
            <w:r>
              <w:rPr>
                <w:color w:val="000000"/>
                <w:sz w:val="24"/>
                <w:szCs w:val="24"/>
              </w:rPr>
              <w:t>ИНН</w:t>
              <w:tab/>
              <w:t>1902018248</w:t>
            </w:r>
          </w:p>
          <w:p>
            <w:pPr>
              <w:pStyle w:val="Normal"/>
              <w:widowControl w:val="false"/>
              <w:rPr>
                <w:color w:val="000000"/>
                <w:sz w:val="24"/>
                <w:szCs w:val="24"/>
              </w:rPr>
            </w:pPr>
            <w:r>
              <w:rPr>
                <w:color w:val="000000"/>
                <w:sz w:val="24"/>
                <w:szCs w:val="24"/>
              </w:rPr>
              <w:t>КПП</w:t>
              <w:tab/>
              <w:t>190201001</w:t>
            </w:r>
          </w:p>
          <w:p>
            <w:pPr>
              <w:pStyle w:val="Normal"/>
              <w:widowControl w:val="false"/>
              <w:rPr>
                <w:color w:val="000000"/>
                <w:sz w:val="24"/>
                <w:szCs w:val="24"/>
              </w:rPr>
            </w:pPr>
            <w:r>
              <w:rPr>
                <w:color w:val="000000"/>
                <w:sz w:val="24"/>
                <w:szCs w:val="24"/>
              </w:rPr>
              <w:t>ОГРН</w:t>
              <w:tab/>
              <w:t>1031900676356</w:t>
            </w:r>
          </w:p>
          <w:p>
            <w:pPr>
              <w:pStyle w:val="Normal"/>
              <w:widowControl w:val="false"/>
              <w:rPr>
                <w:color w:val="000000"/>
                <w:sz w:val="24"/>
                <w:szCs w:val="24"/>
              </w:rPr>
            </w:pPr>
            <w:r>
              <w:rPr>
                <w:color w:val="000000"/>
                <w:sz w:val="24"/>
                <w:szCs w:val="24"/>
              </w:rPr>
              <w:t>ОКПО</w:t>
              <w:tab/>
              <w:t>42213224</w:t>
            </w:r>
          </w:p>
          <w:p>
            <w:pPr>
              <w:pStyle w:val="Normal"/>
              <w:widowControl w:val="false"/>
              <w:rPr>
                <w:color w:val="000000"/>
                <w:sz w:val="24"/>
                <w:szCs w:val="24"/>
              </w:rPr>
            </w:pPr>
            <w:r>
              <w:rPr>
                <w:color w:val="000000"/>
                <w:sz w:val="24"/>
                <w:szCs w:val="24"/>
              </w:rPr>
              <w:t>Наименование банка и его адрес</w:t>
              <w:tab/>
              <w:t>«ГПБ» (АО), г. Москва</w:t>
            </w:r>
          </w:p>
          <w:p>
            <w:pPr>
              <w:pStyle w:val="Normal"/>
              <w:widowControl w:val="false"/>
              <w:rPr>
                <w:color w:val="000000"/>
                <w:sz w:val="24"/>
                <w:szCs w:val="24"/>
              </w:rPr>
            </w:pPr>
            <w:r>
              <w:rPr>
                <w:color w:val="000000"/>
                <w:sz w:val="24"/>
                <w:szCs w:val="24"/>
              </w:rPr>
              <w:t>Банковские реквизиты</w:t>
              <w:tab/>
              <w:t>р/с 40702810795000000002</w:t>
            </w:r>
          </w:p>
          <w:p>
            <w:pPr>
              <w:pStyle w:val="Normal"/>
              <w:widowControl w:val="false"/>
              <w:rPr>
                <w:color w:val="000000"/>
                <w:sz w:val="24"/>
                <w:szCs w:val="24"/>
              </w:rPr>
            </w:pPr>
            <w:r>
              <w:rPr>
                <w:color w:val="000000"/>
                <w:sz w:val="24"/>
                <w:szCs w:val="24"/>
              </w:rPr>
              <w:t>к/с 30101810400000000823</w:t>
            </w:r>
          </w:p>
          <w:p>
            <w:pPr>
              <w:pStyle w:val="Normal"/>
              <w:widowControl w:val="false"/>
              <w:rPr>
                <w:color w:val="000000"/>
                <w:sz w:val="24"/>
                <w:szCs w:val="24"/>
              </w:rPr>
            </w:pPr>
            <w:r>
              <w:rPr>
                <w:color w:val="000000"/>
                <w:sz w:val="24"/>
                <w:szCs w:val="24"/>
              </w:rPr>
              <w:t>БИК 044525823</w:t>
            </w:r>
          </w:p>
          <w:p>
            <w:pPr>
              <w:pStyle w:val="Normal"/>
              <w:widowControl w:val="false"/>
              <w:rPr>
                <w:color w:val="000000"/>
                <w:sz w:val="24"/>
                <w:szCs w:val="24"/>
              </w:rPr>
            </w:pPr>
            <w:r>
              <w:rPr>
                <w:color w:val="000000"/>
                <w:sz w:val="24"/>
                <w:szCs w:val="24"/>
              </w:rPr>
              <w:t>Телефон</w:t>
              <w:tab/>
            </w:r>
          </w:p>
          <w:p>
            <w:pPr>
              <w:pStyle w:val="Normal"/>
              <w:widowControl w:val="false"/>
              <w:rPr>
                <w:color w:val="000000"/>
                <w:sz w:val="24"/>
                <w:szCs w:val="24"/>
              </w:rPr>
            </w:pPr>
            <w:r>
              <w:rPr>
                <w:b/>
                <w:color w:val="000000"/>
                <w:sz w:val="24"/>
                <w:szCs w:val="24"/>
              </w:rPr>
              <w:t>E-mail</w:t>
              <w:tab/>
              <w:t>Office_IA_TK@rushydro.ru</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3"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1"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left="5103" w:right="96" w:hanging="0"/>
        <w:rPr>
          <w:sz w:val="22"/>
          <w:szCs w:val="22"/>
        </w:rPr>
      </w:pPr>
      <w:r>
        <w:rPr>
          <w:sz w:val="22"/>
          <w:szCs w:val="22"/>
        </w:rPr>
        <w:t>Приложение № 1</w:t>
      </w:r>
    </w:p>
    <w:p>
      <w:pPr>
        <w:pStyle w:val="Normal"/>
        <w:suppressAutoHyphens w:val="true"/>
        <w:ind w:left="5103" w:right="96" w:hanging="0"/>
        <w:rPr>
          <w:sz w:val="22"/>
          <w:szCs w:val="22"/>
        </w:rPr>
      </w:pPr>
      <w:r>
        <w:rPr>
          <w:sz w:val="22"/>
          <w:szCs w:val="22"/>
        </w:rPr>
        <w:t>к Договору поставки</w:t>
      </w:r>
    </w:p>
    <w:p>
      <w:pPr>
        <w:pStyle w:val="Normal"/>
        <w:suppressAutoHyphens w:val="true"/>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00"/>
        <w:gridCol w:w="630"/>
        <w:gridCol w:w="636"/>
        <w:gridCol w:w="638"/>
        <w:gridCol w:w="801"/>
        <w:gridCol w:w="764"/>
        <w:gridCol w:w="644"/>
        <w:gridCol w:w="762"/>
        <w:gridCol w:w="720"/>
        <w:gridCol w:w="383"/>
        <w:gridCol w:w="151"/>
        <w:gridCol w:w="671"/>
        <w:gridCol w:w="576"/>
        <w:gridCol w:w="535"/>
        <w:gridCol w:w="745"/>
        <w:gridCol w:w="581"/>
      </w:tblGrid>
      <w:tr>
        <w:trPr>
          <w:trHeight w:val="526" w:hRule="atLeast"/>
        </w:trPr>
        <w:tc>
          <w:tcPr>
            <w:tcW w:w="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9"/>
            </w:r>
          </w:p>
        </w:tc>
        <w:tc>
          <w:tcPr>
            <w:tcW w:w="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20"/>
            </w:r>
          </w:p>
          <w:p>
            <w:pPr>
              <w:pStyle w:val="Normal"/>
              <w:widowControl w:val="false"/>
              <w:jc w:val="center"/>
              <w:rPr>
                <w:bCs/>
              </w:rPr>
            </w:pPr>
            <w:r>
              <w:rPr>
                <w:bCs/>
              </w:rPr>
            </w:r>
          </w:p>
        </w:tc>
        <w:tc>
          <w:tcPr>
            <w:tcW w:w="5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80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4"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8"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59"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rPr>
          <w:i/>
          <w:i/>
          <w:sz w:val="22"/>
          <w:szCs w:val="22"/>
          <w:highlight w:val="lightGray"/>
        </w:rPr>
      </w:pPr>
      <w:r>
        <w:rPr>
          <w:i/>
          <w:sz w:val="22"/>
          <w:szCs w:val="22"/>
          <w:highlight w:val="lightGray"/>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ind w:right="96" w:firstLine="5103"/>
        <w:rPr>
          <w:sz w:val="22"/>
          <w:szCs w:val="22"/>
        </w:rPr>
      </w:pPr>
      <w:r>
        <w:rPr>
          <w:sz w:val="22"/>
          <w:szCs w:val="22"/>
        </w:rPr>
        <w:t>Приложение № 2</w:t>
      </w:r>
    </w:p>
    <w:p>
      <w:pPr>
        <w:pStyle w:val="Normal"/>
        <w:suppressAutoHyphens w:val="true"/>
        <w:ind w:right="96" w:firstLine="5103"/>
        <w:rPr>
          <w:sz w:val="22"/>
          <w:szCs w:val="22"/>
        </w:rPr>
      </w:pPr>
      <w:r>
        <w:rPr>
          <w:sz w:val="22"/>
          <w:szCs w:val="22"/>
        </w:rPr>
        <w:t xml:space="preserve">к Договору поставки </w:t>
      </w:r>
    </w:p>
    <w:p>
      <w:pPr>
        <w:pStyle w:val="Normal"/>
        <w:suppressAutoHyphens w:val="true"/>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3</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1"/>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22"/>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 xml:space="preserve">«Об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w:t>
        <w:br/>
        <w:t>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 xml:space="preserve">Иметь собственные средства (капитал) в размере не менее 30 млрд. рублей </w:t>
        <w:br/>
        <w:t xml:space="preserve">на 1 января текущего календарного года, опубликованного на официальном сайте ЦБ РФ </w:t>
        <w:br/>
        <w:t>в информационно-телекоммуникационной сети «Интернет» (</w:t>
      </w:r>
      <w:r>
        <w:rPr>
          <w:sz w:val="24"/>
          <w:szCs w:val="24"/>
          <w:lang w:val="en-GB"/>
        </w:rPr>
        <w:t>www</w:t>
      </w:r>
      <w:r>
        <w:rPr>
          <w:sz w:val="24"/>
          <w:szCs w:val="24"/>
        </w:rPr>
        <w:t>.</w:t>
      </w:r>
      <w:r>
        <w:rPr>
          <w:sz w:val="24"/>
          <w:szCs w:val="24"/>
          <w:lang w:val="en-GB"/>
        </w:rPr>
        <w:t>cbr</w:t>
      </w:r>
      <w:r>
        <w:rPr>
          <w:sz w:val="24"/>
          <w:szCs w:val="24"/>
        </w:rPr>
        <w:t>.</w:t>
      </w:r>
      <w:r>
        <w:rPr>
          <w:sz w:val="24"/>
          <w:szCs w:val="24"/>
          <w:lang w:val="en-GB"/>
        </w:rPr>
        <w:t>ru</w:t>
      </w:r>
      <w:r>
        <w:rPr>
          <w:sz w:val="24"/>
          <w:szCs w:val="24"/>
        </w:rPr>
        <w:t xml:space="preserve">) по строке 000 «Расчет собственных средств (капитала) («Базель </w:t>
      </w:r>
      <w:r>
        <w:rPr>
          <w:sz w:val="24"/>
          <w:szCs w:val="24"/>
          <w:lang w:val="en-GB"/>
        </w:rPr>
        <w:t>III</w:t>
      </w:r>
      <w:r>
        <w:rPr>
          <w:sz w:val="24"/>
          <w:szCs w:val="24"/>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sz w:val="24"/>
          <w:szCs w:val="24"/>
          <w:lang w:val="en-GB"/>
        </w:rPr>
        <w:t>III</w:t>
      </w:r>
      <w:r>
        <w:rPr>
          <w:sz w:val="24"/>
          <w:szCs w:val="24"/>
        </w:rPr>
        <w:t xml:space="preserve">»)» (далее – Методика </w:t>
        <w:br/>
        <w:t>ЦБ РФ) или иным документом, его заменяющим (в случае изменения или отмены указанного Положения).</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23"/>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24"/>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25"/>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2"/>
        <w:gridCol w:w="8507"/>
      </w:tblGrid>
      <w:tr>
        <w:trPr>
          <w:trHeight w:val="426" w:hRule="atLeast"/>
        </w:trPr>
        <w:tc>
          <w:tcPr>
            <w:tcW w:w="817" w:type="dxa"/>
            <w:tcBorders/>
          </w:tcPr>
          <w:p>
            <w:pPr>
              <w:pStyle w:val="Normal"/>
              <w:widowControl w:val="false"/>
              <w:ind w:right="-108" w:hanging="0"/>
              <w:jc w:val="both"/>
              <w:rPr>
                <w:color w:val="000000"/>
                <w:sz w:val="24"/>
                <w:szCs w:val="24"/>
                <w:lang w:val="en-GB"/>
              </w:rPr>
            </w:pPr>
            <w:r>
              <w:rPr>
                <w:b/>
                <w:i/>
                <w:color w:val="000000"/>
                <w:sz w:val="24"/>
                <w:szCs w:val="24"/>
                <w:lang w:val="en-GB"/>
              </w:rPr>
              <w:t>Lim</w:t>
            </w:r>
            <w:r>
              <w:rPr>
                <w:b/>
                <w:i/>
                <w:color w:val="000000"/>
                <w:sz w:val="24"/>
                <w:szCs w:val="24"/>
                <w:vertAlign w:val="subscript"/>
                <w:lang w:val="en-US"/>
              </w:rPr>
              <w:t xml:space="preserve">Ai </w:t>
            </w:r>
          </w:p>
        </w:tc>
        <w:tc>
          <w:tcPr>
            <w:tcW w:w="282" w:type="dxa"/>
            <w:tcBorders/>
          </w:tcPr>
          <w:p>
            <w:pPr>
              <w:pStyle w:val="Normal"/>
              <w:widowControl w:val="false"/>
              <w:ind w:left="317" w:right="-108" w:hanging="317"/>
              <w:jc w:val="both"/>
              <w:rPr>
                <w:color w:val="000000"/>
                <w:sz w:val="24"/>
                <w:szCs w:val="24"/>
                <w:lang w:val="en-GB"/>
              </w:rPr>
            </w:pPr>
            <w:r>
              <w:rPr>
                <w:sz w:val="24"/>
                <w:szCs w:val="24"/>
                <w:lang w:val="en-GB"/>
              </w:rPr>
              <w:t xml:space="preserve">-  </w:t>
            </w:r>
          </w:p>
        </w:tc>
        <w:tc>
          <w:tcPr>
            <w:tcW w:w="8507" w:type="dxa"/>
            <w:tcBorders/>
          </w:tcPr>
          <w:p>
            <w:pPr>
              <w:pStyle w:val="Normal"/>
              <w:widowControl w:val="false"/>
              <w:ind w:left="-75" w:right="-108" w:hanging="0"/>
              <w:jc w:val="both"/>
              <w:rPr>
                <w:color w:val="000000"/>
                <w:sz w:val="24"/>
                <w:szCs w:val="24"/>
              </w:rPr>
            </w:pPr>
            <w:r>
              <w:rPr>
                <w:sz w:val="24"/>
                <w:szCs w:val="24"/>
              </w:rPr>
              <w:t xml:space="preserve">Лимит риска для </w:t>
            </w:r>
            <w:r>
              <w:rPr>
                <w:sz w:val="24"/>
                <w:szCs w:val="24"/>
                <w:lang w:val="en-GB"/>
              </w:rPr>
              <w:t>i</w:t>
            </w:r>
            <w:r>
              <w:rPr>
                <w:sz w:val="24"/>
                <w:szCs w:val="24"/>
              </w:rPr>
              <w:t>-ой кредитной организации</w:t>
            </w:r>
            <w:r>
              <w:rPr>
                <w:rStyle w:val="FootnoteReference"/>
                <w:sz w:val="24"/>
                <w:szCs w:val="24"/>
                <w:vertAlign w:val="superscript"/>
                <w:lang w:val="en-GB"/>
              </w:rPr>
              <w:footnoteReference w:id="26"/>
            </w:r>
            <w:r>
              <w:rPr>
                <w:sz w:val="24"/>
                <w:szCs w:val="24"/>
                <w:vertAlign w:val="superscript"/>
              </w:rPr>
              <w:t>.</w:t>
            </w:r>
            <w:r>
              <w:rPr>
                <w:sz w:val="24"/>
                <w:szCs w:val="24"/>
              </w:rPr>
              <w:t xml:space="preserve"> </w:t>
            </w:r>
          </w:p>
        </w:tc>
      </w:tr>
      <w:tr>
        <w:trPr>
          <w:trHeight w:val="280" w:hRule="atLeast"/>
        </w:trPr>
        <w:tc>
          <w:tcPr>
            <w:tcW w:w="817" w:type="dxa"/>
            <w:tcBorders/>
          </w:tcPr>
          <w:p>
            <w:pPr>
              <w:pStyle w:val="Normal"/>
              <w:widowControl w:val="false"/>
              <w:ind w:right="-108" w:hanging="0"/>
              <w:jc w:val="both"/>
              <w:rPr>
                <w:b/>
                <w:i/>
                <w:i/>
                <w:color w:val="000000"/>
                <w:sz w:val="24"/>
                <w:szCs w:val="24"/>
                <w:vertAlign w:val="subscript"/>
                <w:lang w:val="en-GB"/>
              </w:rPr>
            </w:pPr>
            <w:r>
              <w:rPr>
                <w:b/>
                <w:i/>
                <w:color w:val="000000"/>
                <w:sz w:val="24"/>
                <w:szCs w:val="24"/>
                <w:lang w:val="en-GB"/>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hanging="0"/>
              <w:jc w:val="both"/>
              <w:rPr>
                <w:color w:val="000000"/>
                <w:sz w:val="24"/>
                <w:szCs w:val="24"/>
                <w:lang w:val="en-GB"/>
              </w:rPr>
            </w:pPr>
            <w:r>
              <w:rPr>
                <w:color w:val="000000"/>
                <w:sz w:val="24"/>
                <w:szCs w:val="24"/>
                <w:lang w:val="en-GB"/>
              </w:rPr>
            </w:r>
          </w:p>
        </w:tc>
        <w:tc>
          <w:tcPr>
            <w:tcW w:w="282" w:type="dxa"/>
            <w:tcBorders/>
          </w:tcPr>
          <w:p>
            <w:pPr>
              <w:pStyle w:val="Normal"/>
              <w:widowControl w:val="false"/>
              <w:ind w:right="-108" w:hanging="0"/>
              <w:jc w:val="both"/>
              <w:rPr>
                <w:color w:val="000000"/>
                <w:sz w:val="24"/>
                <w:szCs w:val="24"/>
                <w:lang w:val="en-GB"/>
              </w:rPr>
            </w:pPr>
            <w:r>
              <w:rPr>
                <w:sz w:val="24"/>
                <w:szCs w:val="24"/>
                <w:lang w:val="en-GB"/>
              </w:rPr>
              <w:t>-</w:t>
            </w:r>
            <w:r>
              <w:rPr>
                <w:color w:val="000000"/>
                <w:sz w:val="24"/>
                <w:szCs w:val="24"/>
                <w:lang w:val="en-GB"/>
              </w:rPr>
              <w:t xml:space="preserve">  </w:t>
            </w:r>
          </w:p>
        </w:tc>
        <w:tc>
          <w:tcPr>
            <w:tcW w:w="8507" w:type="dxa"/>
            <w:tcBorders/>
          </w:tcPr>
          <w:p>
            <w:pPr>
              <w:pStyle w:val="Normal"/>
              <w:widowControl w:val="false"/>
              <w:ind w:left="-75" w:right="-108" w:hanging="0"/>
              <w:jc w:val="both"/>
              <w:rPr>
                <w:color w:val="000000"/>
                <w:sz w:val="24"/>
                <w:szCs w:val="24"/>
              </w:rPr>
            </w:pPr>
            <w:r>
              <w:rPr>
                <w:sz w:val="24"/>
                <w:szCs w:val="24"/>
              </w:rPr>
              <w:t xml:space="preserve">размер собственных средств (капитала) </w:t>
            </w:r>
            <w:r>
              <w:rPr>
                <w:sz w:val="24"/>
                <w:szCs w:val="24"/>
                <w:lang w:val="en-GB"/>
              </w:rPr>
              <w:t>i</w:t>
            </w:r>
            <w:r>
              <w:rPr>
                <w:sz w:val="24"/>
                <w:szCs w:val="24"/>
              </w:rPr>
              <w:t xml:space="preserve">-ой кредитной организации на 01 января текущего календарного года, опубликованный на официальном сайте ЦБ РФ </w:t>
              <w:br/>
              <w:t>в информационно-телекоммуникационной сети «Интернет» (</w:t>
            </w:r>
            <w:hyperlink r:id="rId8">
              <w:r>
                <w:rPr>
                  <w:sz w:val="24"/>
                  <w:szCs w:val="24"/>
                  <w:u w:val="single"/>
                  <w:lang w:val="en-GB"/>
                </w:rPr>
                <w:t>www</w:t>
              </w:r>
              <w:r>
                <w:rPr>
                  <w:sz w:val="24"/>
                  <w:szCs w:val="24"/>
                  <w:u w:val="single"/>
                </w:rPr>
                <w:t>.</w:t>
              </w:r>
              <w:r>
                <w:rPr>
                  <w:sz w:val="24"/>
                  <w:szCs w:val="24"/>
                  <w:u w:val="single"/>
                  <w:lang w:val="en-GB"/>
                </w:rPr>
                <w:t>cbr</w:t>
              </w:r>
              <w:r>
                <w:rPr>
                  <w:sz w:val="24"/>
                  <w:szCs w:val="24"/>
                  <w:u w:val="single"/>
                </w:rPr>
                <w:t>.</w:t>
              </w:r>
              <w:r>
                <w:rPr>
                  <w:sz w:val="24"/>
                  <w:szCs w:val="24"/>
                  <w:u w:val="single"/>
                  <w:lang w:val="en-GB"/>
                </w:rPr>
                <w:t>ru</w:t>
              </w:r>
            </w:hyperlink>
            <w:r>
              <w:rPr>
                <w:sz w:val="24"/>
                <w:szCs w:val="24"/>
              </w:rPr>
              <w:t xml:space="preserve">) </w:t>
              <w:br/>
              <w:t>по строке 000 «Расчет собственных средств (капитала) («Базель</w:t>
            </w:r>
            <w:r>
              <w:rPr>
                <w:sz w:val="24"/>
                <w:szCs w:val="24"/>
                <w:lang w:val="en-GB"/>
              </w:rPr>
              <w:t> III</w:t>
            </w:r>
            <w:r>
              <w:rPr>
                <w:sz w:val="24"/>
                <w:szCs w:val="24"/>
              </w:rPr>
              <w:t>»)», код формы 0409123;</w:t>
            </w:r>
          </w:p>
        </w:tc>
      </w:tr>
      <w:tr>
        <w:trPr>
          <w:trHeight w:val="993" w:hRule="atLeast"/>
        </w:trPr>
        <w:tc>
          <w:tcPr>
            <w:tcW w:w="817" w:type="dxa"/>
            <w:tcBorders/>
          </w:tcPr>
          <w:p>
            <w:pPr>
              <w:pStyle w:val="Normal"/>
              <w:widowControl w:val="false"/>
              <w:ind w:right="-108" w:hanging="0"/>
              <w:jc w:val="both"/>
              <w:rPr>
                <w:b/>
                <w:i/>
                <w:i/>
                <w:color w:val="000000"/>
                <w:sz w:val="24"/>
                <w:szCs w:val="24"/>
                <w:lang w:val="en-GB"/>
              </w:rPr>
            </w:pPr>
            <w:r>
              <w:rPr>
                <w:b/>
                <w:i/>
                <w:color w:val="000000"/>
                <w:sz w:val="24"/>
                <w:szCs w:val="24"/>
                <w:lang w:val="en-GB"/>
              </w:rPr>
              <w:t>r</w:t>
            </w:r>
            <w:r>
              <w:rPr>
                <w:b/>
                <w:i/>
                <w:color w:val="000000"/>
                <w:sz w:val="24"/>
                <w:szCs w:val="24"/>
                <w:vertAlign w:val="subscript"/>
                <w:lang w:val="en-GB"/>
              </w:rPr>
              <w:t>i</w:t>
            </w:r>
          </w:p>
        </w:tc>
        <w:tc>
          <w:tcPr>
            <w:tcW w:w="282" w:type="dxa"/>
            <w:tcBorders/>
          </w:tcPr>
          <w:p>
            <w:pPr>
              <w:pStyle w:val="Normal"/>
              <w:widowControl w:val="false"/>
              <w:ind w:right="-108" w:hanging="0"/>
              <w:jc w:val="both"/>
              <w:rPr>
                <w:sz w:val="24"/>
                <w:szCs w:val="24"/>
                <w:lang w:val="en-GB"/>
              </w:rPr>
            </w:pPr>
            <w:r>
              <w:rPr>
                <w:sz w:val="24"/>
                <w:szCs w:val="24"/>
                <w:lang w:val="en-GB"/>
              </w:rPr>
              <w:t>-</w:t>
            </w:r>
          </w:p>
        </w:tc>
        <w:tc>
          <w:tcPr>
            <w:tcW w:w="8507" w:type="dxa"/>
            <w:tcBorders/>
          </w:tcPr>
          <w:p>
            <w:pPr>
              <w:pStyle w:val="Normal"/>
              <w:widowControl w:val="false"/>
              <w:tabs>
                <w:tab w:val="clear" w:pos="709"/>
                <w:tab w:val="left" w:pos="7130" w:leader="none"/>
              </w:tabs>
              <w:ind w:right="-108" w:hanging="0"/>
              <w:jc w:val="both"/>
              <w:rPr>
                <w:sz w:val="24"/>
                <w:szCs w:val="24"/>
              </w:rPr>
            </w:pPr>
            <w:r>
              <w:rPr>
                <w:sz w:val="24"/>
                <w:szCs w:val="24"/>
              </w:rPr>
              <w:t>рейтинговый коэффициент</w:t>
            </w:r>
            <w:r>
              <w:rPr>
                <w:rStyle w:val="FootnoteReference"/>
                <w:sz w:val="24"/>
                <w:szCs w:val="24"/>
                <w:vertAlign w:val="superscript"/>
                <w:lang w:val="en-GB"/>
              </w:rPr>
              <w:footnoteReference w:id="27"/>
            </w:r>
            <w:r>
              <w:rPr>
                <w:sz w:val="24"/>
                <w:szCs w:val="24"/>
              </w:rPr>
              <w:t xml:space="preserve"> для </w:t>
            </w:r>
            <w:r>
              <w:rPr>
                <w:sz w:val="24"/>
                <w:szCs w:val="24"/>
                <w:lang w:val="en-GB"/>
              </w:rPr>
              <w:t>i</w:t>
            </w:r>
            <w:r>
              <w:rPr>
                <w:sz w:val="24"/>
                <w:szCs w:val="24"/>
              </w:rPr>
              <w:t>-ой кредитной организации, равный:</w:t>
            </w:r>
          </w:p>
          <w:p>
            <w:pPr>
              <w:pStyle w:val="Normal"/>
              <w:widowControl w:val="false"/>
              <w:ind w:firstLine="492"/>
              <w:jc w:val="both"/>
              <w:rPr>
                <w:sz w:val="24"/>
                <w:szCs w:val="24"/>
              </w:rPr>
            </w:pPr>
            <w:r>
              <w:rPr>
                <w:b/>
                <w:sz w:val="24"/>
                <w:szCs w:val="24"/>
              </w:rPr>
              <w:t>0,05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ind w:left="67" w:firstLine="425"/>
              <w:jc w:val="both"/>
              <w:rPr>
                <w:sz w:val="24"/>
                <w:szCs w:val="24"/>
              </w:rPr>
            </w:pPr>
            <w:r>
              <w:rPr>
                <w:b/>
                <w:sz w:val="24"/>
                <w:szCs w:val="24"/>
              </w:rPr>
              <w:t>0,025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GB"/>
              </w:rPr>
              <w:t>ruA</w:t>
            </w:r>
            <w:r>
              <w:rPr>
                <w:b/>
                <w:sz w:val="24"/>
                <w:szCs w:val="24"/>
              </w:rPr>
              <w:t>-»</w:t>
            </w:r>
            <w:r>
              <w:rPr>
                <w:sz w:val="24"/>
                <w:szCs w:val="24"/>
              </w:rPr>
              <w:t xml:space="preserve"> по классификации рейтингового агентства Эксперт РА;</w:t>
            </w:r>
          </w:p>
          <w:p>
            <w:pPr>
              <w:pStyle w:val="Normal"/>
              <w:widowControl w:val="false"/>
              <w:ind w:firstLine="492"/>
              <w:jc w:val="both"/>
              <w:rPr>
                <w:sz w:val="24"/>
                <w:szCs w:val="24"/>
              </w:rPr>
            </w:pPr>
            <w:r>
              <w:rPr>
                <w:b/>
                <w:sz w:val="24"/>
                <w:szCs w:val="24"/>
              </w:rPr>
              <w:t>0,015</w:t>
            </w:r>
            <w:r>
              <w:rPr>
                <w:sz w:val="24"/>
                <w:szCs w:val="24"/>
              </w:rPr>
              <w:t xml:space="preserve"> - если </w:t>
            </w:r>
            <w:r>
              <w:rPr>
                <w:sz w:val="24"/>
                <w:szCs w:val="24"/>
                <w:lang w:val="en-GB"/>
              </w:rPr>
              <w:t>i</w:t>
            </w:r>
            <w:r>
              <w:rPr>
                <w:sz w:val="24"/>
                <w:szCs w:val="24"/>
              </w:rPr>
              <w:t xml:space="preserve">-ая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ind w:right="96" w:firstLine="5529"/>
        <w:rPr>
          <w:sz w:val="22"/>
          <w:szCs w:val="22"/>
        </w:rPr>
      </w:pPr>
      <w:r>
        <w:rPr>
          <w:sz w:val="22"/>
          <w:szCs w:val="22"/>
        </w:rPr>
        <w:t>Приложение № 4</w:t>
      </w:r>
    </w:p>
    <w:p>
      <w:pPr>
        <w:pStyle w:val="Normal"/>
        <w:suppressAutoHyphens w:val="true"/>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napToGrid w:val="false"/>
        <w:ind w:firstLine="5103"/>
        <w:rPr>
          <w:sz w:val="22"/>
          <w:szCs w:val="22"/>
          <w:highlight w:val="lightGray"/>
        </w:rPr>
      </w:pPr>
      <w:r>
        <w:rPr>
          <w:sz w:val="22"/>
          <w:szCs w:val="22"/>
          <w:highlight w:val="lightGray"/>
        </w:rPr>
        <w:t>Приложение № 5</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ListParagraph"/>
        <w:shd w:val="clear" w:color="auto" w:fill="FFFFFF"/>
        <w:ind w:left="0" w:hanging="0"/>
        <w:jc w:val="center"/>
        <w:rPr>
          <w:bCs/>
        </w:rPr>
      </w:pPr>
      <w:r>
        <w:rPr>
          <w:bCs/>
        </w:rPr>
      </w:r>
    </w:p>
    <w:p>
      <w:pPr>
        <w:pStyle w:val="ListParagraph"/>
        <w:shd w:val="clear" w:color="auto" w:fill="FFFFFF"/>
        <w:ind w:left="0" w:hanging="0"/>
        <w:jc w:val="both"/>
        <w:rPr>
          <w:bCs/>
        </w:rPr>
      </w:pPr>
      <w:r>
        <w:rPr>
          <w:bCs/>
        </w:rPr>
      </w:r>
    </w:p>
    <w:p>
      <w:pPr>
        <w:pStyle w:val="Normal"/>
        <w:ind w:left="5103" w:hanging="0"/>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tabs>
          <w:tab w:val="clear" w:pos="709"/>
          <w:tab w:val="left" w:pos="5387" w:leader="none"/>
        </w:tabs>
        <w:ind w:left="5812" w:hanging="0"/>
        <w:rPr>
          <w:sz w:val="22"/>
          <w:szCs w:val="22"/>
        </w:rPr>
      </w:pPr>
      <w:r>
        <w:rPr>
          <w:sz w:val="22"/>
          <w:szCs w:val="22"/>
        </w:rPr>
        <w:t>Приложение № 6</w:t>
      </w:r>
    </w:p>
    <w:p>
      <w:pPr>
        <w:pStyle w:val="Normal"/>
        <w:widowControl/>
        <w:tabs>
          <w:tab w:val="clear" w:pos="709"/>
          <w:tab w:val="left" w:pos="5387" w:leader="none"/>
        </w:tabs>
        <w:ind w:left="5812" w:hanging="0"/>
        <w:rPr>
          <w:sz w:val="22"/>
          <w:szCs w:val="22"/>
        </w:rPr>
      </w:pPr>
      <w:r>
        <w:rPr>
          <w:sz w:val="22"/>
          <w:szCs w:val="22"/>
        </w:rPr>
        <w:t>к Договору поставки</w:t>
      </w:r>
    </w:p>
    <w:p>
      <w:pPr>
        <w:pStyle w:val="Normal"/>
        <w:widowControl/>
        <w:tabs>
          <w:tab w:val="clear" w:pos="709"/>
          <w:tab w:val="left" w:pos="5387" w:leader="none"/>
        </w:tabs>
        <w:ind w:left="5812" w:hanging="0"/>
        <w:rPr>
          <w:sz w:val="24"/>
          <w:szCs w:val="24"/>
        </w:rPr>
      </w:pPr>
      <w:r>
        <w:rPr>
          <w:sz w:val="22"/>
          <w:szCs w:val="22"/>
        </w:rPr>
        <w:t>от «____» ________ 20 _ г. №_______</w:t>
      </w:r>
    </w:p>
    <w:p>
      <w:pPr>
        <w:pStyle w:val="Normal"/>
        <w:widowControl/>
        <w:ind w:firstLine="709"/>
        <w:jc w:val="center"/>
        <w:rPr>
          <w:szCs w:val="24"/>
        </w:rPr>
      </w:pPr>
      <w:r>
        <w:rPr>
          <w:szCs w:val="24"/>
        </w:rPr>
      </w:r>
    </w:p>
    <w:p>
      <w:pPr>
        <w:pStyle w:val="Normal"/>
        <w:widowControl/>
        <w:spacing w:before="20" w:after="20"/>
        <w:ind w:firstLine="709"/>
        <w:jc w:val="center"/>
        <w:rPr>
          <w:sz w:val="24"/>
          <w:szCs w:val="24"/>
        </w:rPr>
      </w:pPr>
      <w:r>
        <w:rPr>
          <w:sz w:val="24"/>
          <w:szCs w:val="24"/>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w:t>
      </w:r>
    </w:p>
    <w:p>
      <w:pPr>
        <w:pStyle w:val="Normal"/>
        <w:widowControl/>
        <w:spacing w:before="20" w:after="20"/>
        <w:ind w:firstLine="709"/>
        <w:jc w:val="center"/>
        <w:rPr>
          <w:sz w:val="24"/>
          <w:szCs w:val="24"/>
        </w:rPr>
      </w:pPr>
      <w:r>
        <w:rPr>
          <w:sz w:val="24"/>
          <w:szCs w:val="24"/>
        </w:rPr>
        <w:t>в неценовой зоне Дальнего Востока</w:t>
      </w:r>
    </w:p>
    <w:p>
      <w:pPr>
        <w:pStyle w:val="Normal"/>
        <w:widowControl/>
        <w:spacing w:before="20" w:after="20"/>
        <w:ind w:firstLine="709"/>
        <w:jc w:val="center"/>
        <w:rPr>
          <w:sz w:val="24"/>
          <w:szCs w:val="24"/>
        </w:rPr>
      </w:pPr>
      <w:r>
        <w:rPr>
          <w:sz w:val="24"/>
          <w:szCs w:val="24"/>
        </w:rPr>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ListParagraph"/>
        <w:widowControl/>
        <w:numPr>
          <w:ilvl w:val="0"/>
          <w:numId w:val="19"/>
        </w:numPr>
        <w:tabs>
          <w:tab w:val="clear" w:pos="709"/>
          <w:tab w:val="left" w:pos="1276" w:leader="none"/>
          <w:tab w:val="left" w:pos="1418" w:leader="none"/>
        </w:tabs>
        <w:ind w:left="0" w:firstLine="709"/>
        <w:jc w:val="both"/>
        <w:rPr>
          <w:sz w:val="24"/>
          <w:szCs w:val="24"/>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В заявках должны быть указаны: </w:t>
      </w:r>
    </w:p>
    <w:p>
      <w:pPr>
        <w:pStyle w:val="Normal"/>
        <w:widowControl/>
        <w:numPr>
          <w:ilvl w:val="0"/>
          <w:numId w:val="17"/>
        </w:numPr>
        <w:ind w:left="0" w:firstLine="709"/>
        <w:jc w:val="both"/>
        <w:rPr>
          <w:bCs/>
          <w:sz w:val="24"/>
          <w:szCs w:val="24"/>
          <w:lang w:val="en-GB"/>
        </w:rPr>
      </w:pPr>
      <w:r>
        <w:rPr>
          <w:bCs/>
          <w:sz w:val="24"/>
          <w:szCs w:val="24"/>
          <w:lang w:val="en-GB"/>
        </w:rPr>
        <w:t>номер заявки;</w:t>
      </w:r>
    </w:p>
    <w:p>
      <w:pPr>
        <w:pStyle w:val="Normal"/>
        <w:widowControl/>
        <w:numPr>
          <w:ilvl w:val="0"/>
          <w:numId w:val="17"/>
        </w:numPr>
        <w:ind w:left="0" w:firstLine="709"/>
        <w:jc w:val="both"/>
        <w:rPr>
          <w:bCs/>
          <w:sz w:val="24"/>
          <w:szCs w:val="24"/>
          <w:lang w:val="en-GB"/>
        </w:rPr>
      </w:pPr>
      <w:r>
        <w:rPr>
          <w:bCs/>
          <w:sz w:val="24"/>
          <w:szCs w:val="24"/>
          <w:lang w:val="en-GB"/>
        </w:rPr>
        <w:t>подающее предприятие;</w:t>
      </w:r>
    </w:p>
    <w:p>
      <w:pPr>
        <w:pStyle w:val="Normal"/>
        <w:widowControl/>
        <w:numPr>
          <w:ilvl w:val="0"/>
          <w:numId w:val="17"/>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7"/>
        </w:numPr>
        <w:ind w:left="0" w:firstLine="709"/>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7"/>
        </w:numPr>
        <w:ind w:left="0" w:firstLine="709"/>
        <w:jc w:val="both"/>
        <w:rPr>
          <w:bCs/>
          <w:sz w:val="24"/>
          <w:szCs w:val="24"/>
          <w:lang w:val="en-GB"/>
        </w:rPr>
      </w:pPr>
      <w:r>
        <w:rPr>
          <w:bCs/>
          <w:sz w:val="24"/>
          <w:szCs w:val="24"/>
          <w:lang w:val="en-GB"/>
        </w:rPr>
        <w:t>содержание работ;</w:t>
      </w:r>
    </w:p>
    <w:p>
      <w:pPr>
        <w:pStyle w:val="Normal"/>
        <w:widowControl/>
        <w:numPr>
          <w:ilvl w:val="0"/>
          <w:numId w:val="17"/>
        </w:numPr>
        <w:ind w:left="0" w:firstLine="709"/>
        <w:jc w:val="both"/>
        <w:rPr>
          <w:bCs/>
          <w:sz w:val="24"/>
          <w:szCs w:val="24"/>
          <w:lang w:val="en-GB"/>
        </w:rPr>
      </w:pPr>
      <w:r>
        <w:rPr>
          <w:bCs/>
          <w:sz w:val="24"/>
          <w:szCs w:val="24"/>
          <w:lang w:val="en-GB"/>
        </w:rPr>
        <w:t>время подачи заявки;</w:t>
      </w:r>
    </w:p>
    <w:p>
      <w:pPr>
        <w:pStyle w:val="Normal"/>
        <w:widowControl/>
        <w:numPr>
          <w:ilvl w:val="0"/>
          <w:numId w:val="17"/>
        </w:numPr>
        <w:ind w:left="0" w:firstLine="709"/>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t xml:space="preserve">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w:t>
        <w:br/>
        <w:t xml:space="preserve">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w:t>
        <w:br/>
        <w:t>к торговой системе оптового рынка)» регистрируется значения снижения мощности:</w:t>
      </w:r>
    </w:p>
    <w:p>
      <w:pPr>
        <w:pStyle w:val="Normal"/>
        <w:widowControl/>
        <w:spacing w:before="20" w:after="20"/>
        <w:ind w:firstLine="709"/>
        <w:jc w:val="both"/>
        <w:rPr>
          <w:sz w:val="24"/>
          <w:szCs w:val="24"/>
        </w:rPr>
      </w:pPr>
      <w:r>
        <w:rPr/>
        <w:drawing>
          <wp:inline distT="0" distB="0" distL="0" distR="0">
            <wp:extent cx="318770" cy="223520"/>
            <wp:effectExtent l="0" t="0" r="0" b="0"/>
            <wp:docPr id="1"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 descr=""/>
                    <pic:cNvPicPr>
                      <a:picLocks noChangeAspect="1" noChangeArrowheads="1"/>
                    </pic:cNvPicPr>
                  </pic:nvPicPr>
                  <pic:blipFill>
                    <a:blip r:embed="rId9"/>
                    <a:stretch>
                      <a:fillRect/>
                    </a:stretch>
                  </pic:blipFill>
                  <pic:spPr bwMode="auto">
                    <a:xfrm>
                      <a:off x="0" y="0"/>
                      <a:ext cx="318770" cy="223520"/>
                    </a:xfrm>
                    <a:prstGeom prst="rect">
                      <a:avLst/>
                    </a:prstGeom>
                  </pic:spPr>
                </pic:pic>
              </a:graphicData>
            </a:graphic>
          </wp:inline>
        </w:drawing>
      </w:r>
      <w:r>
        <w:rPr>
          <w:sz w:val="24"/>
          <w:szCs w:val="24"/>
        </w:rPr>
        <w:t xml:space="preserve"> – </w:t>
      </w:r>
      <w:r>
        <w:rPr>
          <w:sz w:val="24"/>
          <w:szCs w:val="24"/>
        </w:rPr>
        <w:t>величина согласованного планового ремонтного снижения мощности;</w:t>
      </w:r>
    </w:p>
    <w:p>
      <w:pPr>
        <w:pStyle w:val="Normal"/>
        <w:widowControl/>
        <w:spacing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widowControl/>
        <w:spacing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360 (трехсот шестидесяти) суток для ТЭС за 4 (четыре) года;</w:t>
      </w:r>
    </w:p>
    <w:p>
      <w:pPr>
        <w:pStyle w:val="Normal"/>
        <w:widowControl/>
        <w:spacing w:before="20" w:after="20"/>
        <w:ind w:firstLine="709"/>
        <w:jc w:val="both"/>
        <w:rPr>
          <w:sz w:val="24"/>
          <w:szCs w:val="24"/>
        </w:rPr>
      </w:pPr>
      <w:r>
        <w:rPr/>
      </w:r>
      <m:oMath xmlns:m="http://schemas.openxmlformats.org/officeDocument/2006/math"/>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widowControl/>
        <w:spacing w:before="20" w:after="20"/>
        <w:ind w:firstLine="709"/>
        <w:jc w:val="both"/>
        <w:rPr>
          <w:sz w:val="24"/>
          <w:szCs w:val="24"/>
        </w:rPr>
      </w:pPr>
      <w:r>
        <w:rPr/>
        <w:drawing>
          <wp:inline distT="0" distB="0" distL="0" distR="0">
            <wp:extent cx="542290" cy="276225"/>
            <wp:effectExtent l="0" t="0" r="0" b="0"/>
            <wp:docPr id="2"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9" descr=""/>
                    <pic:cNvPicPr>
                      <a:picLocks noChangeAspect="1" noChangeArrowheads="1"/>
                    </pic:cNvPicPr>
                  </pic:nvPicPr>
                  <pic:blipFill>
                    <a:blip r:embed="rId10"/>
                    <a:stretch>
                      <a:fillRect/>
                    </a:stretch>
                  </pic:blipFill>
                  <pic:spPr bwMode="auto">
                    <a:xfrm>
                      <a:off x="0" y="0"/>
                      <a:ext cx="542290" cy="276225"/>
                    </a:xfrm>
                    <a:prstGeom prst="rect">
                      <a:avLst/>
                    </a:prstGeom>
                  </pic:spPr>
                </pic:pic>
              </a:graphicData>
            </a:graphic>
          </wp:inline>
        </w:drawing>
      </w:r>
      <w:r>
        <w:rPr>
          <w:sz w:val="24"/>
          <w:szCs w:val="24"/>
        </w:rPr>
        <w:t xml:space="preserve"> – </w:t>
      </w:r>
      <w:r>
        <w:rPr>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widowControl/>
        <w:spacing w:before="20" w:after="20"/>
        <w:ind w:firstLine="709"/>
        <w:jc w:val="both"/>
        <w:rPr>
          <w:sz w:val="24"/>
          <w:szCs w:val="24"/>
        </w:rPr>
      </w:pPr>
      <w:r>
        <w:rPr/>
        <w:drawing>
          <wp:inline distT="0" distB="0" distL="0" distR="0">
            <wp:extent cx="520700" cy="266065"/>
            <wp:effectExtent l="0" t="0" r="0" b="0"/>
            <wp:docPr id="3"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8" descr=""/>
                    <pic:cNvPicPr>
                      <a:picLocks noChangeAspect="1" noChangeArrowheads="1"/>
                    </pic:cNvPicPr>
                  </pic:nvPicPr>
                  <pic:blipFill>
                    <a:blip r:embed="rId11"/>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widowControl/>
        <w:spacing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sz w:val="24"/>
          <w:szCs w:val="24"/>
        </w:rPr>
        <w:t xml:space="preserve"> – </w:t>
      </w:r>
      <w:r>
        <w:rPr>
          <w:sz w:val="24"/>
          <w:szCs w:val="24"/>
        </w:rPr>
        <w:t xml:space="preserve">итоговое значение снижения максимальной мощности ГТП генерации рассчитанное на основании заявленного участником оптового рынка значения, поданного </w:t>
        <w:br/>
        <w:t>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widowControl/>
        <w:spacing w:before="20" w:after="20"/>
        <w:ind w:firstLine="709"/>
        <w:jc w:val="both"/>
        <w:rPr>
          <w:sz w:val="24"/>
          <w:szCs w:val="24"/>
        </w:rPr>
      </w:pPr>
      <w:r>
        <w:rPr/>
        <w:drawing>
          <wp:inline distT="0" distB="0" distL="0" distR="0">
            <wp:extent cx="531495" cy="276225"/>
            <wp:effectExtent l="0" t="0" r="0" b="0"/>
            <wp:docPr id="4"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7" descr=""/>
                    <pic:cNvPicPr>
                      <a:picLocks noChangeAspect="1" noChangeArrowheads="1"/>
                    </pic:cNvPicPr>
                  </pic:nvPicPr>
                  <pic:blipFill>
                    <a:blip r:embed="rId12"/>
                    <a:stretch>
                      <a:fillRect/>
                    </a:stretch>
                  </pic:blipFill>
                  <pic:spPr bwMode="auto">
                    <a:xfrm>
                      <a:off x="0" y="0"/>
                      <a:ext cx="531495" cy="276225"/>
                    </a:xfrm>
                    <a:prstGeom prst="rect">
                      <a:avLst/>
                    </a:prstGeom>
                  </pic:spPr>
                </pic:pic>
              </a:graphicData>
            </a:graphic>
          </wp:inline>
        </w:drawing>
      </w:r>
      <w:r>
        <w:rPr>
          <w:sz w:val="24"/>
          <w:szCs w:val="24"/>
        </w:rPr>
        <w:t xml:space="preserve"> – </w:t>
      </w:r>
      <w:r>
        <w:rPr>
          <w:sz w:val="24"/>
          <w:szCs w:val="24"/>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widowControl/>
        <w:spacing w:before="20" w:after="20"/>
        <w:ind w:firstLine="709"/>
        <w:jc w:val="both"/>
        <w:rPr>
          <w:sz w:val="24"/>
          <w:szCs w:val="24"/>
        </w:rPr>
      </w:pPr>
      <w:r>
        <w:rPr/>
        <w:drawing>
          <wp:inline distT="0" distB="0" distL="0" distR="0">
            <wp:extent cx="520700" cy="266065"/>
            <wp:effectExtent l="0" t="0" r="0" b="0"/>
            <wp:docPr id="5"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6" descr=""/>
                    <pic:cNvPicPr>
                      <a:picLocks noChangeAspect="1" noChangeArrowheads="1"/>
                    </pic:cNvPicPr>
                  </pic:nvPicPr>
                  <pic:blipFill>
                    <a:blip r:embed="rId13"/>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Системным оператором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widowControl/>
        <w:spacing w:before="20" w:after="20"/>
        <w:ind w:firstLine="709"/>
        <w:jc w:val="both"/>
        <w:rPr>
          <w:sz w:val="24"/>
          <w:szCs w:val="24"/>
        </w:rPr>
      </w:pPr>
      <w:r>
        <w:rPr/>
        <w:drawing>
          <wp:inline distT="0" distB="0" distL="0" distR="0">
            <wp:extent cx="616585" cy="318770"/>
            <wp:effectExtent l="0" t="0" r="0" b="0"/>
            <wp:docPr id="6"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5" descr=""/>
                    <pic:cNvPicPr>
                      <a:picLocks noChangeAspect="1" noChangeArrowheads="1"/>
                    </pic:cNvPicPr>
                  </pic:nvPicPr>
                  <pic:blipFill>
                    <a:blip r:embed="rId14"/>
                    <a:stretch>
                      <a:fillRect/>
                    </a:stretch>
                  </pic:blipFill>
                  <pic:spPr bwMode="auto">
                    <a:xfrm>
                      <a:off x="0" y="0"/>
                      <a:ext cx="616585" cy="31877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sz w:val="24"/>
          <w:szCs w:val="24"/>
          <w:lang w:val="en-GB"/>
        </w:rPr>
        <w:t>n</w:t>
      </w:r>
      <w:r>
        <w:rPr>
          <w:sz w:val="24"/>
          <w:szCs w:val="24"/>
        </w:rPr>
        <w:t>-4) суток Х;</w:t>
      </w:r>
    </w:p>
    <w:p>
      <w:pPr>
        <w:pStyle w:val="Normal"/>
        <w:widowControl/>
        <w:spacing w:before="20" w:after="20"/>
        <w:ind w:firstLine="709"/>
        <w:jc w:val="both"/>
        <w:rPr>
          <w:sz w:val="24"/>
          <w:szCs w:val="24"/>
        </w:rPr>
      </w:pPr>
      <w:r>
        <w:rPr/>
        <w:drawing>
          <wp:inline distT="0" distB="0" distL="0" distR="0">
            <wp:extent cx="520700" cy="266065"/>
            <wp:effectExtent l="0" t="0" r="0" b="0"/>
            <wp:docPr id="7"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4" descr=""/>
                    <pic:cNvPicPr>
                      <a:picLocks noChangeAspect="1" noChangeArrowheads="1"/>
                    </pic:cNvPicPr>
                  </pic:nvPicPr>
                  <pic:blipFill>
                    <a:blip r:embed="rId15"/>
                    <a:stretch>
                      <a:fillRect/>
                    </a:stretch>
                  </pic:blipFill>
                  <pic:spPr bwMode="auto">
                    <a:xfrm>
                      <a:off x="0" y="0"/>
                      <a:ext cx="520700" cy="266065"/>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sz w:val="24"/>
          <w:szCs w:val="24"/>
          <w:lang w:val="en-GB"/>
        </w:rPr>
        <w:t>n</w:t>
      </w:r>
      <w:r>
        <w:rPr>
          <w:sz w:val="24"/>
          <w:szCs w:val="24"/>
        </w:rPr>
        <w:t>-4) суток Х;</w:t>
      </w:r>
    </w:p>
    <w:p>
      <w:pPr>
        <w:pStyle w:val="Normal"/>
        <w:widowControl/>
        <w:spacing w:before="20" w:after="20"/>
        <w:ind w:firstLine="709"/>
        <w:jc w:val="both"/>
        <w:rPr>
          <w:sz w:val="24"/>
          <w:szCs w:val="24"/>
        </w:rPr>
      </w:pPr>
      <w:r>
        <w:rPr/>
        <w:drawing>
          <wp:inline distT="0" distB="0" distL="0" distR="0">
            <wp:extent cx="510540" cy="233680"/>
            <wp:effectExtent l="0" t="0" r="0" b="0"/>
            <wp:docPr id="8"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3" descr=""/>
                    <pic:cNvPicPr>
                      <a:picLocks noChangeAspect="1" noChangeArrowheads="1"/>
                    </pic:cNvPicPr>
                  </pic:nvPicPr>
                  <pic:blipFill>
                    <a:blip r:embed="rId16"/>
                    <a:stretch>
                      <a:fillRect/>
                    </a:stretch>
                  </pic:blipFill>
                  <pic:spPr bwMode="auto">
                    <a:xfrm>
                      <a:off x="0" y="0"/>
                      <a:ext cx="510540" cy="23368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4 (четырех) часов до часа фактической поставки;</w:t>
      </w:r>
    </w:p>
    <w:p>
      <w:pPr>
        <w:pStyle w:val="Normal"/>
        <w:widowControl/>
        <w:spacing w:before="20" w:after="20"/>
        <w:ind w:firstLine="709"/>
        <w:jc w:val="both"/>
        <w:rPr>
          <w:sz w:val="24"/>
          <w:szCs w:val="24"/>
        </w:rPr>
      </w:pPr>
      <w:r>
        <w:rPr/>
        <w:drawing>
          <wp:inline distT="0" distB="0" distL="0" distR="0">
            <wp:extent cx="499745" cy="233680"/>
            <wp:effectExtent l="0" t="0" r="0" b="0"/>
            <wp:docPr id="9"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2" descr=""/>
                    <pic:cNvPicPr>
                      <a:picLocks noChangeAspect="1" noChangeArrowheads="1"/>
                    </pic:cNvPicPr>
                  </pic:nvPicPr>
                  <pic:blipFill>
                    <a:blip r:embed="rId17"/>
                    <a:stretch>
                      <a:fillRect/>
                    </a:stretch>
                  </pic:blipFill>
                  <pic:spPr bwMode="auto">
                    <a:xfrm>
                      <a:off x="0" y="0"/>
                      <a:ext cx="499745" cy="233680"/>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widowControl/>
        <w:spacing w:before="20" w:after="20"/>
        <w:ind w:firstLine="709"/>
        <w:jc w:val="both"/>
        <w:rPr>
          <w:sz w:val="24"/>
          <w:szCs w:val="24"/>
        </w:rPr>
      </w:pPr>
      <w:r>
        <w:rPr/>
        <w:drawing>
          <wp:inline distT="0" distB="0" distL="0" distR="0">
            <wp:extent cx="903605" cy="287020"/>
            <wp:effectExtent l="0" t="0" r="0" b="0"/>
            <wp:docPr id="10"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1" descr=""/>
                    <pic:cNvPicPr>
                      <a:picLocks noChangeAspect="1" noChangeArrowheads="1"/>
                    </pic:cNvPicPr>
                  </pic:nvPicPr>
                  <pic:blipFill>
                    <a:blip r:embed="rId18"/>
                    <a:stretch>
                      <a:fillRect/>
                    </a:stretch>
                  </pic:blipFill>
                  <pic:spPr bwMode="auto">
                    <a:xfrm>
                      <a:off x="0" y="0"/>
                      <a:ext cx="903605" cy="287020"/>
                    </a:xfrm>
                    <a:prstGeom prst="rect">
                      <a:avLst/>
                    </a:prstGeom>
                  </pic:spPr>
                </pic:pic>
              </a:graphicData>
            </a:graphic>
          </wp:inline>
        </w:drawing>
      </w:r>
      <w:r>
        <w:rPr>
          <w:sz w:val="24"/>
          <w:szCs w:val="24"/>
        </w:rPr>
        <w:t xml:space="preserve"> – </w:t>
      </w:r>
      <w:r>
        <w:rPr>
          <w:sz w:val="24"/>
          <w:szCs w:val="24"/>
        </w:rPr>
        <w:t xml:space="preserve">снижении мощности вследствие вывода в ремонт оборудования </w:t>
        <w:br/>
        <w:t>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widowControl/>
        <w:spacing w:before="20" w:after="20"/>
        <w:ind w:firstLine="709"/>
        <w:jc w:val="both"/>
        <w:rPr>
          <w:sz w:val="24"/>
          <w:szCs w:val="24"/>
        </w:rPr>
      </w:pPr>
      <w:r>
        <w:rPr/>
        <w:drawing>
          <wp:inline distT="0" distB="0" distL="0" distR="0">
            <wp:extent cx="1052830" cy="361315"/>
            <wp:effectExtent l="0" t="0" r="0" b="0"/>
            <wp:docPr id="11"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
                    <pic:cNvPicPr>
                      <a:picLocks noChangeAspect="1" noChangeArrowheads="1"/>
                    </pic:cNvPicPr>
                  </pic:nvPicPr>
                  <pic:blipFill>
                    <a:blip r:embed="rId19"/>
                    <a:stretch>
                      <a:fillRect/>
                    </a:stretch>
                  </pic:blipFill>
                  <pic:spPr bwMode="auto">
                    <a:xfrm>
                      <a:off x="0" y="0"/>
                      <a:ext cx="1052830" cy="36131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widowControl/>
        <w:spacing w:before="20" w:after="20"/>
        <w:ind w:firstLine="709"/>
        <w:jc w:val="both"/>
        <w:rPr>
          <w:sz w:val="24"/>
          <w:szCs w:val="24"/>
        </w:rPr>
      </w:pPr>
      <w:r>
        <w:rPr/>
        <w:drawing>
          <wp:inline distT="0" distB="0" distL="0" distR="0">
            <wp:extent cx="946150" cy="308610"/>
            <wp:effectExtent l="0" t="0" r="0" b="0"/>
            <wp:docPr id="12"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9" descr=""/>
                    <pic:cNvPicPr>
                      <a:picLocks noChangeAspect="1" noChangeArrowheads="1"/>
                    </pic:cNvPicPr>
                  </pic:nvPicPr>
                  <pic:blipFill>
                    <a:blip r:embed="rId20"/>
                    <a:stretch>
                      <a:fillRect/>
                    </a:stretch>
                  </pic:blipFill>
                  <pic:spPr bwMode="auto">
                    <a:xfrm>
                      <a:off x="0" y="0"/>
                      <a:ext cx="946150" cy="30861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widowControl/>
        <w:spacing w:before="20" w:after="20"/>
        <w:ind w:firstLine="709"/>
        <w:jc w:val="both"/>
        <w:rPr>
          <w:sz w:val="24"/>
          <w:szCs w:val="24"/>
        </w:rPr>
      </w:pPr>
      <w:r>
        <w:rPr/>
        <w:drawing>
          <wp:inline distT="0" distB="0" distL="0" distR="0">
            <wp:extent cx="361315" cy="287020"/>
            <wp:effectExtent l="0" t="0" r="0" b="0"/>
            <wp:docPr id="13"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8" descr=""/>
                    <pic:cNvPicPr>
                      <a:picLocks noChangeAspect="1" noChangeArrowheads="1"/>
                    </pic:cNvPicPr>
                  </pic:nvPicPr>
                  <pic:blipFill>
                    <a:blip r:embed="rId21"/>
                    <a:stretch>
                      <a:fillRect/>
                    </a:stretch>
                  </pic:blipFill>
                  <pic:spPr bwMode="auto">
                    <a:xfrm>
                      <a:off x="0" y="0"/>
                      <a:ext cx="361315" cy="28702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widowControl/>
        <w:spacing w:before="120" w:after="20"/>
        <w:ind w:firstLine="709"/>
        <w:jc w:val="both"/>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29565" cy="266065"/>
            <wp:effectExtent l="0" t="0" r="0" b="0"/>
            <wp:docPr id="14"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7" descr=""/>
                    <pic:cNvPicPr>
                      <a:picLocks noChangeAspect="1" noChangeArrowheads="1"/>
                    </pic:cNvPicPr>
                  </pic:nvPicPr>
                  <pic:blipFill>
                    <a:blip r:embed="rId22"/>
                    <a:stretch>
                      <a:fillRect/>
                    </a:stretch>
                  </pic:blipFill>
                  <pic:spPr bwMode="auto">
                    <a:xfrm>
                      <a:off x="0" y="0"/>
                      <a:ext cx="329565" cy="26606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widowControl/>
        <w:spacing w:before="20" w:after="20"/>
        <w:jc w:val="center"/>
        <w:rPr>
          <w:sz w:val="24"/>
          <w:szCs w:val="24"/>
          <w:lang w:val="en-GB"/>
        </w:rPr>
      </w:pPr>
      <w:r>
        <w:rPr/>
        <w:drawing>
          <wp:inline distT="0" distB="0" distL="0" distR="0">
            <wp:extent cx="1360805" cy="669925"/>
            <wp:effectExtent l="0" t="0" r="0" b="0"/>
            <wp:docPr id="15"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6" descr=""/>
                    <pic:cNvPicPr>
                      <a:picLocks noChangeAspect="1" noChangeArrowheads="1"/>
                    </pic:cNvPicPr>
                  </pic:nvPicPr>
                  <pic:blipFill>
                    <a:blip r:embed="rId23"/>
                    <a:stretch>
                      <a:fillRect/>
                    </a:stretch>
                  </pic:blipFill>
                  <pic:spPr bwMode="auto">
                    <a:xfrm>
                      <a:off x="0" y="0"/>
                      <a:ext cx="1360805" cy="669925"/>
                    </a:xfrm>
                    <a:prstGeom prst="rect">
                      <a:avLst/>
                    </a:prstGeom>
                  </pic:spPr>
                </pic:pic>
              </a:graphicData>
            </a:graphic>
          </wp:inline>
        </w:drawing>
      </w:r>
    </w:p>
    <w:p>
      <w:pPr>
        <w:pStyle w:val="Normal"/>
        <w:widowControl/>
        <w:spacing w:before="20" w:after="20"/>
        <w:ind w:firstLine="709"/>
        <w:jc w:val="both"/>
        <w:rPr>
          <w:sz w:val="24"/>
          <w:szCs w:val="24"/>
        </w:rPr>
      </w:pPr>
      <w:r>
        <w:rPr>
          <w:sz w:val="24"/>
          <w:szCs w:val="24"/>
        </w:rPr>
        <w:t>где:</w:t>
      </w:r>
    </w:p>
    <w:p>
      <w:pPr>
        <w:pStyle w:val="Normal"/>
        <w:widowControl/>
        <w:spacing w:before="20" w:after="20"/>
        <w:ind w:firstLine="709"/>
        <w:jc w:val="both"/>
        <w:rPr>
          <w:sz w:val="24"/>
          <w:szCs w:val="24"/>
        </w:rPr>
      </w:pPr>
      <w:r>
        <w:rPr/>
        <w:drawing>
          <wp:inline distT="0" distB="0" distL="0" distR="0">
            <wp:extent cx="287020" cy="266065"/>
            <wp:effectExtent l="0" t="0" r="0" b="0"/>
            <wp:docPr id="1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 descr=""/>
                    <pic:cNvPicPr>
                      <a:picLocks noChangeAspect="1" noChangeArrowheads="1"/>
                    </pic:cNvPicPr>
                  </pic:nvPicPr>
                  <pic:blipFill>
                    <a:blip r:embed="rId24"/>
                    <a:stretch>
                      <a:fillRect/>
                    </a:stretch>
                  </pic:blipFill>
                  <pic:spPr bwMode="auto">
                    <a:xfrm>
                      <a:off x="0" y="0"/>
                      <a:ext cx="287020" cy="26606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widowControl/>
        <w:spacing w:before="20" w:after="20"/>
        <w:ind w:firstLine="709"/>
        <w:jc w:val="both"/>
        <w:rPr>
          <w:sz w:val="24"/>
          <w:szCs w:val="24"/>
        </w:rPr>
      </w:pPr>
      <w:r>
        <w:rPr>
          <w:sz w:val="24"/>
          <w:szCs w:val="24"/>
        </w:rPr>
        <w:t xml:space="preserve">Н – количество часов, соответствующее расчетному месяцу </w:t>
      </w:r>
      <w:r>
        <w:rPr>
          <w:sz w:val="24"/>
          <w:szCs w:val="24"/>
          <w:lang w:val="en-GB"/>
        </w:rPr>
        <w:t>m</w:t>
      </w:r>
      <w:r>
        <w:rPr>
          <w:sz w:val="24"/>
          <w:szCs w:val="24"/>
        </w:rPr>
        <w:t xml:space="preserve">. </w:t>
      </w:r>
    </w:p>
    <w:p>
      <w:pPr>
        <w:pStyle w:val="Normal"/>
        <w:widowControl/>
        <w:spacing w:before="20" w:after="20"/>
        <w:ind w:firstLine="709"/>
        <w:jc w:val="both"/>
        <w:rPr>
          <w:sz w:val="16"/>
          <w:szCs w:val="24"/>
        </w:rPr>
      </w:pPr>
      <w:r>
        <w:rPr>
          <w:sz w:val="16"/>
          <w:szCs w:val="24"/>
        </w:rPr>
      </w:r>
    </w:p>
    <w:p>
      <w:pPr>
        <w:pStyle w:val="Normal"/>
        <w:widowControl/>
        <w:spacing w:before="20" w:after="20"/>
        <w:ind w:firstLine="709"/>
        <w:jc w:val="both"/>
        <w:rPr>
          <w:sz w:val="24"/>
          <w:szCs w:val="24"/>
        </w:rPr>
      </w:pPr>
      <w:r>
        <w:rPr>
          <w:sz w:val="24"/>
          <w:szCs w:val="24"/>
        </w:rPr>
        <w:t xml:space="preserve">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w:t>
        <w:br/>
        <w:t xml:space="preserve">к торговой системе оптового рынка) округление объема невыполнения требований в месяц </w:t>
        <w:br/>
        <w:t>в МВт (среднемесячного снижения) производится с точностью до трех знаков после запятой.</w:t>
      </w:r>
    </w:p>
    <w:p>
      <w:pPr>
        <w:pStyle w:val="Normal"/>
        <w:widowControl/>
        <w:spacing w:before="120" w:after="20"/>
        <w:ind w:firstLine="709"/>
        <w:jc w:val="both"/>
        <w:rPr>
          <w:sz w:val="24"/>
          <w:szCs w:val="24"/>
        </w:rPr>
      </w:pPr>
      <w:r>
        <w:rPr>
          <w:sz w:val="24"/>
          <w:szCs w:val="24"/>
        </w:rPr>
        <w:t xml:space="preserve">Согласно п. 5.4.2 Регламента определения объемов фактически поставленной </w:t>
        <w:br/>
        <w:t xml:space="preserve">на оптовый рынок мощности (приложение 13 к Договору о присоединении к торговой системе оптового рынка) объем недопоставки мощности, определяемый способностью к выработке электроэнергии генерирующего оборудования участника ОРЭМ в расчетном месяц </w:t>
      </w:r>
      <w:r>
        <w:rPr>
          <w:sz w:val="24"/>
          <w:szCs w:val="24"/>
          <w:lang w:val="en-GB"/>
        </w:rPr>
        <w:t>m</w:t>
      </w:r>
      <w:r>
        <w:rPr>
          <w:sz w:val="24"/>
          <w:szCs w:val="24"/>
        </w:rPr>
        <w:t>, рассчитывается для каждой ГТП (единицы оборудования) по формуле:</w:t>
      </w:r>
    </w:p>
    <w:p>
      <w:pPr>
        <w:pStyle w:val="Normal"/>
        <w:widowControl/>
        <w:spacing w:before="120" w:after="20"/>
        <w:ind w:firstLine="709"/>
        <w:jc w:val="both"/>
        <w:rPr>
          <w:sz w:val="24"/>
          <w:szCs w:val="24"/>
        </w:rPr>
      </w:pPr>
      <w:r>
        <w:rPr>
          <w:sz w:val="24"/>
          <w:szCs w:val="24"/>
        </w:rPr>
      </w:r>
    </w:p>
    <w:p>
      <w:pPr>
        <w:pStyle w:val="Normal"/>
        <w:widowControl/>
        <w:spacing w:before="20" w:after="20"/>
        <w:jc w:val="center"/>
        <w:rPr>
          <w:sz w:val="24"/>
          <w:szCs w:val="24"/>
          <w:lang w:val="en-GB"/>
        </w:rPr>
      </w:pPr>
      <w:r>
        <w:rPr/>
        <w:drawing>
          <wp:inline distT="0" distB="0" distL="0" distR="0">
            <wp:extent cx="1871345" cy="446405"/>
            <wp:effectExtent l="0" t="0" r="0" b="0"/>
            <wp:docPr id="17"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4" descr=""/>
                    <pic:cNvPicPr>
                      <a:picLocks noChangeAspect="1" noChangeArrowheads="1"/>
                    </pic:cNvPicPr>
                  </pic:nvPicPr>
                  <pic:blipFill>
                    <a:blip r:embed="rId25"/>
                    <a:stretch>
                      <a:fillRect/>
                    </a:stretch>
                  </pic:blipFill>
                  <pic:spPr bwMode="auto">
                    <a:xfrm>
                      <a:off x="0" y="0"/>
                      <a:ext cx="1871345" cy="446405"/>
                    </a:xfrm>
                    <a:prstGeom prst="rect">
                      <a:avLst/>
                    </a:prstGeom>
                  </pic:spPr>
                </pic:pic>
              </a:graphicData>
            </a:graphic>
          </wp:inline>
        </w:drawing>
      </w:r>
    </w:p>
    <w:p>
      <w:pPr>
        <w:pStyle w:val="Normal"/>
        <w:widowControl/>
        <w:spacing w:before="20" w:after="20"/>
        <w:ind w:firstLine="709"/>
        <w:jc w:val="both"/>
        <w:rPr>
          <w:sz w:val="24"/>
          <w:szCs w:val="24"/>
        </w:rPr>
      </w:pPr>
      <w:r>
        <w:rPr>
          <w:sz w:val="24"/>
          <w:szCs w:val="24"/>
        </w:rPr>
        <w:t>где:</w:t>
        <w:tab/>
        <w:tab/>
        <w:tab/>
        <w:tab/>
        <w:tab/>
        <w:tab/>
      </w:r>
    </w:p>
    <w:p>
      <w:pPr>
        <w:pStyle w:val="Normal"/>
        <w:widowControl/>
        <w:spacing w:before="20" w:after="20"/>
        <w:ind w:firstLine="709"/>
        <w:jc w:val="both"/>
        <w:rPr>
          <w:sz w:val="24"/>
          <w:szCs w:val="24"/>
        </w:rPr>
      </w:pPr>
      <w:r>
        <w:rPr/>
        <w:drawing>
          <wp:inline distT="0" distB="0" distL="0" distR="0">
            <wp:extent cx="180975" cy="233680"/>
            <wp:effectExtent l="0" t="0" r="0" b="0"/>
            <wp:docPr id="18"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 descr=""/>
                    <pic:cNvPicPr>
                      <a:picLocks noChangeAspect="1" noChangeArrowheads="1"/>
                    </pic:cNvPicPr>
                  </pic:nvPicPr>
                  <pic:blipFill>
                    <a:blip r:embed="rId26"/>
                    <a:stretch>
                      <a:fillRect/>
                    </a:stretch>
                  </pic:blipFill>
                  <pic:spPr bwMode="auto">
                    <a:xfrm>
                      <a:off x="0" y="0"/>
                      <a:ext cx="180975" cy="233680"/>
                    </a:xfrm>
                    <a:prstGeom prst="rect">
                      <a:avLst/>
                    </a:prstGeom>
                  </pic:spPr>
                </pic:pic>
              </a:graphicData>
            </a:graphic>
          </wp:inline>
        </w:drawing>
      </w:r>
      <w:r>
        <w:rPr>
          <w:sz w:val="24"/>
          <w:szCs w:val="24"/>
        </w:rPr>
        <w:t xml:space="preserve"> </w:t>
      </w:r>
      <w:r>
        <w:rPr>
          <w:sz w:val="24"/>
          <w:szCs w:val="24"/>
        </w:rPr>
        <w:t>- коэффициенты (</w:t>
      </w:r>
      <w:r>
        <w:rPr/>
      </w:r>
      <m:oMath xmlns:m="http://schemas.openxmlformats.org/officeDocument/2006/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sz w:val="24"/>
          <w:szCs w:val="24"/>
        </w:rPr>
        <w:t>,</w:t>
      </w:r>
      <w:r>
        <w:rPr/>
      </w:r>
      <m:oMath xmlns:m="http://schemas.openxmlformats.org/officeDocument/2006/math"/>
      <w:r>
        <w:rPr>
          <w:sz w:val="24"/>
          <w:szCs w:val="24"/>
        </w:rPr>
        <w:t>,</w:t>
      </w:r>
      <w:r>
        <w:rPr/>
      </w:r>
      <m:oMath xmlns:m="http://schemas.openxmlformats.org/officeDocument/2006/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sz w:val="24"/>
          <w:szCs w:val="24"/>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sz w:val="24"/>
          <w:szCs w:val="24"/>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sz w:val="24"/>
          <w:szCs w:val="24"/>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widowControl/>
        <w:spacing w:before="120" w:after="20"/>
        <w:ind w:firstLine="709"/>
        <w:jc w:val="both"/>
        <w:rPr>
          <w:sz w:val="24"/>
          <w:szCs w:val="24"/>
        </w:rPr>
      </w:pPr>
      <w:r>
        <w:rPr>
          <w:sz w:val="24"/>
          <w:szCs w:val="24"/>
        </w:rPr>
        <w:t xml:space="preserve">Снижение оплаты мощности рассчитывается как произведение объема недопоставки мощности </w:t>
      </w:r>
      <w:r>
        <w:rPr/>
        <w:drawing>
          <wp:inline distT="0" distB="0" distL="0" distR="0">
            <wp:extent cx="701675" cy="255270"/>
            <wp:effectExtent l="0" t="0" r="0" b="0"/>
            <wp:docPr id="19"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2" descr=""/>
                    <pic:cNvPicPr>
                      <a:picLocks noChangeAspect="1" noChangeArrowheads="1"/>
                    </pic:cNvPicPr>
                  </pic:nvPicPr>
                  <pic:blipFill>
                    <a:blip r:embed="rId27"/>
                    <a:stretch>
                      <a:fillRect/>
                    </a:stretch>
                  </pic:blipFill>
                  <pic:spPr bwMode="auto">
                    <a:xfrm>
                      <a:off x="0" y="0"/>
                      <a:ext cx="701675" cy="255270"/>
                    </a:xfrm>
                    <a:prstGeom prst="rect">
                      <a:avLst/>
                    </a:prstGeom>
                  </pic:spPr>
                </pic:pic>
              </a:graphicData>
            </a:graphic>
          </wp:inline>
        </w:drawing>
      </w:r>
      <w:r>
        <w:rPr>
          <w:sz w:val="24"/>
          <w:szCs w:val="24"/>
        </w:rPr>
        <w:t xml:space="preserve"> на тариф </w:t>
      </w:r>
      <w:r>
        <w:rPr/>
        <w:drawing>
          <wp:inline distT="0" distB="0" distL="0" distR="0">
            <wp:extent cx="499745" cy="340360"/>
            <wp:effectExtent l="0" t="0" r="0" b="0"/>
            <wp:docPr id="20"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descr=""/>
                    <pic:cNvPicPr>
                      <a:picLocks noChangeAspect="1" noChangeArrowheads="1"/>
                    </pic:cNvPicPr>
                  </pic:nvPicPr>
                  <pic:blipFill>
                    <a:blip r:embed="rId28"/>
                    <a:stretch>
                      <a:fillRect/>
                    </a:stretch>
                  </pic:blipFill>
                  <pic:spPr bwMode="auto">
                    <a:xfrm>
                      <a:off x="0" y="0"/>
                      <a:ext cx="499745" cy="340360"/>
                    </a:xfrm>
                    <a:prstGeom prst="rect">
                      <a:avLst/>
                    </a:prstGeom>
                  </pic:spPr>
                </pic:pic>
              </a:graphicData>
            </a:graphic>
          </wp:inline>
        </w:drawing>
      </w:r>
      <w:r>
        <w:rPr>
          <w:sz w:val="24"/>
          <w:szCs w:val="24"/>
        </w:rPr>
        <w:t xml:space="preserve"> (определяется на текущий период в соответствии </w:t>
        <w:br/>
        <w:t xml:space="preserve">с приказом ФАС России о ценах (тарифах) на электроэнергию (мощность), поставляемую </w:t>
        <w:br/>
        <w:t>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lang w:val="en-GB"/>
              </w:rPr>
              <w:t>Покупатель:</w:t>
            </w:r>
          </w:p>
        </w:tc>
        <w:tc>
          <w:tcPr>
            <w:tcW w:w="4879"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rPr>
              <w:t>Поставщик</w:t>
            </w:r>
            <w:r>
              <w:rPr>
                <w:b/>
                <w:sz w:val="24"/>
                <w:szCs w:val="24"/>
                <w:lang w:val="en-GB"/>
              </w:rPr>
              <w:t>:</w:t>
            </w:r>
          </w:p>
        </w:tc>
      </w:tr>
      <w:tr>
        <w:trPr>
          <w:trHeight w:val="611" w:hRule="atLeast"/>
        </w:trPr>
        <w:tc>
          <w:tcPr>
            <w:tcW w:w="524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7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r>
    </w:p>
    <w:sectPr>
      <w:headerReference w:type="default" r:id="rId29"/>
      <w:headerReference w:type="first" r:id="rId30"/>
      <w:footerReference w:type="default" r:id="rId31"/>
      <w:footerReference w:type="first" r:id="rId32"/>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20</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7">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8">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9">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0">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1" w:name="_GoBack_Копия_1_Копия_1"/>
      <w:bookmarkEnd w:id="11"/>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1">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2">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3">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4">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5">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6">
    <w:p>
      <w:pPr>
        <w:pStyle w:val="FootnoteText"/>
        <w:jc w:val="both"/>
        <w:rPr/>
      </w:pPr>
      <w:r>
        <w:rPr>
          <w:rStyle w:val="Style14"/>
        </w:rPr>
        <w:footnoteRef/>
      </w:r>
      <w:r>
        <w:rPr>
          <w:lang w:eastAsia="x-none"/>
        </w:rPr>
        <w:t xml:space="preserve"> </w:t>
      </w:r>
      <w:r>
        <w:rPr>
          <w:lang w:eastAsia="x-none"/>
        </w:rPr>
        <w:t xml:space="preserve">Значение показателя округляется в большую или меньшую сторону до суммы, кратной 100 млн. руб. </w:t>
        <w:br/>
        <w:t>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eastAsia="x-none"/>
        </w:rPr>
        <w:t>440 млн. руб., лимит к установлению - 5</w:t>
      </w:r>
      <w:r>
        <w:rPr/>
        <w:t> </w:t>
      </w:r>
      <w:r>
        <w:rPr>
          <w:lang w:eastAsia="x-none"/>
        </w:rPr>
        <w:t>400 млн. руб.; расчетное значение лимита - 5</w:t>
      </w:r>
      <w:r>
        <w:rPr/>
        <w:t> </w:t>
      </w:r>
      <w:r>
        <w:rPr>
          <w:lang w:eastAsia="x-none"/>
        </w:rPr>
        <w:t>450 млн. руб., лимит к установлению - 5</w:t>
      </w:r>
      <w:r>
        <w:rPr/>
        <w:t> </w:t>
      </w:r>
      <w:r>
        <w:rPr>
          <w:lang w:eastAsia="x-none"/>
        </w:rPr>
        <w:t>500 млн. руб.</w:t>
      </w:r>
    </w:p>
  </w:footnote>
  <w:footnote w:id="27">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/или рейтинговых агентств и/или </w:t>
        <w:br/>
        <w:t xml:space="preserve">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Символ концевой сноски"/>
    <w:qForma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image" Target="media/image1.png"/><Relationship Id="rId10" Type="http://schemas.openxmlformats.org/officeDocument/2006/relationships/image" Target="media/image2.wmf"/><Relationship Id="rId11" Type="http://schemas.openxmlformats.org/officeDocument/2006/relationships/image" Target="media/image3.wmf"/><Relationship Id="rId12" Type="http://schemas.openxmlformats.org/officeDocument/2006/relationships/image" Target="media/image4.wmf"/><Relationship Id="rId13" Type="http://schemas.openxmlformats.org/officeDocument/2006/relationships/image" Target="media/image5.wmf"/><Relationship Id="rId14" Type="http://schemas.openxmlformats.org/officeDocument/2006/relationships/image" Target="media/image6.wmf"/><Relationship Id="rId15" Type="http://schemas.openxmlformats.org/officeDocument/2006/relationships/image" Target="media/image7.wmf"/><Relationship Id="rId16" Type="http://schemas.openxmlformats.org/officeDocument/2006/relationships/image" Target="media/image8.wmf"/><Relationship Id="rId17" Type="http://schemas.openxmlformats.org/officeDocument/2006/relationships/image" Target="media/image9.wmf"/><Relationship Id="rId18" Type="http://schemas.openxmlformats.org/officeDocument/2006/relationships/image" Target="media/image10.wmf"/><Relationship Id="rId19" Type="http://schemas.openxmlformats.org/officeDocument/2006/relationships/image" Target="media/image11.wmf"/><Relationship Id="rId20" Type="http://schemas.openxmlformats.org/officeDocument/2006/relationships/image" Target="media/image12.wmf"/><Relationship Id="rId21" Type="http://schemas.openxmlformats.org/officeDocument/2006/relationships/image" Target="media/image13.wmf"/><Relationship Id="rId22" Type="http://schemas.openxmlformats.org/officeDocument/2006/relationships/image" Target="media/image14.wmf"/><Relationship Id="rId23" Type="http://schemas.openxmlformats.org/officeDocument/2006/relationships/image" Target="media/image15.wmf"/><Relationship Id="rId24" Type="http://schemas.openxmlformats.org/officeDocument/2006/relationships/image" Target="media/image16.wmf"/><Relationship Id="rId25" Type="http://schemas.openxmlformats.org/officeDocument/2006/relationships/image" Target="media/image17.png"/><Relationship Id="rId26" Type="http://schemas.openxmlformats.org/officeDocument/2006/relationships/image" Target="media/image18.wmf"/><Relationship Id="rId27" Type="http://schemas.openxmlformats.org/officeDocument/2006/relationships/image" Target="media/image19.wmf"/><Relationship Id="rId28" Type="http://schemas.openxmlformats.org/officeDocument/2006/relationships/image" Target="media/image20.wmf"/><Relationship Id="rId29" Type="http://schemas.openxmlformats.org/officeDocument/2006/relationships/header" Target="header3.xml"/><Relationship Id="rId30" Type="http://schemas.openxmlformats.org/officeDocument/2006/relationships/header" Target="header4.xml"/><Relationship Id="rId31" Type="http://schemas.openxmlformats.org/officeDocument/2006/relationships/footer" Target="footer2.xml"/><Relationship Id="rId32" Type="http://schemas.openxmlformats.org/officeDocument/2006/relationships/footer" Target="footer3.xml"/><Relationship Id="rId33" Type="http://schemas.openxmlformats.org/officeDocument/2006/relationships/footnotes" Target="footnotes.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Relationship Id="rId37" Type="http://schemas.openxmlformats.org/officeDocument/2006/relationships/theme" Target="theme/theme1.xml"/><Relationship Id="rId38" Type="http://schemas.openxmlformats.org/officeDocument/2006/relationships/customXml" Target="../customXml/item1.xml"/><Relationship Id="rId39" Type="http://schemas.openxmlformats.org/officeDocument/2006/relationships/customXml" Target="../customXml/item2.xml"/><Relationship Id="rId40" Type="http://schemas.openxmlformats.org/officeDocument/2006/relationships/customXml" Target="../customXml/item3.xml"/><Relationship Id="rId41"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380</TotalTime>
  <Application>AlterOffice/3.4.0.9$Linux_X86_64 LibreOffice_project/b8daf9e823b1a5463a2f48435ddc2e8696e7d4fc</Application>
  <AppVersion>15.0000</AppVersion>
  <Pages>32</Pages>
  <Words>11523</Words>
  <Characters>82721</Characters>
  <CharactersWithSpaces>88692</CharactersWithSpaces>
  <Paragraphs>517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azarines@corp.gidroogk.com</cp:lastModifiedBy>
  <cp:lastPrinted>2018-05-22T09:46:00Z</cp:lastPrinted>
  <dcterms:modified xsi:type="dcterms:W3CDTF">2026-08-10T17:11:22Z</dcterms:modified>
  <cp:revision>49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