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0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0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0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0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0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0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0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0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0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0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0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0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4"/>
          <w:lang w:eastAsia="ru-RU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 w:before="240" w:after="60"/>
        <w:ind w:hanging="0" w:left="0"/>
        <w:jc w:val="center"/>
        <w:outlineLvl w:val="2"/>
        <w:rPr>
          <w:rFonts w:ascii="Times New Roman" w:hAnsi="Times New Roman" w:cs="Times New Roman"/>
          <w:b/>
          <w:sz w:val="24"/>
          <w:szCs w:val="26"/>
        </w:rPr>
      </w:pPr>
      <w:r>
        <w:rPr>
          <w:rFonts w:cs="Times New Roman" w:ascii="Times New Roman" w:hAnsi="Times New Roman"/>
          <w:b/>
          <w:sz w:val="24"/>
          <w:szCs w:val="2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6"/>
        </w:rPr>
      </w:pPr>
      <w:r>
        <w:rPr>
          <w:rFonts w:cs="Times New Roman" w:ascii="Times New Roman" w:hAnsi="Times New Roman"/>
          <w:b/>
          <w:sz w:val="24"/>
          <w:szCs w:val="2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6"/>
        </w:rPr>
      </w:pPr>
      <w:r>
        <w:rPr>
          <w:rFonts w:cs="Times New Roman" w:ascii="Times New Roman" w:hAnsi="Times New Roman"/>
          <w:b/>
          <w:sz w:val="24"/>
          <w:szCs w:val="26"/>
        </w:rPr>
      </w:r>
    </w:p>
    <w:p>
      <w:pPr>
        <w:pStyle w:val="Normal"/>
        <w:tabs>
          <w:tab w:val="clear" w:pos="708"/>
          <w:tab w:val="left" w:pos="284" w:leader="none"/>
        </w:tabs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6"/>
        </w:rPr>
      </w:pPr>
      <w:r>
        <w:rPr>
          <w:rFonts w:cs="Times New Roman" w:ascii="Times New Roman" w:hAnsi="Times New Roman"/>
          <w:b/>
          <w:sz w:val="24"/>
          <w:szCs w:val="26"/>
        </w:rPr>
      </w:r>
    </w:p>
    <w:p>
      <w:pPr>
        <w:pStyle w:val="Normal"/>
        <w:tabs>
          <w:tab w:val="clear" w:pos="708"/>
          <w:tab w:val="left" w:pos="284" w:leader="none"/>
        </w:tabs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6"/>
        </w:rPr>
      </w:pPr>
      <w:r>
        <w:rPr>
          <w:rFonts w:cs="Times New Roman" w:ascii="Times New Roman" w:hAnsi="Times New Roman"/>
          <w:b/>
          <w:sz w:val="24"/>
          <w:szCs w:val="26"/>
        </w:rPr>
      </w:r>
    </w:p>
    <w:p>
      <w:pPr>
        <w:pStyle w:val="Normal"/>
        <w:keepNext w:val="true"/>
        <w:keepLines/>
        <w:spacing w:lineRule="auto" w:line="240"/>
        <w:jc w:val="center"/>
        <w:rPr/>
      </w:pPr>
      <w:r>
        <w:rPr>
          <w:rFonts w:cs="Times New Roman" w:ascii="Times New Roman" w:hAnsi="Times New Roman"/>
          <w:b/>
          <w:sz w:val="26"/>
          <w:szCs w:val="26"/>
        </w:rPr>
        <w:t>Технические требования на выполнение работ</w:t>
      </w:r>
    </w:p>
    <w:p>
      <w:pPr>
        <w:pStyle w:val="Normal"/>
        <w:shd w:val="clear" w:fill="FFFFFF"/>
        <w:tabs>
          <w:tab w:val="clear" w:pos="708"/>
          <w:tab w:val="left" w:pos="284" w:leader="none"/>
        </w:tabs>
        <w:spacing w:lineRule="auto" w:line="240" w:before="0" w:after="0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</w:r>
    </w:p>
    <w:p>
      <w:pPr>
        <w:pStyle w:val="Normal"/>
        <w:shd w:val="clear" w:fill="FFFFFF"/>
        <w:tabs>
          <w:tab w:val="clear" w:pos="708"/>
          <w:tab w:val="left" w:pos="284" w:leader="none"/>
        </w:tabs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bCs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shd w:fill="FFFFFF" w:val="clear"/>
          <w:em w:val="none"/>
        </w:rPr>
        <w:t>«ОКПД2 42.22.22.140. Выполнение работ по демонтажу ВЛ 35 кВ службы линий структурного подразделения "Центральные электрические сети", филиала "Хабаровские электрические сети"»</w:t>
      </w:r>
    </w:p>
    <w:p>
      <w:pPr>
        <w:pStyle w:val="Normal"/>
        <w:shd w:val="clear" w:fill="FFFFFF"/>
        <w:tabs>
          <w:tab w:val="clear" w:pos="708"/>
          <w:tab w:val="left" w:pos="284" w:leader="none"/>
        </w:tabs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bCs/>
          <w:sz w:val="26"/>
          <w:szCs w:val="26"/>
          <w:shd w:fill="FFFFFF" w:val="clear"/>
        </w:rPr>
        <w:t xml:space="preserve"> </w:t>
      </w:r>
      <w:r>
        <w:rPr>
          <w:rFonts w:cs="Times New Roman" w:ascii="Times New Roman" w:hAnsi="Times New Roman"/>
          <w:b/>
          <w:bCs/>
          <w:sz w:val="26"/>
          <w:szCs w:val="26"/>
          <w:shd w:fill="FFFFFF" w:val="clear"/>
        </w:rPr>
        <w:t>(ЛОТ №                                              )</w:t>
      </w:r>
    </w:p>
    <w:p>
      <w:pPr>
        <w:pStyle w:val="Normal"/>
        <w:spacing w:lineRule="auto" w:line="240"/>
        <w:rPr>
          <w:rFonts w:ascii="Times New Roman" w:hAnsi="Times New Roman" w:cs="Times New Roman"/>
          <w:b/>
          <w:sz w:val="26"/>
          <w:szCs w:val="26"/>
          <w:highlight w:val="none"/>
          <w:shd w:fill="FFFFFF" w:val="clear"/>
        </w:rPr>
      </w:pPr>
      <w:r>
        <w:rPr>
          <w:rFonts w:cs="Times New Roman" w:ascii="Times New Roman" w:hAnsi="Times New Roman"/>
          <w:b/>
          <w:sz w:val="26"/>
          <w:szCs w:val="26"/>
          <w:shd w:fill="FFFFFF" w:val="clear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b/>
          <w:sz w:val="26"/>
          <w:szCs w:val="26"/>
          <w:highlight w:val="none"/>
          <w:shd w:fill="FFFFFF" w:val="clear"/>
        </w:rPr>
      </w:pPr>
      <w:r>
        <w:rPr>
          <w:rFonts w:cs="Times New Roman" w:ascii="Times New Roman" w:hAnsi="Times New Roman"/>
          <w:b/>
          <w:sz w:val="26"/>
          <w:szCs w:val="26"/>
          <w:shd w:fill="FFFFFF" w:val="clear"/>
        </w:rPr>
      </w:r>
      <w:r>
        <w:br w:type="page"/>
      </w:r>
    </w:p>
    <w:p>
      <w:pPr>
        <w:pStyle w:val="Normal"/>
        <w:spacing w:lineRule="auto" w:line="240"/>
        <w:jc w:val="center"/>
        <w:rPr/>
      </w:pPr>
      <w:r>
        <w:rPr>
          <w:rFonts w:cs="Times New Roman" w:ascii="Times New Roman" w:hAnsi="Times New Roman"/>
          <w:b/>
          <w:sz w:val="24"/>
          <w:szCs w:val="24"/>
        </w:rPr>
        <w:t>СОДЕРЖАНИЕ</w:t>
      </w:r>
    </w:p>
    <w:p>
      <w:pPr>
        <w:pStyle w:val="Normal"/>
        <w:spacing w:lineRule="auto" w:line="240"/>
        <w:jc w:val="center"/>
        <w:rPr/>
      </w:pPr>
      <w:r>
        <w:rPr/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left" w:pos="284" w:leader="none"/>
              <w:tab w:val="left" w:pos="560" w:leader="none"/>
              <w:tab w:val="right" w:pos="9911" w:leader="dot"/>
            </w:tabs>
            <w:spacing w:lineRule="auto" w:line="240"/>
            <w:rPr/>
          </w:pPr>
          <w:r>
            <w:fldChar w:fldCharType="begin"/>
          </w:r>
          <w:r>
            <w:rPr>
              <w:rStyle w:val="Style9"/>
              <w:b w:val="false"/>
            </w:rPr>
            <w:instrText xml:space="preserve"> TOC \o "1-4" \h</w:instrText>
          </w:r>
          <w:r>
            <w:rPr>
              <w:rStyle w:val="Style9"/>
              <w:b w:val="false"/>
            </w:rPr>
            <w:fldChar w:fldCharType="separate"/>
          </w:r>
          <w:hyperlink w:anchor="_Toc154561866">
            <w:r>
              <w:rPr>
                <w:rStyle w:val="Style9"/>
                <w:b w:val="false"/>
              </w:rPr>
              <w:t>1.</w:t>
            </w:r>
            <w:r>
              <w:rPr>
                <w:rStyle w:val="Style9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iCs w:val="false"/>
                <w:color w:val="00000A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_Toc154561866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9"/>
                <w:b w:val="false"/>
              </w:rPr>
              <w:t>Общие сведения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spacing w:lineRule="auto" w:line="240"/>
            <w:rPr/>
          </w:pPr>
          <w:hyperlink w:anchor="_Toc154561867">
            <w:r>
              <w:rPr>
                <w:rStyle w:val="Style9"/>
              </w:rPr>
              <w:t>1.1.</w:t>
            </w:r>
            <w:r>
              <w:rPr>
                <w:rStyle w:val="Style9"/>
                <w:rFonts w:eastAsia="" w:cs="" w:ascii="Calibri" w:hAnsi="Calibri" w:asciiTheme="minorHAnsi" w:cstheme="minorBidi" w:eastAsiaTheme="minorEastAsia" w:hAnsiTheme="minorHAnsi"/>
                <w:color w:val="00000A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_Toc154561867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9"/>
              </w:rPr>
              <w:t>Наименование закупаемых работ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left" w:pos="284" w:leader="none"/>
              <w:tab w:val="left" w:pos="560" w:leader="none"/>
              <w:tab w:val="right" w:pos="9911" w:leader="dot"/>
            </w:tabs>
            <w:spacing w:lineRule="auto" w:line="240"/>
            <w:rPr/>
          </w:pPr>
          <w:hyperlink w:anchor="_Toc154561868">
            <w:r>
              <w:rPr>
                <w:rStyle w:val="Style9"/>
                <w:b w:val="false"/>
              </w:rPr>
              <w:t>2.</w:t>
            </w:r>
            <w:r>
              <w:rPr>
                <w:rStyle w:val="Style9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iCs w:val="false"/>
                <w:color w:val="00000A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_Toc154561868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9"/>
                <w:b w:val="false"/>
              </w:rPr>
              <w:t>Требования к продукции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spacing w:lineRule="auto" w:line="240"/>
            <w:rPr/>
          </w:pPr>
          <w:hyperlink w:anchor="_Toc154561869">
            <w:r>
              <w:rPr>
                <w:rStyle w:val="Style9"/>
              </w:rPr>
              <w:t>2.1.</w:t>
            </w:r>
            <w:r>
              <w:rPr>
                <w:rStyle w:val="Style9"/>
                <w:rFonts w:eastAsia="" w:cs="" w:ascii="Calibri" w:hAnsi="Calibri" w:asciiTheme="minorHAnsi" w:cstheme="minorBidi" w:eastAsiaTheme="minorEastAsia" w:hAnsiTheme="minorHAnsi"/>
                <w:color w:val="00000A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_Toc154561869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9"/>
              </w:rPr>
              <w:t>Требования к объемам и срокам выполнения работ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spacing w:lineRule="auto" w:line="240"/>
            <w:ind w:firstLine="454"/>
            <w:rPr/>
          </w:pPr>
          <w:hyperlink w:anchor="_Toc154561870">
            <w:r>
              <w:rPr>
                <w:rStyle w:val="Style9"/>
              </w:rPr>
              <w:t>2.1.1</w:t>
            </w:r>
            <w:r>
              <w:rPr>
                <w:rStyle w:val="Style9"/>
                <w:rFonts w:eastAsia="" w:cs="" w:ascii="Calibri" w:hAnsi="Calibri" w:asciiTheme="minorHAnsi" w:cstheme="minorBidi" w:eastAsiaTheme="minorEastAsia" w:hAnsiTheme="minorHAnsi"/>
                <w:color w:val="00000A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_Toc154561870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9"/>
              </w:rPr>
              <w:t>Требования к видам и объемам работ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spacing w:lineRule="auto" w:line="240"/>
            <w:ind w:firstLine="454"/>
            <w:rPr/>
          </w:pPr>
          <w:hyperlink w:anchor="_Toc154561871">
            <w:r>
              <w:rPr>
                <w:rStyle w:val="Style9"/>
              </w:rPr>
              <w:t>2.1.2.</w:t>
            </w:r>
            <w:r>
              <w:rPr>
                <w:rStyle w:val="Style9"/>
                <w:rFonts w:eastAsia="" w:cs="" w:ascii="Calibri" w:hAnsi="Calibri" w:asciiTheme="minorHAnsi" w:cstheme="minorBidi" w:eastAsiaTheme="minorEastAsia" w:hAnsiTheme="minorHAnsi"/>
                <w:color w:val="00000A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_Toc154561871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9"/>
              </w:rPr>
              <w:t>Требования к срокам выполнения работ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spacing w:lineRule="auto" w:line="240"/>
            <w:rPr/>
          </w:pPr>
          <w:hyperlink w:anchor="_Toc154561872">
            <w:r>
              <w:rPr>
                <w:rStyle w:val="Style9"/>
              </w:rPr>
              <w:t>2.2.</w:t>
            </w:r>
            <w:r>
              <w:rPr>
                <w:rStyle w:val="Style9"/>
                <w:rFonts w:eastAsia="" w:cs="" w:ascii="Calibri" w:hAnsi="Calibri" w:asciiTheme="minorHAnsi" w:cstheme="minorBidi" w:eastAsiaTheme="minorEastAsia" w:hAnsiTheme="minorHAnsi"/>
                <w:color w:val="00000A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_Toc154561872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9"/>
              </w:rPr>
              <w:t>Требования к качеству работ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left" w:pos="284" w:leader="none"/>
              <w:tab w:val="left" w:pos="560" w:leader="none"/>
              <w:tab w:val="right" w:pos="9911" w:leader="dot"/>
            </w:tabs>
            <w:spacing w:lineRule="auto" w:line="240"/>
            <w:rPr/>
          </w:pPr>
          <w:hyperlink w:anchor="_Toc154561873">
            <w:r>
              <w:rPr>
                <w:rStyle w:val="Style9"/>
                <w:b w:val="false"/>
              </w:rPr>
              <w:t>3.</w:t>
            </w:r>
            <w:r>
              <w:rPr>
                <w:rStyle w:val="Style9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iCs w:val="false"/>
                <w:color w:val="00000A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_Toc154561873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9"/>
                <w:b w:val="false"/>
              </w:rPr>
              <w:t>Требования к документации по ценообразованию на этапе закупки</w:t>
              <w:tab/>
              <w:t>8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left" w:pos="284" w:leader="none"/>
              <w:tab w:val="left" w:pos="560" w:leader="none"/>
              <w:tab w:val="right" w:pos="9911" w:leader="dot"/>
            </w:tabs>
            <w:spacing w:lineRule="auto" w:line="240"/>
            <w:rPr/>
          </w:pPr>
          <w:hyperlink w:anchor="_Toc154561874">
            <w:r>
              <w:rPr>
                <w:rStyle w:val="Style9"/>
                <w:b w:val="false"/>
              </w:rPr>
              <w:t>4.</w:t>
            </w:r>
            <w:r>
              <w:rPr>
                <w:rStyle w:val="Style9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iCs w:val="false"/>
                <w:color w:val="00000A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_Toc154561874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9"/>
                <w:b w:val="false"/>
              </w:rPr>
              <w:t>Требования к документации по ценообразованию на этапе заключения договора</w:t>
              <w:tab/>
              <w:t>8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left" w:pos="284" w:leader="none"/>
              <w:tab w:val="left" w:pos="560" w:leader="none"/>
              <w:tab w:val="right" w:pos="9911" w:leader="dot"/>
            </w:tabs>
            <w:spacing w:lineRule="auto" w:line="240"/>
            <w:rPr/>
          </w:pPr>
          <w:hyperlink w:anchor="_Toc154561875">
            <w:r>
              <w:rPr>
                <w:rStyle w:val="Style9"/>
                <w:b w:val="false"/>
              </w:rPr>
              <w:t>5.</w:t>
            </w:r>
            <w:r>
              <w:rPr>
                <w:rStyle w:val="Style9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iCs w:val="false"/>
                <w:color w:val="00000A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_Toc154561875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9"/>
                <w:b w:val="false"/>
              </w:rPr>
              <w:t>Приложения:</w:t>
              <w:tab/>
              <w:t>8</w:t>
            </w:r>
            <w:r>
              <w:rPr>
                <w:webHidden/>
              </w:rPr>
              <w:fldChar w:fldCharType="end"/>
            </w:r>
          </w:hyperlink>
          <w:r>
            <w:rPr>
              <w:rStyle w:val="Style9"/>
              <w:b w:val="false"/>
            </w:rPr>
            <w:fldChar w:fldCharType="end"/>
          </w:r>
        </w:p>
      </w:sdtContent>
    </w:sdt>
    <w:p>
      <w:pPr>
        <w:pStyle w:val="Normal"/>
        <w:tabs>
          <w:tab w:val="clear" w:pos="708"/>
          <w:tab w:val="left" w:pos="284" w:leader="none"/>
        </w:tabs>
        <w:spacing w:lineRule="auto" w:line="240" w:before="0"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</w:r>
      <w:r>
        <w:br w:type="page"/>
      </w:r>
    </w:p>
    <w:p>
      <w:pPr>
        <w:pStyle w:val="Heading1"/>
        <w:numPr>
          <w:ilvl w:val="0"/>
          <w:numId w:val="9"/>
        </w:numPr>
        <w:spacing w:lineRule="auto" w:line="240"/>
        <w:jc w:val="center"/>
        <w:rPr/>
      </w:pPr>
      <w:bookmarkStart w:id="0" w:name="_Toc154561866"/>
      <w:bookmarkEnd w:id="0"/>
      <w:r>
        <w:rPr/>
        <w:t>Общие сведения</w:t>
      </w:r>
    </w:p>
    <w:p>
      <w:pPr>
        <w:pStyle w:val="Heading4"/>
        <w:numPr>
          <w:ilvl w:val="1"/>
          <w:numId w:val="9"/>
        </w:numPr>
        <w:spacing w:lineRule="auto" w:line="240"/>
        <w:ind w:firstLine="27"/>
        <w:rPr/>
      </w:pPr>
      <w:bookmarkStart w:id="1" w:name="_Toc154561867"/>
      <w:bookmarkEnd w:id="1"/>
      <w:r>
        <w:rPr/>
        <w:t>Наименование закупаемых работ</w:t>
      </w:r>
    </w:p>
    <w:p>
      <w:pPr>
        <w:pStyle w:val="Normal"/>
        <w:tabs>
          <w:tab w:val="clear" w:pos="708"/>
          <w:tab w:val="left" w:pos="284" w:leader="none"/>
        </w:tabs>
        <w:spacing w:lineRule="auto" w:line="240" w:before="0" w:after="0"/>
        <w:ind w:hanging="0" w:left="426"/>
        <w:jc w:val="both"/>
        <w:rPr/>
      </w:pPr>
      <w:r>
        <w:rPr>
          <w:rFonts w:cs="Times New Roman" w:ascii="Times New Roman" w:hAnsi="Times New Roman"/>
          <w:bCs/>
          <w:i/>
          <w:sz w:val="24"/>
          <w:szCs w:val="24"/>
        </w:rPr>
        <w:t>«ОКПД2 42.22.22.140. Выполнение работ по демонтажу ВЛ 35 кВ службы линий структурного подразделения "Центральные электрические сети", филиала "Хабаровские электрические сети"»</w:t>
      </w:r>
    </w:p>
    <w:p>
      <w:pPr>
        <w:pStyle w:val="Normal"/>
        <w:tabs>
          <w:tab w:val="clear" w:pos="708"/>
          <w:tab w:val="left" w:pos="284" w:leader="none"/>
        </w:tabs>
        <w:spacing w:lineRule="auto" w:line="240" w:before="0" w:after="0"/>
        <w:ind w:firstLine="426"/>
        <w:jc w:val="both"/>
        <w:rPr>
          <w:rFonts w:ascii="Times New Roman" w:hAnsi="Times New Roman" w:cs="Times New Roman"/>
          <w:bCs/>
          <w:i/>
          <w:i/>
          <w:sz w:val="24"/>
          <w:szCs w:val="24"/>
        </w:rPr>
      </w:pPr>
      <w:r>
        <w:rPr>
          <w:rFonts w:cs="Times New Roman" w:ascii="Times New Roman" w:hAnsi="Times New Roman"/>
          <w:bCs/>
          <w:i/>
          <w:sz w:val="24"/>
          <w:szCs w:val="24"/>
        </w:rPr>
      </w:r>
    </w:p>
    <w:p>
      <w:pPr>
        <w:pStyle w:val="Normal"/>
        <w:tabs>
          <w:tab w:val="clear" w:pos="708"/>
          <w:tab w:val="left" w:pos="284" w:leader="none"/>
        </w:tabs>
        <w:spacing w:lineRule="auto" w:line="240" w:before="0" w:after="0"/>
        <w:ind w:firstLine="426"/>
        <w:jc w:val="both"/>
        <w:rPr/>
      </w:pPr>
      <w:bookmarkStart w:id="2" w:name="_Toc54643126"/>
      <w:r>
        <w:rPr>
          <w:rFonts w:eastAsia="Times New Roman" w:cs="Times New Roman" w:ascii="Times New Roman" w:hAnsi="Times New Roman"/>
          <w:b/>
          <w:sz w:val="24"/>
          <w:szCs w:val="24"/>
          <w:lang w:val="x-none" w:eastAsia="ru-RU"/>
        </w:rPr>
        <w:t xml:space="preserve">Таблица 1. Перечень объектов </w:t>
      </w:r>
      <w:bookmarkEnd w:id="2"/>
      <w:r>
        <w:rPr>
          <w:rFonts w:eastAsia="Times New Roman" w:cs="Times New Roman" w:ascii="Times New Roman" w:hAnsi="Times New Roman"/>
          <w:b/>
          <w:sz w:val="24"/>
          <w:szCs w:val="24"/>
          <w:lang w:val="x-none" w:eastAsia="ru-RU"/>
        </w:rPr>
        <w:t>заказчика</w:t>
      </w:r>
    </w:p>
    <w:tbl>
      <w:tblPr>
        <w:tblW w:w="9688" w:type="dxa"/>
        <w:jc w:val="left"/>
        <w:tblInd w:w="445" w:type="dxa"/>
        <w:tblLayout w:type="fixed"/>
        <w:tblCellMar>
          <w:top w:w="0" w:type="dxa"/>
          <w:left w:w="7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20"/>
        <w:gridCol w:w="1760"/>
        <w:gridCol w:w="2280"/>
        <w:gridCol w:w="2940"/>
        <w:gridCol w:w="2188"/>
      </w:tblGrid>
      <w:tr>
        <w:trPr/>
        <w:tc>
          <w:tcPr>
            <w:tcW w:w="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№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7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Наименование объекта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Расположение объекта </w:t>
              <w:br/>
              <w:t>(место производства работ)</w:t>
            </w: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Наименование основного средства </w:t>
              <w:br/>
              <w:t>(в отношении которого выполняются работы)</w:t>
            </w:r>
          </w:p>
        </w:tc>
        <w:tc>
          <w:tcPr>
            <w:tcW w:w="2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Примечания</w:t>
            </w:r>
          </w:p>
        </w:tc>
      </w:tr>
      <w:tr>
        <w:trPr/>
        <w:tc>
          <w:tcPr>
            <w:tcW w:w="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>
        <w:trPr>
          <w:trHeight w:val="876" w:hRule="atLeast"/>
        </w:trPr>
        <w:tc>
          <w:tcPr>
            <w:tcW w:w="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284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sz w:val="24"/>
                <w:szCs w:val="24"/>
                <w:lang w:eastAsia="ru-RU"/>
              </w:rPr>
            </w:r>
          </w:p>
        </w:tc>
        <w:tc>
          <w:tcPr>
            <w:tcW w:w="17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b w:val="false"/>
                <w:bCs w:val="false"/>
                <w:i/>
                <w:iCs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ВЛ-35кВ Т-11 ХЭС-М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Times New Roman" w:hAnsi="Times New Roman"/>
                <w:b w:val="false"/>
                <w:bCs w:val="false"/>
                <w:i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i/>
                <w:iCs/>
                <w:sz w:val="24"/>
                <w:szCs w:val="24"/>
              </w:rPr>
            </w:r>
          </w:p>
        </w:tc>
        <w:tc>
          <w:tcPr>
            <w:tcW w:w="2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/>
            </w:pPr>
            <w:r>
              <w:rPr>
                <w:rStyle w:val="Strong"/>
                <w:rFonts w:eastAsia="Times New Roman" w:cs="Times New Roman" w:ascii="Times New Roman" w:hAnsi="Times New Roman"/>
                <w:b w:val="false"/>
                <w:i/>
                <w:iCs/>
                <w:caps w:val="false"/>
                <w:smallCaps w:val="false"/>
                <w:color w:val="000000"/>
                <w:spacing w:val="0"/>
                <w:sz w:val="24"/>
                <w:szCs w:val="24"/>
                <w:lang w:eastAsia="ru-RU"/>
              </w:rPr>
              <w:t>681000</w:t>
            </w: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, Хабаровский край,</w:t>
            </w: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b w:val="false"/>
                <w:bCs w:val="false"/>
                <w:i/>
                <w:iCs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  <w:em w:val="none"/>
              </w:rPr>
              <w:t>ВЛ-35кВ Т-11 ХЭС-М,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b w:val="false"/>
                <w:bCs w:val="false"/>
                <w:i/>
                <w:iCs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  <w:em w:val="none"/>
              </w:rPr>
              <w:t>Инв. № НВ009965 (снята с бухгалтерского учета 30.09.2010г)</w:t>
            </w:r>
          </w:p>
          <w:p>
            <w:pPr>
              <w:pStyle w:val="Normal"/>
              <w:widowControl w:val="false"/>
              <w:bidi w:val="0"/>
              <w:spacing w:lineRule="auto" w:line="240" w:before="0" w:after="160"/>
              <w:jc w:val="center"/>
              <w:rPr>
                <w:rFonts w:ascii="Times New Roman" w:hAnsi="Times New Roman" w:eastAsia="Times New Roman" w:cs="Times New Roman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  <w:lang w:eastAsia="ru-RU"/>
              </w:rPr>
            </w:r>
          </w:p>
        </w:tc>
        <w:tc>
          <w:tcPr>
            <w:tcW w:w="2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>СП «Центральные электри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>ческие сети» филиала АО «ДРСК» «ХЭС»</w:t>
            </w:r>
          </w:p>
        </w:tc>
      </w:tr>
    </w:tbl>
    <w:p>
      <w:pPr>
        <w:pStyle w:val="Normal"/>
        <w:tabs>
          <w:tab w:val="clear" w:pos="708"/>
          <w:tab w:val="left" w:pos="284" w:leader="none"/>
        </w:tabs>
        <w:spacing w:lineRule="auto" w:line="240" w:before="0" w:after="0"/>
        <w:jc w:val="lef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tabs>
          <w:tab w:val="clear" w:pos="708"/>
          <w:tab w:val="left" w:pos="284" w:leader="none"/>
        </w:tabs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ab/>
        <w:t xml:space="preserve">Работы производятся в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>в населенной местности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, вследствие чего Подрядчику необходимо проводить согласованные действия и мероприятия по охране труда согласно требованиям Правил по охране труда при эксплуатации электроустановок по (Приказ Минтруда РФ от 15.12.2020г. № 903н), СНиП 12-01-2004 п.4, СНиП 12-03-2001. ч.1, СНиП 12-04-2002. ч.2, СНиП 3.02.01-87, СНиП 3.05.06-85.</w:t>
      </w:r>
    </w:p>
    <w:p>
      <w:pPr>
        <w:pStyle w:val="Normal"/>
        <w:tabs>
          <w:tab w:val="clear" w:pos="708"/>
          <w:tab w:val="left" w:pos="284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lang w:eastAsia="ru-RU"/>
        </w:rPr>
      </w:r>
    </w:p>
    <w:p>
      <w:pPr>
        <w:pStyle w:val="Heading1"/>
        <w:numPr>
          <w:ilvl w:val="0"/>
          <w:numId w:val="9"/>
        </w:numPr>
        <w:spacing w:lineRule="auto" w:line="240"/>
        <w:ind w:hanging="114" w:left="540"/>
        <w:jc w:val="center"/>
        <w:rPr/>
      </w:pPr>
      <w:bookmarkStart w:id="3" w:name="_Toc154561868"/>
      <w:bookmarkEnd w:id="3"/>
      <w:r>
        <w:rPr/>
        <w:t>Требования к продукции</w:t>
      </w:r>
    </w:p>
    <w:p>
      <w:pPr>
        <w:pStyle w:val="Heading4"/>
        <w:numPr>
          <w:ilvl w:val="1"/>
          <w:numId w:val="7"/>
        </w:numPr>
        <w:spacing w:lineRule="auto" w:line="240"/>
        <w:ind w:hanging="992" w:left="1418"/>
        <w:rPr/>
      </w:pPr>
      <w:bookmarkStart w:id="4" w:name="_Toc154561869"/>
      <w:bookmarkEnd w:id="4"/>
      <w:r>
        <w:rPr/>
        <w:t>Требования к объемам и срокам выполнения работ</w:t>
      </w:r>
    </w:p>
    <w:p>
      <w:pPr>
        <w:pStyle w:val="Heading4"/>
        <w:numPr>
          <w:ilvl w:val="2"/>
          <w:numId w:val="8"/>
        </w:numPr>
        <w:spacing w:lineRule="auto" w:line="240"/>
        <w:ind w:hanging="436" w:left="851"/>
        <w:rPr/>
      </w:pPr>
      <w:bookmarkStart w:id="5" w:name="_Toc154561870"/>
      <w:bookmarkEnd w:id="5"/>
      <w:r>
        <w:rPr/>
        <w:t>Требования к видам и объемам работ</w:t>
      </w:r>
    </w:p>
    <w:p>
      <w:pPr>
        <w:pStyle w:val="Normal"/>
        <w:tabs>
          <w:tab w:val="clear" w:pos="708"/>
          <w:tab w:val="left" w:pos="284" w:leader="none"/>
        </w:tabs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Таблица 2. Перечень и объем выполняемых работ</w:t>
      </w:r>
    </w:p>
    <w:tbl>
      <w:tblPr>
        <w:tblW w:w="10206" w:type="dxa"/>
        <w:jc w:val="left"/>
        <w:tblInd w:w="48" w:type="dxa"/>
        <w:tblLayout w:type="fixed"/>
        <w:tblCellMar>
          <w:top w:w="0" w:type="dxa"/>
          <w:left w:w="7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68"/>
        <w:gridCol w:w="5073"/>
        <w:gridCol w:w="2158"/>
        <w:gridCol w:w="2406"/>
      </w:tblGrid>
      <w:tr>
        <w:trPr/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№</w:t>
            </w:r>
          </w:p>
          <w:p>
            <w:pPr>
              <w:pStyle w:val="Normal"/>
              <w:keepNext w:val="true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Наименование работ / этапа работ</w:t>
            </w:r>
          </w:p>
        </w:tc>
        <w:tc>
          <w:tcPr>
            <w:tcW w:w="2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2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>
        <w:trPr/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>
        <w:trPr>
          <w:trHeight w:val="1281" w:hRule="atLeast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uppressAutoHyphens w:val="true"/>
              <w:spacing w:lineRule="auto" w:line="240" w:before="0" w:after="0"/>
              <w:contextualSpacing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  <w:lang w:eastAsia="ru-RU"/>
              </w:rPr>
            </w:r>
          </w:p>
        </w:tc>
        <w:tc>
          <w:tcPr>
            <w:tcW w:w="5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/>
                <w:iCs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  <w:lang w:eastAsia="ru-RU"/>
              </w:rPr>
              <w:t>ВЛ-35кВ Т-11 ХЭС-М</w:t>
            </w:r>
          </w:p>
          <w:p>
            <w:pPr>
              <w:pStyle w:val="ListParagraph"/>
              <w:widowControl w:val="false"/>
              <w:numPr>
                <w:ilvl w:val="0"/>
                <w:numId w:val="10"/>
              </w:numPr>
              <w:tabs>
                <w:tab w:val="clear" w:pos="708"/>
                <w:tab w:val="left" w:pos="284" w:leader="none"/>
              </w:tabs>
              <w:spacing w:lineRule="auto" w:line="240" w:before="0" w:after="0"/>
              <w:contextualSpacing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/>
                <w:iCs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  <w:lang w:eastAsia="ru-RU"/>
              </w:rPr>
              <w:t>демонтаж металлоконструкций опор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tabs>
                <w:tab w:val="clear" w:pos="708"/>
                <w:tab w:val="left" w:pos="284" w:leader="none"/>
              </w:tabs>
              <w:spacing w:lineRule="auto" w:line="240" w:before="0" w:after="0"/>
              <w:contextualSpacing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/>
                <w:iCs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  <w:lang w:eastAsia="ru-RU"/>
              </w:rPr>
              <w:t>демонтаж провода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tabs>
                <w:tab w:val="clear" w:pos="708"/>
                <w:tab w:val="left" w:pos="284" w:leader="none"/>
              </w:tabs>
              <w:spacing w:lineRule="auto" w:line="240" w:before="0" w:after="0"/>
              <w:contextualSpacing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/>
                <w:iCs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  <w:lang w:eastAsia="ru-RU"/>
              </w:rPr>
              <w:t>демонтаж грозотроса</w:t>
            </w:r>
          </w:p>
        </w:tc>
        <w:tc>
          <w:tcPr>
            <w:tcW w:w="45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i/>
                <w:iCs/>
                <w:sz w:val="24"/>
                <w:szCs w:val="24"/>
                <w:lang w:eastAsia="ru-RU"/>
              </w:rPr>
              <w:t>В соответствии с ведомостью дефектов и объемов работ (Приложения №1 к настоящим Техническим требованиям)</w:t>
            </w:r>
          </w:p>
        </w:tc>
      </w:tr>
    </w:tbl>
    <w:p>
      <w:pPr>
        <w:pStyle w:val="Normal"/>
        <w:tabs>
          <w:tab w:val="clear" w:pos="708"/>
          <w:tab w:val="left" w:pos="284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Heading3"/>
        <w:numPr>
          <w:ilvl w:val="2"/>
          <w:numId w:val="9"/>
        </w:numPr>
        <w:spacing w:lineRule="auto" w:line="240"/>
        <w:rPr/>
      </w:pPr>
      <w:bookmarkStart w:id="6" w:name="_Toc154561871"/>
      <w:bookmarkStart w:id="7" w:name="_Toc51339696"/>
      <w:r>
        <w:rPr/>
        <w:t xml:space="preserve">Требования </w:t>
      </w:r>
      <w:bookmarkEnd w:id="6"/>
      <w:bookmarkEnd w:id="7"/>
      <w:r>
        <w:rPr/>
        <w:t>к срокам выполнения работ</w:t>
      </w:r>
    </w:p>
    <w:p>
      <w:pPr>
        <w:pStyle w:val="Normal"/>
        <w:tabs>
          <w:tab w:val="clear" w:pos="708"/>
          <w:tab w:val="left" w:pos="284" w:leader="none"/>
        </w:tabs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Таблица 3. Требования по срокам выполнения работ</w:t>
      </w:r>
    </w:p>
    <w:tbl>
      <w:tblPr>
        <w:tblW w:w="10201" w:type="dxa"/>
        <w:jc w:val="left"/>
        <w:tblInd w:w="19" w:type="dxa"/>
        <w:tblLayout w:type="fixed"/>
        <w:tblCellMar>
          <w:top w:w="0" w:type="dxa"/>
          <w:left w:w="7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37"/>
        <w:gridCol w:w="3803"/>
        <w:gridCol w:w="3000"/>
        <w:gridCol w:w="2760"/>
      </w:tblGrid>
      <w:tr>
        <w:trPr/>
        <w:tc>
          <w:tcPr>
            <w:tcW w:w="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Наименование работ/ этапа работ</w:t>
            </w:r>
          </w:p>
        </w:tc>
        <w:tc>
          <w:tcPr>
            <w:tcW w:w="3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40" w:after="40"/>
              <w:ind w:hanging="0" w:left="57" w:right="57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Требования к началу срока выполнения работ/ этапа работ</w:t>
            </w:r>
          </w:p>
        </w:tc>
        <w:tc>
          <w:tcPr>
            <w:tcW w:w="27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40" w:after="40"/>
              <w:ind w:hanging="0" w:left="57" w:right="57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Требования к окончанию срока выполнения работ / этапа работ</w:t>
            </w:r>
          </w:p>
        </w:tc>
      </w:tr>
      <w:tr>
        <w:trPr/>
        <w:tc>
          <w:tcPr>
            <w:tcW w:w="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7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tabs>
                <w:tab w:val="clear" w:pos="708"/>
                <w:tab w:val="left" w:pos="334" w:leader="none"/>
              </w:tabs>
              <w:suppressAutoHyphens w:val="true"/>
              <w:spacing w:lineRule="auto" w:line="240" w:before="0" w:after="0"/>
              <w:contextualSpacing/>
              <w:rPr>
                <w:rFonts w:ascii="Times New Roman" w:hAnsi="Times New Roman" w:cs="Times New Roman"/>
                <w:i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i/>
                <w:iCs/>
                <w:sz w:val="24"/>
                <w:szCs w:val="24"/>
                <w:lang w:eastAsia="ru-RU"/>
              </w:rPr>
            </w:r>
          </w:p>
        </w:tc>
        <w:tc>
          <w:tcPr>
            <w:tcW w:w="3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/>
                <w:iCs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  <w:lang w:eastAsia="ru-RU"/>
              </w:rPr>
              <w:t>ВЛ-35кВ Т-11 ХЭС-М</w:t>
            </w:r>
          </w:p>
        </w:tc>
        <w:tc>
          <w:tcPr>
            <w:tcW w:w="3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С момента заключения договора</w:t>
            </w:r>
          </w:p>
        </w:tc>
        <w:tc>
          <w:tcPr>
            <w:tcW w:w="27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В течении 4х месяцев с даты заключения договора</w:t>
            </w:r>
          </w:p>
        </w:tc>
      </w:tr>
    </w:tbl>
    <w:p>
      <w:pPr>
        <w:pStyle w:val="Normal"/>
        <w:tabs>
          <w:tab w:val="clear" w:pos="708"/>
          <w:tab w:val="left" w:pos="284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6"/>
          <w:szCs w:val="26"/>
          <w:lang w:val="en-US" w:eastAsia="ru-RU"/>
        </w:rPr>
      </w:pPr>
      <w:r>
        <w:rPr>
          <w:rFonts w:eastAsia="Times New Roman" w:cs="Times New Roman" w:ascii="Times New Roman" w:hAnsi="Times New Roman"/>
          <w:b/>
          <w:sz w:val="26"/>
          <w:szCs w:val="26"/>
          <w:lang w:val="en-US" w:eastAsia="ru-RU"/>
        </w:rPr>
      </w:r>
    </w:p>
    <w:p>
      <w:pPr>
        <w:pStyle w:val="Heading4"/>
        <w:numPr>
          <w:ilvl w:val="1"/>
          <w:numId w:val="9"/>
        </w:numPr>
        <w:spacing w:lineRule="auto" w:line="240"/>
        <w:rPr/>
      </w:pPr>
      <w:bookmarkStart w:id="8" w:name="_Toc154561872"/>
      <w:bookmarkEnd w:id="8"/>
      <w:r>
        <w:rPr/>
        <w:t>Требования к качеству работ</w:t>
      </w:r>
    </w:p>
    <w:p>
      <w:pPr>
        <w:pStyle w:val="Normal"/>
        <w:tabs>
          <w:tab w:val="clear" w:pos="708"/>
          <w:tab w:val="left" w:pos="284" w:leader="none"/>
        </w:tabs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Таблица 4. Требования к качеству работ</w:t>
      </w:r>
    </w:p>
    <w:tbl>
      <w:tblPr>
        <w:tblW w:w="10206" w:type="dxa"/>
        <w:jc w:val="left"/>
        <w:tblInd w:w="48" w:type="dxa"/>
        <w:tblLayout w:type="fixed"/>
        <w:tblCellMar>
          <w:top w:w="0" w:type="dxa"/>
          <w:left w:w="7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60"/>
        <w:gridCol w:w="2888"/>
        <w:gridCol w:w="3354"/>
        <w:gridCol w:w="3003"/>
      </w:tblGrid>
      <w:tr>
        <w:trPr/>
        <w:tc>
          <w:tcPr>
            <w:tcW w:w="96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  <w:lang w:eastAsia="ru-RU"/>
              </w:rPr>
              <w:t>п/п</w:t>
            </w:r>
          </w:p>
        </w:tc>
        <w:tc>
          <w:tcPr>
            <w:tcW w:w="288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  <w:lang w:eastAsia="ru-RU"/>
              </w:rPr>
              <w:t>Наименование параметра</w:t>
            </w:r>
          </w:p>
        </w:tc>
        <w:tc>
          <w:tcPr>
            <w:tcW w:w="335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  <w:lang w:eastAsia="ru-RU"/>
              </w:rPr>
              <w:t>Требование заказчика</w:t>
            </w:r>
          </w:p>
        </w:tc>
        <w:tc>
          <w:tcPr>
            <w:tcW w:w="3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Способ подтверждения участником соответствия требованиям</w:t>
            </w:r>
          </w:p>
        </w:tc>
      </w:tr>
      <w:tr>
        <w:trPr/>
        <w:tc>
          <w:tcPr>
            <w:tcW w:w="960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888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35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Согласие с требованием/ указание характеристик</w:t>
            </w:r>
          </w:p>
        </w:tc>
      </w:tr>
      <w:tr>
        <w:trPr/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8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3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3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>
        <w:trPr/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pacing w:lineRule="auto" w:line="240" w:before="60" w:after="0"/>
              <w:contextualSpacing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ru-RU"/>
              </w:rPr>
            </w:r>
          </w:p>
        </w:tc>
        <w:tc>
          <w:tcPr>
            <w:tcW w:w="62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  <w:lang w:eastAsia="ru-RU"/>
              </w:rPr>
              <w:t>Требования к выполнению работ</w:t>
            </w:r>
          </w:p>
        </w:tc>
        <w:tc>
          <w:tcPr>
            <w:tcW w:w="3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-//-</w:t>
            </w:r>
          </w:p>
        </w:tc>
      </w:tr>
      <w:tr>
        <w:trPr/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5"/>
              </w:numPr>
              <w:spacing w:lineRule="auto" w:line="240" w:before="60" w:after="0"/>
              <w:ind w:firstLine="142" w:left="-117"/>
              <w:contextualSpacing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  <w:lang w:eastAsia="ru-RU"/>
              </w:rPr>
            </w:r>
          </w:p>
        </w:tc>
        <w:tc>
          <w:tcPr>
            <w:tcW w:w="62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  <w:lang w:eastAsia="ru-RU"/>
              </w:rPr>
              <w:t>Общие требования к выполнению работ</w:t>
            </w:r>
          </w:p>
        </w:tc>
        <w:tc>
          <w:tcPr>
            <w:tcW w:w="3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60" w:after="0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420" w:hRule="atLeast"/>
        </w:trPr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ind w:hang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ru-RU"/>
              </w:rPr>
              <w:t>1.1.1</w:t>
            </w:r>
          </w:p>
        </w:tc>
        <w:tc>
          <w:tcPr>
            <w:tcW w:w="62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tabs>
                <w:tab w:val="clear" w:pos="708"/>
                <w:tab w:val="left" w:pos="1418" w:leader="none"/>
              </w:tabs>
              <w:suppressAutoHyphens w:val="true"/>
              <w:spacing w:lineRule="auto" w:line="240" w:before="0" w:after="0"/>
              <w:jc w:val="both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i/>
                <w:sz w:val="22"/>
                <w:szCs w:val="22"/>
                <w:lang w:eastAsia="ru-RU"/>
              </w:rPr>
              <w:t>Подрядчик создает условия для проживания своего персонала на объекте.</w:t>
            </w:r>
          </w:p>
        </w:tc>
        <w:tc>
          <w:tcPr>
            <w:tcW w:w="300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bCs/>
                <w:i/>
                <w:sz w:val="24"/>
                <w:szCs w:val="24"/>
                <w:lang w:eastAsia="ru-RU"/>
              </w:rPr>
              <w:t>Участник должен предоставить в заявке согласие выполнить работы, полностью соответствующие настоящим техническим требованиям, по форме Технического предложения, установленной в Документации о закупке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ru-RU"/>
              </w:rPr>
              <w:t>1.1.2</w:t>
            </w:r>
          </w:p>
        </w:tc>
        <w:tc>
          <w:tcPr>
            <w:tcW w:w="62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i/>
                <w:sz w:val="22"/>
                <w:szCs w:val="22"/>
                <w:lang w:eastAsia="ru-RU"/>
              </w:rPr>
              <w:t>После выполнения полного объема работ Подрядчик: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i/>
                <w:sz w:val="22"/>
                <w:szCs w:val="22"/>
                <w:lang w:eastAsia="ru-RU"/>
              </w:rPr>
              <w:t>- производит уборку рабочего места от посторонних предметов, механизмов, приспособлений, отходов;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i/>
                <w:sz w:val="22"/>
                <w:szCs w:val="22"/>
                <w:lang w:eastAsia="ru-RU"/>
              </w:rPr>
              <w:t>- подписывает акт приемки объекта из ремонта</w:t>
            </w:r>
          </w:p>
        </w:tc>
        <w:tc>
          <w:tcPr>
            <w:tcW w:w="300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066" w:hRule="atLeast"/>
        </w:trPr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ru-RU"/>
              </w:rPr>
              <w:t>1.1.3</w:t>
            </w:r>
          </w:p>
        </w:tc>
        <w:tc>
          <w:tcPr>
            <w:tcW w:w="62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jc w:val="both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22"/>
                <w:szCs w:val="22"/>
                <w:lang w:eastAsia="ru-RU"/>
              </w:rPr>
              <w:t>Материалы и оборудование, высвобождаемые после демонтажа, передаются Заказчику с оформлением акта передачи на склад базы соответствующего РЭС Заказчика.</w:t>
            </w:r>
          </w:p>
          <w:p>
            <w:pPr>
              <w:pStyle w:val="Normal"/>
              <w:tabs>
                <w:tab w:val="clear" w:pos="708"/>
                <w:tab w:val="left" w:pos="993" w:leader="none"/>
                <w:tab w:val="left" w:pos="1212" w:leader="none"/>
              </w:tabs>
              <w:spacing w:lineRule="auto" w:line="240"/>
              <w:jc w:val="both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iCs w:val="false"/>
                <w:color w:val="000000"/>
                <w:sz w:val="22"/>
                <w:szCs w:val="22"/>
                <w:lang w:eastAsia="ru-RU"/>
              </w:rPr>
              <w:t>склад Службы Линий: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jc w:val="both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2"/>
                <w:szCs w:val="22"/>
                <w:lang w:eastAsia="ru-RU"/>
              </w:rPr>
              <w:t>Демонтируемый материал: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jc w:val="both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2"/>
                <w:szCs w:val="22"/>
                <w:lang w:eastAsia="ru-RU"/>
              </w:rPr>
              <w:t>Металлоконструкции — 9,11т;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jc w:val="both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2"/>
                <w:szCs w:val="22"/>
                <w:lang w:eastAsia="ru-RU"/>
              </w:rPr>
              <w:t>Провод марки АС-95,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jc w:val="both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2"/>
                <w:szCs w:val="22"/>
                <w:lang w:eastAsia="ru-RU"/>
              </w:rPr>
              <w:t>грозотрос марки С-35 — 0,39 т;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jc w:val="both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2"/>
                <w:szCs w:val="22"/>
                <w:lang w:eastAsia="ru-RU"/>
              </w:rPr>
              <w:t>Фундаменты — 46,85 т;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jc w:val="both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2"/>
                <w:szCs w:val="22"/>
                <w:lang w:eastAsia="ru-RU"/>
              </w:rPr>
              <w:t>Порубочные остатки — 0,21 т.</w:t>
            </w:r>
          </w:p>
        </w:tc>
        <w:tc>
          <w:tcPr>
            <w:tcW w:w="300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5"/>
              </w:numPr>
              <w:spacing w:lineRule="auto" w:line="240" w:before="60" w:after="0"/>
              <w:ind w:firstLine="142" w:left="-117"/>
              <w:contextualSpacing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ru-RU"/>
              </w:rPr>
            </w:r>
          </w:p>
        </w:tc>
        <w:tc>
          <w:tcPr>
            <w:tcW w:w="62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2"/>
                <w:szCs w:val="22"/>
                <w:lang w:eastAsia="ru-RU"/>
              </w:rPr>
              <w:t>Требования к организации работ</w:t>
            </w:r>
          </w:p>
        </w:tc>
        <w:tc>
          <w:tcPr>
            <w:tcW w:w="3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  <w:lang w:eastAsia="ru-RU"/>
              </w:rPr>
              <w:t>-//-</w:t>
            </w:r>
          </w:p>
        </w:tc>
      </w:tr>
      <w:tr>
        <w:trPr>
          <w:trHeight w:val="705" w:hRule="atLeast"/>
        </w:trPr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ind w:hang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ru-RU"/>
              </w:rPr>
              <w:t>1.2.1</w:t>
            </w:r>
          </w:p>
        </w:tc>
        <w:tc>
          <w:tcPr>
            <w:tcW w:w="62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auto" w:line="240" w:before="60" w:after="0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22"/>
                <w:szCs w:val="22"/>
                <w:lang w:eastAsia="ru-RU"/>
              </w:rPr>
              <w:t>Работы выполняются по проекту производства работ (ППР) и графику их выполнения, разработанных Подрядчиком и согласованных с Заказчиком. ППР выполняется с требованиями к разработке, указанными в. ППР необходимо предоставить на согласование и утверждение главному инженеру СП в двух экземплярах за 15 (пятнадцать) дней до начала выполнения работ.</w:t>
            </w:r>
          </w:p>
        </w:tc>
        <w:tc>
          <w:tcPr>
            <w:tcW w:w="300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bCs/>
                <w:i/>
                <w:sz w:val="24"/>
                <w:szCs w:val="24"/>
                <w:lang w:eastAsia="ru-RU"/>
              </w:rPr>
              <w:t>Участник должен предоставить в заявке согласие выполнить работы, полностью соответствующие настоящим техническим требованиям, по форме Технического предложения, установленной в Документации о закупке</w:t>
            </w:r>
          </w:p>
        </w:tc>
      </w:tr>
      <w:tr>
        <w:trPr>
          <w:trHeight w:val="706" w:hRule="atLeast"/>
        </w:trPr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ind w:hang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ru-RU"/>
              </w:rPr>
              <w:t>1.2.2</w:t>
            </w:r>
          </w:p>
        </w:tc>
        <w:tc>
          <w:tcPr>
            <w:tcW w:w="62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auto" w:line="240" w:before="60" w:after="0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i/>
                <w:sz w:val="22"/>
                <w:szCs w:val="22"/>
                <w:lang w:eastAsia="ru-RU"/>
              </w:rPr>
              <w:t>Заявка на вывод оборудования в ремонт подается Подрядчиком не позднее 10 дней до начала производства работ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300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5"/>
              </w:numPr>
              <w:spacing w:lineRule="auto" w:line="240" w:before="60" w:after="0"/>
              <w:ind w:firstLine="142" w:left="-117"/>
              <w:contextualSpacing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ru-RU"/>
              </w:rPr>
            </w:r>
          </w:p>
        </w:tc>
        <w:tc>
          <w:tcPr>
            <w:tcW w:w="62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auto" w:line="240" w:before="60" w:after="0"/>
              <w:jc w:val="both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  <w:lang w:eastAsia="ru-RU"/>
              </w:rPr>
              <w:t>Требования к применяемым при выполнении работ оборудованию, материалам, технологиям, программно-аппаратным средствам</w:t>
            </w:r>
          </w:p>
        </w:tc>
        <w:tc>
          <w:tcPr>
            <w:tcW w:w="3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-//-</w:t>
            </w:r>
          </w:p>
        </w:tc>
      </w:tr>
      <w:tr>
        <w:trPr/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ind w:hang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ru-RU"/>
              </w:rPr>
              <w:t>1.3.1</w:t>
            </w:r>
          </w:p>
        </w:tc>
        <w:tc>
          <w:tcPr>
            <w:tcW w:w="62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i/>
                <w:sz w:val="22"/>
                <w:szCs w:val="22"/>
                <w:lang w:eastAsia="ru-RU"/>
              </w:rPr>
              <w:t xml:space="preserve">Поставка материалов и техники, необходимых для выполнения работ – 100% Подрядчика. Материалы, предоставляемые Подрядчиком должны соответствовать </w:t>
            </w:r>
            <w:r>
              <w:rPr>
                <w:rFonts w:eastAsia="Times New Roman" w:cs="Times New Roman" w:ascii="Times New Roman" w:hAnsi="Times New Roman"/>
                <w:i/>
                <w:color w:val="000000"/>
                <w:sz w:val="22"/>
                <w:szCs w:val="22"/>
                <w:lang w:eastAsia="ru-RU"/>
              </w:rPr>
              <w:t>государственным стандартам, техническим условиям и иметь соответствующие сертификаты, технические паспорта или другие документы, удостоверяющие их качество</w:t>
            </w:r>
            <w:r>
              <w:rPr>
                <w:rFonts w:eastAsia="Times New Roman" w:cs="Times New Roman" w:ascii="Times New Roman" w:hAnsi="Times New Roman"/>
                <w:i/>
                <w:sz w:val="22"/>
                <w:szCs w:val="22"/>
                <w:lang w:eastAsia="ru-RU"/>
              </w:rPr>
              <w:t>. Подготовка и хранение материалов производится вне рабочей зоны. Оборудование и материалы доставляются к месту производства работ</w:t>
            </w:r>
            <w:r>
              <w:rPr>
                <w:rFonts w:eastAsia="Times New Roman" w:cs="Times New Roman" w:ascii="Times New Roman" w:hAnsi="Times New Roman"/>
                <w:i/>
                <w:color w:val="000000"/>
                <w:sz w:val="22"/>
                <w:szCs w:val="22"/>
                <w:lang w:eastAsia="ru-RU"/>
              </w:rPr>
              <w:t xml:space="preserve"> Подрядчиком самостоятельно готовыми к применению.</w:t>
            </w:r>
          </w:p>
        </w:tc>
        <w:tc>
          <w:tcPr>
            <w:tcW w:w="300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bCs/>
                <w:i/>
                <w:sz w:val="24"/>
                <w:szCs w:val="24"/>
                <w:lang w:eastAsia="ru-RU"/>
              </w:rPr>
              <w:t>Участник должен предоставить в заявке согласие выполнить работы, полностью соответствующие настоящим техническим требованиям, по форме Технического предложения, установленной в Документации о закупке</w:t>
            </w:r>
          </w:p>
        </w:tc>
      </w:tr>
      <w:tr>
        <w:trPr/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ind w:hang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ru-RU"/>
              </w:rPr>
              <w:t>1.3.2</w:t>
            </w:r>
          </w:p>
        </w:tc>
        <w:tc>
          <w:tcPr>
            <w:tcW w:w="62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i/>
                <w:sz w:val="22"/>
                <w:szCs w:val="22"/>
                <w:lang w:eastAsia="ru-RU"/>
              </w:rPr>
              <w:t>Цветовые, текстурные решения материалов, эскизы предупреждающих плакатов и др. перед применением согласуются с Заказчиком.</w:t>
            </w:r>
          </w:p>
        </w:tc>
        <w:tc>
          <w:tcPr>
            <w:tcW w:w="300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contextualSpacing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  <w:lang w:eastAsia="ru-RU"/>
              </w:rPr>
              <w:t>1.4.</w:t>
            </w:r>
          </w:p>
        </w:tc>
        <w:tc>
          <w:tcPr>
            <w:tcW w:w="62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auto" w:line="240" w:before="60" w:after="0"/>
              <w:jc w:val="both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  <w:lang w:eastAsia="ru-RU"/>
              </w:rPr>
              <w:t>Требования к контролю качества работ и материалов</w:t>
            </w:r>
          </w:p>
        </w:tc>
        <w:tc>
          <w:tcPr>
            <w:tcW w:w="3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  <w:lang w:eastAsia="ru-RU"/>
              </w:rPr>
              <w:t>-//-</w:t>
            </w:r>
          </w:p>
        </w:tc>
      </w:tr>
      <w:tr>
        <w:trPr/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ru-RU"/>
              </w:rPr>
              <w:t>1.4.1.</w:t>
            </w:r>
          </w:p>
        </w:tc>
        <w:tc>
          <w:tcPr>
            <w:tcW w:w="62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418" w:leader="none"/>
              </w:tabs>
              <w:suppressAutoHyphens w:val="true"/>
              <w:spacing w:lineRule="auto" w:line="240" w:before="0" w:after="0"/>
              <w:jc w:val="both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i/>
                <w:sz w:val="22"/>
                <w:szCs w:val="22"/>
                <w:lang w:eastAsia="ru-RU"/>
              </w:rPr>
              <w:t>Обеспечение Подрядчиком внутреннего строительного контроля в соответствие с требованиями Постановления Правительства РФ от 21.06.2010 № 468 «О порядке проведения строительного контроля при осуществлении строительства, реконструкции и капитального ремонта объектов капитального строительства».</w:t>
            </w:r>
          </w:p>
        </w:tc>
        <w:tc>
          <w:tcPr>
            <w:tcW w:w="3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i/>
                <w:sz w:val="24"/>
                <w:szCs w:val="24"/>
                <w:lang w:eastAsia="ru-RU"/>
              </w:rPr>
              <w:t>Участник должен предоставить в заявке согласие выполнить работы, полностью соответствующие настоящим техническим требованиям, по форме Технического предложения, установленной в Документации о закупке</w:t>
            </w:r>
          </w:p>
        </w:tc>
      </w:tr>
      <w:tr>
        <w:trPr/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ind w:hanging="330" w:left="360"/>
              <w:contextualSpacing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  <w:lang w:eastAsia="ru-RU"/>
              </w:rPr>
              <w:t>1.5</w:t>
            </w:r>
          </w:p>
        </w:tc>
        <w:tc>
          <w:tcPr>
            <w:tcW w:w="62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  <w:lang w:eastAsia="ru-RU"/>
              </w:rPr>
              <w:t>Требования к безопасности работ и охране труда</w:t>
            </w:r>
          </w:p>
        </w:tc>
        <w:tc>
          <w:tcPr>
            <w:tcW w:w="3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  <w:lang w:eastAsia="ru-RU"/>
              </w:rPr>
              <w:t>-//-</w:t>
            </w:r>
          </w:p>
        </w:tc>
      </w:tr>
      <w:tr>
        <w:trPr/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ind w:hanging="330" w:left="360"/>
              <w:contextualSpacing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ru-RU"/>
              </w:rPr>
              <w:t>1.5.1.</w:t>
            </w:r>
          </w:p>
        </w:tc>
        <w:tc>
          <w:tcPr>
            <w:tcW w:w="62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Cs/>
                <w:i/>
                <w:sz w:val="22"/>
                <w:szCs w:val="22"/>
                <w:lang w:eastAsia="ru-RU"/>
              </w:rPr>
              <w:t>Работы необходимо выполнять в соответствии с действующими государственными нормами, правилами, техническими регламентами: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Cs/>
                <w:i/>
                <w:sz w:val="22"/>
                <w:szCs w:val="22"/>
                <w:lang w:eastAsia="ru-RU"/>
              </w:rPr>
              <w:t>- Правила технической эксплуатации электрических станций и сетей РФ;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Cs/>
                <w:i/>
                <w:sz w:val="22"/>
                <w:szCs w:val="22"/>
                <w:lang w:eastAsia="ru-RU"/>
              </w:rPr>
              <w:t>- СНиП 12-01-2004 «Организация строительства»;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Cs/>
                <w:i/>
                <w:sz w:val="22"/>
                <w:szCs w:val="22"/>
                <w:lang w:eastAsia="ru-RU"/>
              </w:rPr>
              <w:t>- ГОСТ Р 59053-2020 «Охрана окружающей среды. Охрана и рациональное использование вод. Термины и определения»;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Cs/>
                <w:i/>
                <w:sz w:val="22"/>
                <w:szCs w:val="22"/>
                <w:lang w:eastAsia="ru-RU"/>
              </w:rPr>
              <w:t>- ГОСТ Р 59061-2020 «Охрана окружающей среды. Загрязнение атмосферного воздуха. Термины и определения»;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Cs/>
                <w:i/>
                <w:sz w:val="22"/>
                <w:szCs w:val="22"/>
                <w:lang w:eastAsia="ru-RU"/>
              </w:rPr>
              <w:t>- Правила противопожарного режима в РФ, утвержденные Постановлением Правительства РФ от 16.09.2020 №1479 «О противопожарном режиме».</w:t>
            </w:r>
          </w:p>
        </w:tc>
        <w:tc>
          <w:tcPr>
            <w:tcW w:w="300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bCs/>
                <w:i/>
                <w:sz w:val="24"/>
                <w:szCs w:val="24"/>
                <w:lang w:eastAsia="ru-RU"/>
              </w:rPr>
              <w:t>Участник должен предоставить в заявке согласие выполнить работы, полностью соответствующие настоящим техническим требованиям, по форме Технического предложения, установленной в Документации о закупке</w:t>
            </w:r>
          </w:p>
        </w:tc>
      </w:tr>
      <w:tr>
        <w:trPr/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ind w:hanging="330" w:left="360"/>
              <w:contextualSpacing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ru-RU"/>
              </w:rPr>
              <w:t>1.5.2.</w:t>
            </w:r>
          </w:p>
        </w:tc>
        <w:tc>
          <w:tcPr>
            <w:tcW w:w="62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Cs/>
                <w:i/>
                <w:sz w:val="22"/>
                <w:szCs w:val="22"/>
                <w:lang w:eastAsia="ru-RU"/>
              </w:rPr>
              <w:t>Обеспечить выполнение требований Правил по охране труда при эксплуатации электроустановок (Приказ от 15 декабря 2020 г. № 930н)</w:t>
            </w:r>
          </w:p>
        </w:tc>
        <w:tc>
          <w:tcPr>
            <w:tcW w:w="300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ind w:hanging="330" w:left="360"/>
              <w:contextualSpacing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ru-RU"/>
              </w:rPr>
              <w:t>1.5.3.</w:t>
            </w:r>
          </w:p>
        </w:tc>
        <w:tc>
          <w:tcPr>
            <w:tcW w:w="62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i/>
                <w:sz w:val="22"/>
                <w:szCs w:val="22"/>
                <w:lang w:eastAsia="ru-RU"/>
              </w:rPr>
              <w:t>Выполнять следующие виды работ с использованием комплектов для защиты от термических рисков электрической дуги (далее СИЗ):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i/>
                <w:sz w:val="22"/>
                <w:szCs w:val="22"/>
                <w:lang w:eastAsia="ru-RU"/>
              </w:rPr>
              <w:t>- без снятия напряжения с электроустановки, выполняемых с прикосновением к токоведущим частям, находящимся под напряжением или на расстоянии от этих токоведущих частей, менее указанных в п.3.3 и п.47.15 ПОТ ЭЭУ;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i/>
                <w:sz w:val="22"/>
                <w:szCs w:val="22"/>
                <w:lang w:eastAsia="ru-RU"/>
              </w:rPr>
              <w:t>- испытаниях оборудования повышенным напряжением;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i/>
                <w:sz w:val="22"/>
                <w:szCs w:val="22"/>
                <w:lang w:eastAsia="ru-RU"/>
              </w:rPr>
              <w:t>- выполняемых со снятием рабочего напряжения с электроустановки или ее части с прикосновением к токоведущим частям, находящимся под наведенным напряжением более 25 В на рабочем месте или на расстоянии от этих токоведущих частей менее допустимого;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i/>
                <w:sz w:val="22"/>
                <w:szCs w:val="22"/>
                <w:lang w:eastAsia="ru-RU"/>
              </w:rPr>
              <w:t>- иных работ, разрешенных к выполнению под напряжением на токоведущих частях в электроустановках, в соответствии с утвержденным перечнем работ в филиале АО «ДРСК» с учетом требований ПОТ ЭЭУ</w:t>
            </w:r>
          </w:p>
        </w:tc>
        <w:tc>
          <w:tcPr>
            <w:tcW w:w="300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ind w:hanging="330" w:left="360"/>
              <w:contextualSpacing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ru-RU"/>
              </w:rPr>
              <w:t>1.5.4.</w:t>
            </w:r>
          </w:p>
        </w:tc>
        <w:tc>
          <w:tcPr>
            <w:tcW w:w="62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lineRule="auto" w:line="240" w:before="0" w:after="0"/>
              <w:jc w:val="both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i/>
                <w:sz w:val="22"/>
                <w:szCs w:val="22"/>
                <w:lang w:eastAsia="ru-RU"/>
              </w:rPr>
              <w:t>Подрядчик: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lineRule="auto" w:line="240" w:before="0" w:after="0"/>
              <w:jc w:val="both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i/>
                <w:sz w:val="22"/>
                <w:szCs w:val="22"/>
                <w:lang w:eastAsia="ru-RU"/>
              </w:rPr>
              <w:t>- обеспечивает участие своего персонала в получении вводного и первичного на рабочем месте инструктажей, проводимых персоналом Заказчика с применением видеофиксации;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lineRule="auto" w:line="240" w:before="0" w:after="0"/>
              <w:jc w:val="both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i/>
                <w:sz w:val="22"/>
                <w:szCs w:val="22"/>
                <w:lang w:eastAsia="ru-RU"/>
              </w:rPr>
              <w:t>- обеспечивает участие своего персонала, допускаемого в электроустановки Заказчика в качестве командированного персонала или в качестве персонала строительно-монтажных (ремонтных, наладочных) организаций, в проводимой персоналом Заказчика видеофиксации допусков персонала Подрядчика к работе в электроустановках Заказчика;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lineRule="auto" w:line="240" w:before="0" w:after="0"/>
              <w:jc w:val="both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i/>
                <w:sz w:val="22"/>
                <w:szCs w:val="22"/>
                <w:lang w:eastAsia="ru-RU"/>
              </w:rPr>
              <w:t>- обеспечивает участие своего персонала, выполняющего работы на объектах Общества в составе бригад, в проводимых персоналом Заказчика проверках данных бригад с применением видеофиксации;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i/>
                <w:sz w:val="22"/>
                <w:szCs w:val="22"/>
                <w:lang w:eastAsia="ru-RU"/>
              </w:rPr>
              <w:t>- совместно с уведомлением о допуске(сопроводительным письмом) обеспечивает предоставление согласий вышеуказанного персонала на обработку персональных данных (Приложение В к Порядку работы с переносными средствами видеофиксации в АО «ДРСК» Прк-СМОЗиОБТ-9.1-01/09-26).</w:t>
            </w:r>
          </w:p>
        </w:tc>
        <w:tc>
          <w:tcPr>
            <w:tcW w:w="300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6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pacing w:lineRule="auto" w:line="240" w:before="60" w:after="0"/>
              <w:contextualSpacing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ru-RU"/>
              </w:rPr>
            </w:r>
          </w:p>
        </w:tc>
        <w:tc>
          <w:tcPr>
            <w:tcW w:w="62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  <w:lang w:eastAsia="ru-RU"/>
              </w:rPr>
              <w:t>Требования к результатам работ</w:t>
            </w:r>
          </w:p>
        </w:tc>
        <w:tc>
          <w:tcPr>
            <w:tcW w:w="3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  <w:lang w:eastAsia="ru-RU"/>
              </w:rPr>
              <w:t>-//-</w:t>
            </w:r>
          </w:p>
        </w:tc>
      </w:tr>
      <w:tr>
        <w:trPr/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5"/>
              </w:numPr>
              <w:spacing w:lineRule="auto" w:line="240" w:before="60" w:after="0"/>
              <w:ind w:firstLine="142" w:left="-117"/>
              <w:contextualSpacing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ru-RU"/>
              </w:rPr>
            </w:r>
          </w:p>
        </w:tc>
        <w:tc>
          <w:tcPr>
            <w:tcW w:w="62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  <w:lang w:eastAsia="ru-RU"/>
              </w:rPr>
              <w:t>Требования к порядку приемки результатов работ</w:t>
            </w:r>
          </w:p>
        </w:tc>
        <w:tc>
          <w:tcPr>
            <w:tcW w:w="3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  <w:lang w:eastAsia="ru-RU"/>
              </w:rPr>
              <w:t>-//-</w:t>
            </w:r>
          </w:p>
        </w:tc>
      </w:tr>
      <w:tr>
        <w:trPr/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ind w:hang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ru-RU"/>
              </w:rPr>
              <w:t>2.1.1</w:t>
            </w:r>
          </w:p>
        </w:tc>
        <w:tc>
          <w:tcPr>
            <w:tcW w:w="62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i/>
                <w:sz w:val="22"/>
                <w:szCs w:val="22"/>
                <w:lang w:eastAsia="ru-RU"/>
              </w:rPr>
              <w:t>Ежемесячная приемка объемов выполненных работ производится в срок до 25 числа отчетного месяца в соответствии с требованиями постановления Российского статистического агентства от 11 ноября 1999 г. N 100 «Об утверждении унифицированных форм первичного учета документации по учету работ в капитальном строительстве и ремонтно-строительных работ» (в том числе предоставляются акты освидетельствования скрытых работ).</w:t>
            </w:r>
          </w:p>
        </w:tc>
        <w:tc>
          <w:tcPr>
            <w:tcW w:w="300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bCs/>
                <w:i/>
                <w:sz w:val="24"/>
                <w:szCs w:val="24"/>
                <w:lang w:eastAsia="ru-RU"/>
              </w:rPr>
              <w:t>Участник должен предоставить в заявке согласие выполнить работы, полностью соответствующие настоящим техническим требованиям, по форме Технического предложения, установленной в Документации о закупке</w:t>
            </w:r>
          </w:p>
        </w:tc>
      </w:tr>
      <w:tr>
        <w:trPr/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ind w:hang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ru-RU"/>
              </w:rPr>
              <w:t>2.1.2</w:t>
            </w:r>
          </w:p>
        </w:tc>
        <w:tc>
          <w:tcPr>
            <w:tcW w:w="62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i/>
                <w:sz w:val="22"/>
                <w:szCs w:val="22"/>
                <w:lang w:eastAsia="ru-RU"/>
              </w:rPr>
              <w:t>Приёмка объекта из ремонта осуществляется в соответствии с «Правилами организации технического обслуживания и ремонта объектов электроэнергетики», утвержденных приказом Минэнерго России от 25.10.2017 № 1013, с оформлением и передачей Заказчику Акта приемки объекта из ремонта, актов освидетельствования скрытых работ и фотоотчета в электронном виде о выполненных работах (в т.ч. скрытых).</w:t>
            </w:r>
          </w:p>
        </w:tc>
        <w:tc>
          <w:tcPr>
            <w:tcW w:w="300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16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ind w:hang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ru-RU"/>
              </w:rPr>
              <w:t>2.1.3</w:t>
            </w:r>
          </w:p>
        </w:tc>
        <w:tc>
          <w:tcPr>
            <w:tcW w:w="62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auto" w:line="240" w:before="60" w:after="0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i/>
                <w:sz w:val="22"/>
                <w:szCs w:val="22"/>
                <w:lang w:eastAsia="ru-RU"/>
              </w:rPr>
              <w:t>Приемка объемов выполненных работ производится при предъявлении подтверждающей справки по выполнению физических объемов, схемы выполненных работ, согласованных с представителем РЭС, и фотоотчета в эл. виде о выполненных работах (в т. ч. скрытых).</w:t>
            </w:r>
          </w:p>
        </w:tc>
        <w:tc>
          <w:tcPr>
            <w:tcW w:w="300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16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347" w:hRule="atLeast"/>
        </w:trPr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ind w:hanging="0" w:left="30"/>
              <w:contextualSpacing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  <w:lang w:eastAsia="ru-RU"/>
              </w:rPr>
              <w:t>2.2.</w:t>
            </w:r>
          </w:p>
        </w:tc>
        <w:tc>
          <w:tcPr>
            <w:tcW w:w="62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auto" w:line="240" w:before="60" w:after="0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  <w:lang w:eastAsia="ru-RU"/>
              </w:rPr>
              <w:t>Требования к оформлению документации</w:t>
            </w:r>
          </w:p>
        </w:tc>
        <w:tc>
          <w:tcPr>
            <w:tcW w:w="3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  <w:lang w:eastAsia="ru-RU"/>
              </w:rPr>
              <w:t>-//-</w:t>
            </w:r>
          </w:p>
        </w:tc>
      </w:tr>
      <w:tr>
        <w:trPr>
          <w:trHeight w:val="2976" w:hRule="atLeast"/>
        </w:trPr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ind w:hanging="0"/>
              <w:contextualSpacing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ru-RU"/>
              </w:rPr>
              <w:t>2.2.1</w:t>
            </w:r>
          </w:p>
        </w:tc>
        <w:tc>
          <w:tcPr>
            <w:tcW w:w="62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i/>
                <w:sz w:val="22"/>
                <w:szCs w:val="22"/>
                <w:lang w:eastAsia="ru-RU"/>
              </w:rPr>
              <w:t>При выполнении работ по расчистке просек «Участник» самостоятельно оформляет и осуществляет сдачу мест расчисток органам лесного хозяйства (лесничествам), и предоставляет документ, подтверждающий отсутствие претензий с их стороны. На основе данного документа «Участник» самостоятельно осуществляет оформление и предоставление документов от глав администраций, на территории которых расположены места расчисток, об отсутствии претензий с их стороны</w:t>
            </w:r>
            <w:r>
              <w:rPr>
                <w:rFonts w:eastAsia="Times New Roman" w:cs="Times New Roman" w:ascii="Times New Roman" w:hAnsi="Times New Roman"/>
                <w:b/>
                <w:i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3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160"/>
              <w:rPr/>
            </w:pPr>
            <w:r>
              <w:rPr>
                <w:rFonts w:eastAsia="Times New Roman" w:cs="Times New Roman" w:ascii="Times New Roman" w:hAnsi="Times New Roman"/>
                <w:i/>
                <w:sz w:val="24"/>
                <w:szCs w:val="24"/>
                <w:lang w:eastAsia="ru-RU"/>
              </w:rPr>
              <w:t>Участник должен предоставить в заявке согласие выполнить работы, полностью соответствующие настоящим техническим требованиям, по форме Технического предложения, установленной в Документации о закупке</w:t>
            </w:r>
          </w:p>
        </w:tc>
      </w:tr>
      <w:tr>
        <w:trPr/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right="397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  <w:lang w:eastAsia="ru-RU"/>
              </w:rPr>
              <w:t>3.</w:t>
            </w:r>
          </w:p>
        </w:tc>
        <w:tc>
          <w:tcPr>
            <w:tcW w:w="62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20" w:after="0"/>
              <w:jc w:val="both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  <w:lang w:eastAsia="ru-RU"/>
              </w:rPr>
              <w:t>Требования к ответственности и гарантиям подрядчика</w:t>
            </w:r>
          </w:p>
        </w:tc>
        <w:tc>
          <w:tcPr>
            <w:tcW w:w="3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  <w:lang w:eastAsia="ru-RU"/>
              </w:rPr>
              <w:t>-//-</w:t>
            </w:r>
          </w:p>
        </w:tc>
      </w:tr>
      <w:tr>
        <w:trPr>
          <w:trHeight w:val="556" w:hRule="atLeast"/>
        </w:trPr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contextualSpacing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ru-RU"/>
              </w:rPr>
              <w:t>3.1</w:t>
            </w:r>
          </w:p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ru-RU"/>
              </w:rPr>
            </w:r>
          </w:p>
        </w:tc>
        <w:tc>
          <w:tcPr>
            <w:tcW w:w="62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i/>
                <w:sz w:val="22"/>
                <w:szCs w:val="22"/>
                <w:lang w:eastAsia="ru-RU"/>
              </w:rPr>
              <w:t>Гарантия исполнителя оговаривается в Договоре подряда на работы. Подрядчик (исполнитель) гарантирует своевременное и качественное выполнение работ, а также устранение дефектов, возникших по его вине в течение не менее 24-х месяцев с момента приёмки выполненных работ. Гарантия на материалы, поставляемые Подрядчиком не менее 24-х месяцев</w:t>
            </w:r>
          </w:p>
        </w:tc>
        <w:tc>
          <w:tcPr>
            <w:tcW w:w="3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bCs/>
                <w:i/>
                <w:sz w:val="24"/>
                <w:szCs w:val="24"/>
                <w:lang w:eastAsia="ru-RU"/>
              </w:rPr>
              <w:t>Участник должен предоставить в заявке согласие выполнить работы, полностью соответствующие настоящим техническим требованиям, по форме Технического предложения, установленной в Документации о закупке</w:t>
            </w:r>
          </w:p>
        </w:tc>
      </w:tr>
    </w:tbl>
    <w:p>
      <w:pPr>
        <w:pStyle w:val="Heading1"/>
        <w:numPr>
          <w:ilvl w:val="0"/>
          <w:numId w:val="0"/>
        </w:numPr>
        <w:spacing w:lineRule="auto" w:line="240"/>
        <w:ind w:hanging="0" w:left="36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numPr>
          <w:ilvl w:val="0"/>
          <w:numId w:val="6"/>
        </w:numPr>
        <w:spacing w:lineRule="auto" w:line="240"/>
        <w:rPr/>
      </w:pPr>
      <w:bookmarkStart w:id="9" w:name="_Toc154561873"/>
      <w:bookmarkEnd w:id="9"/>
      <w:r>
        <w:rPr>
          <w:sz w:val="26"/>
          <w:szCs w:val="26"/>
        </w:rPr>
        <w:t>Требования к документации по ценообразованию на этапе закупки</w:t>
      </w:r>
    </w:p>
    <w:p>
      <w:pPr>
        <w:pStyle w:val="Normal"/>
        <w:keepNext w:val="true"/>
        <w:numPr>
          <w:ilvl w:val="1"/>
          <w:numId w:val="6"/>
        </w:numPr>
        <w:spacing w:lineRule="auto" w:line="240" w:before="120" w:after="60"/>
        <w:ind w:hanging="0" w:left="0"/>
        <w:jc w:val="both"/>
        <w:outlineLvl w:val="3"/>
        <w:rPr/>
      </w:pPr>
      <w:r>
        <w:rPr>
          <w:rFonts w:eastAsia="Times New Roman" w:cs="Times New Roman" w:ascii="Times New Roman;serif" w:hAnsi="Times New Roman;serif"/>
          <w:iCs/>
          <w:sz w:val="24"/>
          <w:szCs w:val="24"/>
        </w:rPr>
        <w:t xml:space="preserve">В обоснование стоимости своей заявки Участник предоставляет Коммерческое предложение по форме, приведенной в Документации о закупке (с указанием понижающего коэффициента), с учетом </w:t>
      </w:r>
      <w:r>
        <w:rPr>
          <w:rFonts w:eastAsia="Times New Roman" w:cs="Times New Roman" w:ascii="Times New Roman;serif" w:hAnsi="Times New Roman;serif"/>
          <w:bCs/>
          <w:iCs/>
          <w:sz w:val="24"/>
          <w:szCs w:val="24"/>
        </w:rPr>
        <w:t>требований к ценообразованию при формировании Коммерческого предложения в составе заявки участника</w:t>
      </w:r>
    </w:p>
    <w:p>
      <w:pPr>
        <w:pStyle w:val="Normal"/>
        <w:keepNext w:val="true"/>
        <w:numPr>
          <w:ilvl w:val="1"/>
          <w:numId w:val="6"/>
        </w:numPr>
        <w:spacing w:lineRule="auto" w:line="240" w:before="120" w:after="60"/>
        <w:ind w:hanging="0" w:left="0"/>
        <w:jc w:val="both"/>
        <w:outlineLvl w:val="3"/>
        <w:rPr/>
      </w:pPr>
      <w:r>
        <w:rPr>
          <w:rFonts w:eastAsia="Times New Roman" w:cs="Times New Roman" w:ascii="Times New Roman;serif" w:hAnsi="Times New Roman;serif"/>
          <w:iCs/>
          <w:sz w:val="24"/>
          <w:szCs w:val="24"/>
        </w:rPr>
        <w:t>Дополнительные документы по ценообразованию (сметная документация) в состав заявки Участника не включаются.</w:t>
      </w:r>
    </w:p>
    <w:p>
      <w:pPr>
        <w:pStyle w:val="Heading1"/>
        <w:numPr>
          <w:ilvl w:val="0"/>
          <w:numId w:val="6"/>
        </w:numPr>
        <w:spacing w:lineRule="auto" w:line="240"/>
        <w:rPr/>
      </w:pPr>
      <w:bookmarkStart w:id="10" w:name="_Toc154561874"/>
      <w:bookmarkStart w:id="11" w:name="_Toc54646412"/>
      <w:r>
        <w:rPr>
          <w:sz w:val="26"/>
          <w:szCs w:val="26"/>
        </w:rPr>
        <w:t xml:space="preserve">Требования к документации по ценообразованию на этапе заключения </w:t>
      </w:r>
      <w:bookmarkEnd w:id="10"/>
      <w:bookmarkEnd w:id="11"/>
      <w:r>
        <w:rPr>
          <w:sz w:val="26"/>
          <w:szCs w:val="26"/>
        </w:rPr>
        <w:t>договора</w:t>
      </w:r>
    </w:p>
    <w:p>
      <w:pPr>
        <w:pStyle w:val="ListParagraph"/>
        <w:widowControl/>
        <w:numPr>
          <w:ilvl w:val="1"/>
          <w:numId w:val="6"/>
        </w:numPr>
        <w:bidi w:val="0"/>
        <w:spacing w:lineRule="auto" w:line="240" w:before="0" w:after="60"/>
        <w:ind w:hanging="0" w:left="0" w:right="0"/>
        <w:contextualSpacing/>
        <w:jc w:val="both"/>
        <w:outlineLvl w:val="0"/>
        <w:rPr/>
      </w:pPr>
      <w:r>
        <w:rPr>
          <w:rFonts w:eastAsia="Times New Roman" w:cs="Times New Roman" w:ascii="Times New Roman;serif" w:hAnsi="Times New Roman;serif"/>
          <w:bCs/>
          <w:iCs/>
          <w:color w:val="00000A"/>
          <w:sz w:val="24"/>
          <w:szCs w:val="24"/>
          <w:lang w:eastAsia="x-none"/>
        </w:rPr>
        <w:t>Сметная документация разработана Заказчиком в рамках определения начальной (максимальной) цены договора и включается в состав договора с применением понижающего коэффициента, указанного в заявке Участника, с которым принято решение заключить договор. Понижающий коэффициент начисляется в локальных сметах единым индексом в итогах (после начисления лимитированных затрат в случае составления одной сметы).</w:t>
      </w:r>
    </w:p>
    <w:p>
      <w:pPr>
        <w:pStyle w:val="ListParagraph"/>
        <w:widowControl/>
        <w:numPr>
          <w:ilvl w:val="1"/>
          <w:numId w:val="6"/>
        </w:numPr>
        <w:bidi w:val="0"/>
        <w:spacing w:lineRule="auto" w:line="240" w:before="0" w:after="60"/>
        <w:ind w:firstLine="57" w:left="0" w:right="0"/>
        <w:contextualSpacing/>
        <w:jc w:val="both"/>
        <w:outlineLvl w:val="0"/>
        <w:rPr/>
      </w:pPr>
      <w:r>
        <w:rPr>
          <w:rFonts w:eastAsia="Times New Roman" w:cs="Times New Roman" w:ascii="Times New Roman;serif" w:hAnsi="Times New Roman;serif"/>
          <w:bCs/>
          <w:iCs/>
          <w:color w:val="000000"/>
          <w:sz w:val="24"/>
          <w:szCs w:val="24"/>
          <w:lang w:eastAsia="x-none"/>
        </w:rPr>
        <w:t>Внесение изменений в сметную документацию Заказчика, кроме применения понижающего коэффициента в соответствии с п.4.1, не допускается.</w:t>
      </w:r>
    </w:p>
    <w:p>
      <w:pPr>
        <w:pStyle w:val="Normal"/>
        <w:spacing w:lineRule="auto" w:line="240" w:before="60" w:after="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60" w:after="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Heading1"/>
        <w:numPr>
          <w:ilvl w:val="0"/>
          <w:numId w:val="6"/>
        </w:numPr>
        <w:spacing w:lineRule="auto" w:line="240"/>
        <w:jc w:val="center"/>
        <w:rPr/>
      </w:pPr>
      <w:bookmarkStart w:id="12" w:name="_Toc154561875"/>
      <w:bookmarkEnd w:id="12"/>
      <w:r>
        <w:rPr>
          <w:sz w:val="26"/>
          <w:szCs w:val="26"/>
        </w:rPr>
        <w:t>Приложения:</w:t>
      </w:r>
    </w:p>
    <w:p>
      <w:pPr>
        <w:pStyle w:val="ListParagraph"/>
        <w:widowControl w:val="false"/>
        <w:tabs>
          <w:tab w:val="clear" w:pos="708"/>
          <w:tab w:val="left" w:pos="284" w:leader="none"/>
        </w:tabs>
        <w:suppressAutoHyphens w:val="true"/>
        <w:spacing w:lineRule="auto" w:line="240" w:before="0" w:after="0"/>
        <w:ind w:hanging="0" w:left="142"/>
        <w:contextualSpacing/>
        <w:jc w:val="both"/>
        <w:rPr/>
      </w:pPr>
      <w:r>
        <w:rPr>
          <w:rFonts w:cs="Times New Roman" w:ascii="Times New Roman" w:hAnsi="Times New Roman"/>
          <w:i/>
          <w:sz w:val="24"/>
          <w:szCs w:val="24"/>
        </w:rPr>
        <w:t>Приложение № 1: Ведомость дефектов и объемов работ</w:t>
      </w:r>
    </w:p>
    <w:p>
      <w:pPr>
        <w:pStyle w:val="ListParagraph"/>
        <w:widowControl w:val="false"/>
        <w:tabs>
          <w:tab w:val="clear" w:pos="708"/>
          <w:tab w:val="left" w:pos="284" w:leader="none"/>
        </w:tabs>
        <w:suppressAutoHyphens w:val="true"/>
        <w:spacing w:lineRule="auto" w:line="240" w:before="0" w:after="0"/>
        <w:ind w:hanging="0" w:left="1222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ListParagraph"/>
        <w:widowControl w:val="false"/>
        <w:tabs>
          <w:tab w:val="clear" w:pos="708"/>
          <w:tab w:val="left" w:pos="284" w:leader="none"/>
        </w:tabs>
        <w:suppressAutoHyphens w:val="true"/>
        <w:spacing w:lineRule="auto" w:line="240" w:before="0" w:after="0"/>
        <w:ind w:hanging="0" w:left="1222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ListParagraph"/>
        <w:widowControl w:val="false"/>
        <w:tabs>
          <w:tab w:val="clear" w:pos="708"/>
          <w:tab w:val="left" w:pos="284" w:leader="none"/>
        </w:tabs>
        <w:suppressAutoHyphens w:val="true"/>
        <w:spacing w:lineRule="auto" w:line="240" w:before="0" w:after="0"/>
        <w:ind w:hanging="0" w:left="1222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ListParagraph"/>
        <w:widowControl w:val="false"/>
        <w:tabs>
          <w:tab w:val="clear" w:pos="708"/>
          <w:tab w:val="left" w:pos="284" w:leader="none"/>
        </w:tabs>
        <w:suppressAutoHyphens w:val="true"/>
        <w:spacing w:lineRule="auto" w:line="240" w:before="0" w:after="0"/>
        <w:ind w:hanging="0" w:left="1222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ListParagraph"/>
        <w:widowControl w:val="false"/>
        <w:tabs>
          <w:tab w:val="clear" w:pos="708"/>
          <w:tab w:val="left" w:pos="284" w:leader="none"/>
        </w:tabs>
        <w:suppressAutoHyphens w:val="true"/>
        <w:spacing w:lineRule="auto" w:line="240" w:before="0" w:after="0"/>
        <w:ind w:hanging="0" w:left="1222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ListParagraph"/>
        <w:widowControl w:val="false"/>
        <w:tabs>
          <w:tab w:val="clear" w:pos="708"/>
          <w:tab w:val="left" w:pos="284" w:leader="none"/>
        </w:tabs>
        <w:suppressAutoHyphens w:val="true"/>
        <w:spacing w:lineRule="auto" w:line="240" w:before="0" w:after="0"/>
        <w:ind w:hanging="0" w:left="1222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ListParagraph"/>
        <w:widowControl w:val="false"/>
        <w:tabs>
          <w:tab w:val="clear" w:pos="708"/>
          <w:tab w:val="left" w:pos="284" w:leader="none"/>
        </w:tabs>
        <w:suppressAutoHyphens w:val="true"/>
        <w:spacing w:lineRule="auto" w:line="240" w:before="0" w:after="0"/>
        <w:ind w:hanging="0" w:left="1222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ListParagraph"/>
        <w:widowControl w:val="false"/>
        <w:tabs>
          <w:tab w:val="clear" w:pos="708"/>
          <w:tab w:val="left" w:pos="284" w:leader="none"/>
        </w:tabs>
        <w:suppressAutoHyphens w:val="true"/>
        <w:spacing w:lineRule="auto" w:line="240" w:before="0" w:after="0"/>
        <w:ind w:hanging="0" w:left="1222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ListParagraph"/>
        <w:widowControl w:val="false"/>
        <w:tabs>
          <w:tab w:val="clear" w:pos="708"/>
          <w:tab w:val="left" w:pos="284" w:leader="none"/>
        </w:tabs>
        <w:suppressAutoHyphens w:val="true"/>
        <w:spacing w:lineRule="auto" w:line="240" w:before="0" w:after="0"/>
        <w:ind w:hanging="0" w:left="1222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ListParagraph"/>
        <w:widowControl w:val="false"/>
        <w:tabs>
          <w:tab w:val="clear" w:pos="708"/>
          <w:tab w:val="left" w:pos="284" w:leader="none"/>
        </w:tabs>
        <w:suppressAutoHyphens w:val="true"/>
        <w:spacing w:lineRule="auto" w:line="240" w:before="0" w:after="0"/>
        <w:ind w:hanging="0" w:left="1222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ListParagraph"/>
        <w:widowControl w:val="false"/>
        <w:tabs>
          <w:tab w:val="clear" w:pos="708"/>
          <w:tab w:val="left" w:pos="284" w:leader="none"/>
        </w:tabs>
        <w:suppressAutoHyphens w:val="true"/>
        <w:spacing w:lineRule="auto" w:line="240" w:before="0" w:after="0"/>
        <w:ind w:hanging="0" w:left="1222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ListParagraph"/>
        <w:widowControl w:val="false"/>
        <w:tabs>
          <w:tab w:val="clear" w:pos="708"/>
          <w:tab w:val="left" w:pos="284" w:leader="none"/>
        </w:tabs>
        <w:suppressAutoHyphens w:val="true"/>
        <w:spacing w:lineRule="auto" w:line="240" w:before="0" w:after="0"/>
        <w:ind w:hanging="0" w:left="1222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ListParagraph"/>
        <w:widowControl w:val="false"/>
        <w:tabs>
          <w:tab w:val="clear" w:pos="708"/>
          <w:tab w:val="left" w:pos="284" w:leader="none"/>
        </w:tabs>
        <w:suppressAutoHyphens w:val="true"/>
        <w:spacing w:lineRule="auto" w:line="240" w:before="0" w:after="0"/>
        <w:ind w:hanging="0" w:left="1222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ListParagraph"/>
        <w:widowControl w:val="false"/>
        <w:tabs>
          <w:tab w:val="clear" w:pos="708"/>
          <w:tab w:val="left" w:pos="284" w:leader="none"/>
        </w:tabs>
        <w:suppressAutoHyphens w:val="true"/>
        <w:spacing w:lineRule="auto" w:line="240" w:before="0" w:after="0"/>
        <w:ind w:hanging="0" w:left="1222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ListParagraph"/>
        <w:widowControl w:val="false"/>
        <w:tabs>
          <w:tab w:val="clear" w:pos="708"/>
          <w:tab w:val="left" w:pos="284" w:leader="none"/>
        </w:tabs>
        <w:suppressAutoHyphens w:val="true"/>
        <w:spacing w:lineRule="auto" w:line="240" w:before="0" w:after="0"/>
        <w:ind w:hanging="0" w:left="1222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ListParagraph"/>
        <w:widowControl w:val="false"/>
        <w:tabs>
          <w:tab w:val="clear" w:pos="708"/>
          <w:tab w:val="left" w:pos="284" w:leader="none"/>
        </w:tabs>
        <w:suppressAutoHyphens w:val="true"/>
        <w:spacing w:lineRule="auto" w:line="240" w:before="0" w:after="0"/>
        <w:ind w:hanging="0" w:left="1222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ListParagraph"/>
        <w:widowControl w:val="false"/>
        <w:tabs>
          <w:tab w:val="clear" w:pos="708"/>
          <w:tab w:val="left" w:pos="284" w:leader="none"/>
        </w:tabs>
        <w:suppressAutoHyphens w:val="true"/>
        <w:spacing w:lineRule="auto" w:line="240" w:before="0" w:after="0"/>
        <w:ind w:hanging="0" w:left="1222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ListParagraph"/>
        <w:widowControl w:val="false"/>
        <w:tabs>
          <w:tab w:val="clear" w:pos="708"/>
          <w:tab w:val="left" w:pos="284" w:leader="none"/>
        </w:tabs>
        <w:suppressAutoHyphens w:val="true"/>
        <w:spacing w:lineRule="auto" w:line="240" w:before="0" w:after="0"/>
        <w:ind w:hanging="0" w:left="1222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ListParagraph"/>
        <w:widowControl w:val="false"/>
        <w:tabs>
          <w:tab w:val="clear" w:pos="708"/>
          <w:tab w:val="left" w:pos="284" w:leader="none"/>
        </w:tabs>
        <w:suppressAutoHyphens w:val="true"/>
        <w:spacing w:lineRule="auto" w:line="240" w:before="0" w:after="0"/>
        <w:ind w:hanging="0" w:left="1222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ListParagraph"/>
        <w:widowControl w:val="false"/>
        <w:tabs>
          <w:tab w:val="clear" w:pos="708"/>
          <w:tab w:val="left" w:pos="284" w:leader="none"/>
        </w:tabs>
        <w:suppressAutoHyphens w:val="true"/>
        <w:spacing w:lineRule="auto" w:line="240" w:before="0" w:after="0"/>
        <w:ind w:hanging="0" w:left="1222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ListParagraph"/>
        <w:widowControl w:val="false"/>
        <w:tabs>
          <w:tab w:val="clear" w:pos="708"/>
          <w:tab w:val="left" w:pos="284" w:leader="none"/>
        </w:tabs>
        <w:suppressAutoHyphens w:val="true"/>
        <w:spacing w:lineRule="auto" w:line="240" w:before="0" w:after="0"/>
        <w:ind w:hanging="0" w:left="1222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ListParagraph"/>
        <w:widowControl w:val="false"/>
        <w:tabs>
          <w:tab w:val="clear" w:pos="708"/>
          <w:tab w:val="left" w:pos="284" w:leader="none"/>
        </w:tabs>
        <w:suppressAutoHyphens w:val="true"/>
        <w:spacing w:lineRule="auto" w:line="240" w:before="0" w:after="0"/>
        <w:ind w:hanging="0" w:left="1222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ListParagraph"/>
        <w:widowControl w:val="false"/>
        <w:tabs>
          <w:tab w:val="clear" w:pos="708"/>
          <w:tab w:val="left" w:pos="284" w:leader="none"/>
        </w:tabs>
        <w:suppressAutoHyphens w:val="true"/>
        <w:spacing w:lineRule="auto" w:line="240" w:before="0" w:after="0"/>
        <w:ind w:hanging="0" w:left="1222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ListParagraph"/>
        <w:widowControl w:val="false"/>
        <w:tabs>
          <w:tab w:val="clear" w:pos="708"/>
          <w:tab w:val="left" w:pos="284" w:leader="none"/>
        </w:tabs>
        <w:suppressAutoHyphens w:val="true"/>
        <w:spacing w:lineRule="auto" w:line="240" w:before="0" w:after="0"/>
        <w:ind w:hanging="0" w:left="1222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ListParagraph"/>
        <w:widowControl w:val="false"/>
        <w:tabs>
          <w:tab w:val="clear" w:pos="708"/>
          <w:tab w:val="left" w:pos="284" w:leader="none"/>
        </w:tabs>
        <w:suppressAutoHyphens w:val="true"/>
        <w:spacing w:lineRule="auto" w:line="240" w:before="0" w:after="0"/>
        <w:ind w:hanging="0" w:left="1222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ListParagraph"/>
        <w:widowControl w:val="false"/>
        <w:tabs>
          <w:tab w:val="clear" w:pos="708"/>
          <w:tab w:val="left" w:pos="284" w:leader="none"/>
        </w:tabs>
        <w:suppressAutoHyphens w:val="true"/>
        <w:spacing w:lineRule="auto" w:line="240" w:before="0" w:after="0"/>
        <w:ind w:hanging="0" w:left="1222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widowControl w:val="false"/>
        <w:spacing w:lineRule="auto" w:line="240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Приложение № 1 к техническому заданию</w:t>
      </w:r>
    </w:p>
    <w:p>
      <w:pPr>
        <w:pStyle w:val="Normal"/>
        <w:widowControl w:val="false"/>
        <w:spacing w:lineRule="auto" w:line="240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по закупке №______лот___</w:t>
      </w:r>
    </w:p>
    <w:p>
      <w:pPr>
        <w:pStyle w:val="Normal"/>
        <w:widowControl w:val="false"/>
        <w:spacing w:lineRule="auto" w:line="240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widowControl w:val="false"/>
        <w:spacing w:lineRule="auto" w:line="240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Приложение № 1-6/9</w:t>
      </w:r>
    </w:p>
    <w:p>
      <w:pPr>
        <w:pStyle w:val="Normal"/>
        <w:widowControl w:val="false"/>
        <w:spacing w:lineRule="auto" w:line="240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К Приказу «Об учетной политике</w:t>
      </w:r>
    </w:p>
    <w:p>
      <w:pPr>
        <w:pStyle w:val="Normal"/>
        <w:widowControl w:val="false"/>
        <w:spacing w:lineRule="auto" w:line="240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АО «ДРСК»</w:t>
      </w:r>
    </w:p>
    <w:p>
      <w:pPr>
        <w:pStyle w:val="Normal"/>
        <w:widowControl w:val="false"/>
        <w:spacing w:lineRule="auto" w:line="240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widowControl w:val="false"/>
        <w:spacing w:lineRule="auto" w:line="2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Организация </w:t>
        <w:tab/>
        <w:t xml:space="preserve">             АО ДРСК</w:t>
      </w:r>
    </w:p>
    <w:p>
      <w:pPr>
        <w:pStyle w:val="Normal"/>
        <w:widowControl w:val="false"/>
        <w:spacing w:lineRule="auto" w:line="2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Филиал </w:t>
        <w:tab/>
        <w:tab/>
        <w:t>ХЭС</w:t>
      </w:r>
    </w:p>
    <w:p>
      <w:pPr>
        <w:pStyle w:val="Normal"/>
        <w:widowControl w:val="false"/>
        <w:spacing w:lineRule="auto" w:line="2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СП  ЦЭС </w:t>
        <w:tab/>
        <w:tab/>
        <w:t>Служба Линий</w:t>
      </w:r>
    </w:p>
    <w:p>
      <w:pPr>
        <w:pStyle w:val="Normal"/>
        <w:widowControl w:val="false"/>
        <w:spacing w:lineRule="auto" w:line="2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Объект </w:t>
        <w:tab/>
        <w:tab/>
        <w:t xml:space="preserve">ВЛ-35 кВ ХЭС-М, Инв №НВ009965, (снята с бухгалтерского учета 30.09.2010г) </w:t>
      </w:r>
    </w:p>
    <w:p>
      <w:pPr>
        <w:pStyle w:val="Normal"/>
        <w:widowControl w:val="false"/>
        <w:spacing w:lineRule="auto" w:line="2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widowControl w:val="false"/>
        <w:spacing w:lineRule="auto" w:line="240"/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ВЕДОМОСТЬ ДЕФЕКТОВ И ОБЪЕМОВ РАБОТ</w:t>
      </w:r>
    </w:p>
    <w:p>
      <w:pPr>
        <w:pStyle w:val="Normal"/>
        <w:widowControl w:val="false"/>
        <w:spacing w:lineRule="auto" w:line="2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Комиссия провела обследование  ВЛ-35кВ Т-11 ХЭС-М,  вследствие чего приняла решение о необходимости  проведения следующего объема  работ по ремонту подрядным способом:</w:t>
      </w:r>
    </w:p>
    <w:tbl>
      <w:tblPr>
        <w:tblW w:w="9758" w:type="dxa"/>
        <w:jc w:val="left"/>
        <w:tblInd w:w="-7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603"/>
        <w:gridCol w:w="3527"/>
        <w:gridCol w:w="17"/>
        <w:gridCol w:w="896"/>
        <w:gridCol w:w="55"/>
        <w:gridCol w:w="1077"/>
        <w:gridCol w:w="3583"/>
      </w:tblGrid>
      <w:tr>
        <w:trPr/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№ </w:t>
            </w:r>
            <w:r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3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  <w:lang w:eastAsia="en-US"/>
              </w:rPr>
              <w:t>Обнаруженные дефекты</w:t>
            </w:r>
          </w:p>
        </w:tc>
        <w:tc>
          <w:tcPr>
            <w:tcW w:w="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  <w:lang w:eastAsia="en-US"/>
              </w:rPr>
              <w:t>Ед. изм.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  <w:lang w:eastAsia="en-US"/>
              </w:rPr>
              <w:t>Кол-во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  <w:lang w:eastAsia="en-US"/>
              </w:rPr>
              <w:t>Наименование работ</w:t>
            </w:r>
          </w:p>
        </w:tc>
      </w:tr>
      <w:tr>
        <w:trPr>
          <w:trHeight w:val="496" w:hRule="atLeast"/>
        </w:trPr>
        <w:tc>
          <w:tcPr>
            <w:tcW w:w="6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uppressAutoHyphens w:val="true"/>
              <w:bidi w:val="0"/>
              <w:spacing w:lineRule="auto" w:line="240" w:before="0" w:after="160"/>
              <w:ind w:hanging="0" w:left="57" w:right="0"/>
              <w:contextualSpacing/>
              <w:jc w:val="left"/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 w:eastAsia="en-US"/>
              </w:rPr>
            </w:r>
          </w:p>
        </w:tc>
        <w:tc>
          <w:tcPr>
            <w:tcW w:w="3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Демонтаж провода марки АС-95</w:t>
            </w:r>
            <w:r>
              <w:rPr>
                <w:rFonts w:eastAsia="Calibri" w:ascii="Times New Roman" w:hAnsi="Times New Roman" w:eastAsiaTheme="minorHAns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в пролётах опор № 1-10 и</w:t>
            </w:r>
          </w:p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грозотроса марки С-35 в пролётах опор № 6-10, 12-13.</w:t>
            </w:r>
          </w:p>
        </w:tc>
        <w:tc>
          <w:tcPr>
            <w:tcW w:w="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Км линии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0,187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Демонтаж провода марки АС-95</w:t>
            </w:r>
            <w:r>
              <w:rPr>
                <w:rFonts w:eastAsia="Calibri" w:ascii="Times New Roman" w:hAnsi="Times New Roman" w:eastAsiaTheme="minorHAns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в пролётах опор № 9 -10.</w:t>
            </w:r>
          </w:p>
        </w:tc>
      </w:tr>
      <w:tr>
        <w:trPr>
          <w:trHeight w:val="496" w:hRule="atLeast"/>
        </w:trPr>
        <w:tc>
          <w:tcPr>
            <w:tcW w:w="60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1"/>
              </w:numPr>
              <w:suppressAutoHyphens w:val="true"/>
              <w:bidi w:val="0"/>
              <w:spacing w:lineRule="auto" w:line="240" w:before="0" w:after="160"/>
              <w:ind w:hanging="0" w:left="57" w:right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</w:p>
        </w:tc>
        <w:tc>
          <w:tcPr>
            <w:tcW w:w="3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</w:p>
        </w:tc>
        <w:tc>
          <w:tcPr>
            <w:tcW w:w="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Км линии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0,116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Демонтаж грозотроса марки С-35 в пролётах опор №  12-13.</w:t>
            </w:r>
          </w:p>
        </w:tc>
      </w:tr>
      <w:tr>
        <w:trPr>
          <w:trHeight w:val="437" w:hRule="atLeast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uppressAutoHyphens w:val="true"/>
              <w:bidi w:val="0"/>
              <w:spacing w:lineRule="auto" w:line="240" w:before="0" w:after="160"/>
              <w:ind w:hanging="0" w:left="57" w:right="0"/>
              <w:contextualSpacing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</w:p>
        </w:tc>
        <w:tc>
          <w:tcPr>
            <w:tcW w:w="3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Транспортировка демонтированных проводов, тросов, комплектов изоляторов и сцепной арматуры на базу СП ЦЭС.</w:t>
            </w:r>
          </w:p>
        </w:tc>
        <w:tc>
          <w:tcPr>
            <w:tcW w:w="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т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0,39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Погрузочно-разгрузочные работы</w:t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Провод марки АС-95</w:t>
            </w:r>
          </w:p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Грозотрос марки С-35</w:t>
            </w:r>
          </w:p>
        </w:tc>
      </w:tr>
      <w:tr>
        <w:trPr>
          <w:trHeight w:val="437" w:hRule="atLeast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uppressAutoHyphens w:val="true"/>
              <w:bidi w:val="0"/>
              <w:spacing w:lineRule="auto" w:line="240" w:before="0" w:after="160"/>
              <w:ind w:hanging="0" w:left="57" w:right="0"/>
              <w:contextualSpacing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</w:p>
        </w:tc>
        <w:tc>
          <w:tcPr>
            <w:tcW w:w="3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</w:p>
        </w:tc>
        <w:tc>
          <w:tcPr>
            <w:tcW w:w="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т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0,39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Перевозка на расстояние 11 км (на базу ЦЭС) демонтированного материала (Провод, грозотрос, изоляторы)</w:t>
            </w:r>
          </w:p>
        </w:tc>
      </w:tr>
      <w:tr>
        <w:trPr>
          <w:trHeight w:val="944" w:hRule="atLeast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uppressAutoHyphens w:val="true"/>
              <w:bidi w:val="0"/>
              <w:spacing w:lineRule="auto" w:line="240" w:before="0" w:after="160"/>
              <w:ind w:hanging="0" w:left="57" w:right="0"/>
              <w:contextualSpacing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</w:p>
        </w:tc>
        <w:tc>
          <w:tcPr>
            <w:tcW w:w="3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Демонтаж опор.</w:t>
            </w:r>
          </w:p>
        </w:tc>
        <w:tc>
          <w:tcPr>
            <w:tcW w:w="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опора/</w:t>
            </w:r>
          </w:p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т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3/</w:t>
            </w:r>
          </w:p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5,434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 xml:space="preserve">Демонтаж тросостоек и 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анкерной металлической опоры  марки У35-1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 xml:space="preserve"> с помощью газового резака и использованием вышки с краном</w:t>
            </w:r>
          </w:p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 xml:space="preserve">Опоры 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№15,16,17</w:t>
            </w:r>
          </w:p>
        </w:tc>
      </w:tr>
      <w:tr>
        <w:trPr>
          <w:trHeight w:val="944" w:hRule="atLeast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uppressAutoHyphens w:val="true"/>
              <w:bidi w:val="0"/>
              <w:spacing w:lineRule="auto" w:line="240" w:before="0" w:after="160"/>
              <w:ind w:hanging="0" w:left="57" w:right="0"/>
              <w:contextualSpacing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</w:p>
        </w:tc>
        <w:tc>
          <w:tcPr>
            <w:tcW w:w="3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Транспортировка демонтированных опор</w:t>
            </w:r>
          </w:p>
        </w:tc>
        <w:tc>
          <w:tcPr>
            <w:tcW w:w="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км/</w:t>
            </w:r>
          </w:p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тн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11/</w:t>
            </w:r>
          </w:p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5,434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Погрузка и перевозка на 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расстояние 11 км (на базу ЦЭС) демонтированных опор</w:t>
            </w:r>
          </w:p>
        </w:tc>
      </w:tr>
      <w:tr>
        <w:trPr>
          <w:trHeight w:val="944" w:hRule="atLeast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uppressAutoHyphens w:val="true"/>
              <w:bidi w:val="0"/>
              <w:spacing w:lineRule="auto" w:line="240" w:before="0" w:after="160"/>
              <w:ind w:hanging="0" w:left="57" w:right="0"/>
              <w:contextualSpacing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</w:p>
        </w:tc>
        <w:tc>
          <w:tcPr>
            <w:tcW w:w="3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Демонтаж</w:t>
            </w:r>
          </w:p>
        </w:tc>
        <w:tc>
          <w:tcPr>
            <w:tcW w:w="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опора/</w:t>
            </w:r>
          </w:p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т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6/</w:t>
            </w:r>
          </w:p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1,499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 xml:space="preserve">Демонтаж тросостоек и 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промежуточной металлической опоры марки П-35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, с помощью газового резака и использованием вышки с краном</w:t>
            </w:r>
          </w:p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 xml:space="preserve">Опорf 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№14.</w:t>
            </w:r>
          </w:p>
        </w:tc>
      </w:tr>
      <w:tr>
        <w:trPr>
          <w:trHeight w:val="944" w:hRule="atLeast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uppressAutoHyphens w:val="true"/>
              <w:bidi w:val="0"/>
              <w:spacing w:lineRule="auto" w:line="240" w:before="0" w:after="160"/>
              <w:ind w:hanging="0" w:left="57" w:right="0"/>
              <w:contextualSpacing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</w:p>
        </w:tc>
        <w:tc>
          <w:tcPr>
            <w:tcW w:w="3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Транспортировка демонтированных опор</w:t>
            </w:r>
          </w:p>
        </w:tc>
        <w:tc>
          <w:tcPr>
            <w:tcW w:w="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км/</w:t>
            </w:r>
          </w:p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тн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11/</w:t>
            </w:r>
          </w:p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1,499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Погрузка и перевозка на 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расстояние 11 км (на базу ЦЭС) демонтированных опор</w:t>
            </w:r>
          </w:p>
        </w:tc>
      </w:tr>
      <w:tr>
        <w:trPr>
          <w:trHeight w:val="944" w:hRule="atLeast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uppressAutoHyphens w:val="true"/>
              <w:bidi w:val="0"/>
              <w:spacing w:lineRule="auto" w:line="240" w:before="0" w:after="160"/>
              <w:ind w:hanging="0" w:left="57" w:right="0"/>
              <w:contextualSpacing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</w:p>
        </w:tc>
        <w:tc>
          <w:tcPr>
            <w:tcW w:w="3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Демонтаж фундаментов демонтированных анкерных металлических опор № 15,16,17.</w:t>
            </w:r>
          </w:p>
        </w:tc>
        <w:tc>
          <w:tcPr>
            <w:tcW w:w="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котлован/</w:t>
            </w:r>
          </w:p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м</w:t>
            </w:r>
            <w:r>
              <w:rPr>
                <w:rFonts w:cs="Andalus" w:ascii="Times New Roman" w:hAnsi="Times New Roman"/>
                <w:sz w:val="22"/>
                <w:szCs w:val="22"/>
                <w:lang w:eastAsia="en-US"/>
              </w:rPr>
              <w:t>³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3/</w:t>
            </w:r>
          </w:p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132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Откопка фундаментов марки Ф1-А с помощью экскаватора.</w:t>
            </w:r>
          </w:p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Объем одного котлована для фундаментов марки Ф1-А -44 м</w:t>
            </w:r>
            <w:r>
              <w:rPr>
                <w:rFonts w:cs="Andalus" w:ascii="Times New Roman" w:hAnsi="Times New Roman"/>
                <w:sz w:val="22"/>
                <w:szCs w:val="22"/>
                <w:lang w:eastAsia="en-US"/>
              </w:rPr>
              <w:t>³ (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анкерные металлические опоры №1,2,3,4,6,7,10,12,15,16,17)</w:t>
            </w:r>
          </w:p>
        </w:tc>
      </w:tr>
      <w:tr>
        <w:trPr>
          <w:trHeight w:val="621" w:hRule="atLeast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uppressAutoHyphens w:val="true"/>
              <w:bidi w:val="0"/>
              <w:spacing w:lineRule="auto" w:line="240" w:before="0" w:after="160"/>
              <w:ind w:hanging="0" w:left="57" w:right="0"/>
              <w:contextualSpacing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</w:p>
        </w:tc>
        <w:tc>
          <w:tcPr>
            <w:tcW w:w="3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</w:p>
        </w:tc>
        <w:tc>
          <w:tcPr>
            <w:tcW w:w="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т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224,4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Вывоз разработанного грунта на расстояние 10 км</w:t>
            </w:r>
          </w:p>
        </w:tc>
      </w:tr>
      <w:tr>
        <w:trPr>
          <w:trHeight w:val="286" w:hRule="atLeast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uppressAutoHyphens w:val="true"/>
              <w:bidi w:val="0"/>
              <w:spacing w:lineRule="auto" w:line="240" w:before="0" w:after="160"/>
              <w:ind w:hanging="0" w:left="57" w:right="0"/>
              <w:contextualSpacing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</w:p>
        </w:tc>
        <w:tc>
          <w:tcPr>
            <w:tcW w:w="3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</w:p>
        </w:tc>
        <w:tc>
          <w:tcPr>
            <w:tcW w:w="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фундамент/м3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12/12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Измельчение ж/б фундаментов при помощи электрического (или пневматического) отбойного молотка</w:t>
            </w:r>
          </w:p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- Фундаменты марки Ф1-А</w:t>
            </w:r>
          </w:p>
        </w:tc>
      </w:tr>
      <w:tr>
        <w:trPr>
          <w:trHeight w:val="944" w:hRule="atLeast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uppressAutoHyphens w:val="true"/>
              <w:bidi w:val="0"/>
              <w:spacing w:lineRule="auto" w:line="240" w:before="0" w:after="160"/>
              <w:ind w:hanging="0" w:left="57" w:right="0"/>
              <w:contextualSpacing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</w:p>
        </w:tc>
        <w:tc>
          <w:tcPr>
            <w:tcW w:w="3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</w:p>
        </w:tc>
        <w:tc>
          <w:tcPr>
            <w:tcW w:w="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км/</w:t>
            </w:r>
          </w:p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тн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80/</w:t>
            </w:r>
          </w:p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Погрузка и перевозка на расстояние 80 км для утилизации измельчённого бетона.</w:t>
            </w:r>
          </w:p>
        </w:tc>
      </w:tr>
      <w:tr>
        <w:trPr>
          <w:trHeight w:val="944" w:hRule="atLeast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uppressAutoHyphens w:val="true"/>
              <w:bidi w:val="0"/>
              <w:spacing w:lineRule="auto" w:line="240" w:before="0" w:after="160"/>
              <w:ind w:hanging="0" w:left="57" w:right="0"/>
              <w:contextualSpacing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</w:p>
        </w:tc>
        <w:tc>
          <w:tcPr>
            <w:tcW w:w="3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</w:p>
        </w:tc>
        <w:tc>
          <w:tcPr>
            <w:tcW w:w="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шт/т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24/384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Срезание стальных шпилек с фундамента с помощью газового резака.</w:t>
            </w:r>
          </w:p>
        </w:tc>
      </w:tr>
      <w:tr>
        <w:trPr>
          <w:trHeight w:val="944" w:hRule="atLeast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uppressAutoHyphens w:val="true"/>
              <w:bidi w:val="0"/>
              <w:spacing w:lineRule="auto" w:line="240" w:before="0" w:after="160"/>
              <w:ind w:hanging="0" w:left="57" w:right="0"/>
              <w:contextualSpacing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</w:p>
        </w:tc>
        <w:tc>
          <w:tcPr>
            <w:tcW w:w="3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Демонтаж фундаментов демонтированных промежуточных металлических опор № 14.</w:t>
            </w:r>
          </w:p>
        </w:tc>
        <w:tc>
          <w:tcPr>
            <w:tcW w:w="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котлован/</w:t>
            </w:r>
          </w:p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м</w:t>
            </w:r>
            <w:r>
              <w:rPr>
                <w:rFonts w:cs="Andalus" w:ascii="Times New Roman" w:hAnsi="Times New Roman"/>
                <w:sz w:val="22"/>
                <w:szCs w:val="22"/>
                <w:lang w:eastAsia="en-US"/>
              </w:rPr>
              <w:t>³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1/</w:t>
            </w:r>
          </w:p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Откопка монолитных фундаментов с помощью экскаватора</w:t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Объем котлована вокруг одного фундамента -3 м</w:t>
            </w:r>
            <w:r>
              <w:rPr>
                <w:rFonts w:cs="Andalus" w:ascii="Times New Roman" w:hAnsi="Times New Roman"/>
                <w:sz w:val="22"/>
                <w:szCs w:val="22"/>
                <w:lang w:eastAsia="en-US"/>
              </w:rPr>
              <w:t>³</w:t>
            </w:r>
          </w:p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/>
              </w:rPr>
            </w:pPr>
            <w:r>
              <w:rPr>
                <w:rFonts w:cs="Andalus" w:ascii="Times New Roman" w:hAnsi="Times New Roman"/>
                <w:sz w:val="22"/>
                <w:szCs w:val="22"/>
                <w:lang w:eastAsia="en-US"/>
              </w:rPr>
              <w:t>(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промежуточные металлические опоры № 14)</w:t>
            </w:r>
          </w:p>
        </w:tc>
      </w:tr>
      <w:tr>
        <w:trPr>
          <w:trHeight w:val="600" w:hRule="atLeast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uppressAutoHyphens w:val="true"/>
              <w:bidi w:val="0"/>
              <w:spacing w:lineRule="auto" w:line="240" w:before="0" w:after="160"/>
              <w:ind w:hanging="0" w:left="57" w:right="0"/>
              <w:contextualSpacing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</w:p>
        </w:tc>
        <w:tc>
          <w:tcPr>
            <w:tcW w:w="3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</w:p>
        </w:tc>
        <w:tc>
          <w:tcPr>
            <w:tcW w:w="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т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30,6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Вывоз разработанного грунта на расстояние 10 км</w:t>
            </w:r>
          </w:p>
        </w:tc>
      </w:tr>
      <w:tr>
        <w:trPr>
          <w:trHeight w:val="944" w:hRule="atLeast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uppressAutoHyphens w:val="true"/>
              <w:bidi w:val="0"/>
              <w:spacing w:lineRule="auto" w:line="240" w:before="0" w:after="160"/>
              <w:ind w:hanging="0" w:left="57" w:right="0"/>
              <w:contextualSpacing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</w:p>
        </w:tc>
        <w:tc>
          <w:tcPr>
            <w:tcW w:w="3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</w:p>
        </w:tc>
        <w:tc>
          <w:tcPr>
            <w:tcW w:w="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фундамент/м3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1/6,75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Измельчение ж/б фундаментов при помощи электрического (или пневматического) отбойного молотка.</w:t>
            </w:r>
          </w:p>
        </w:tc>
      </w:tr>
      <w:tr>
        <w:trPr>
          <w:trHeight w:val="944" w:hRule="atLeast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uppressAutoHyphens w:val="true"/>
              <w:bidi w:val="0"/>
              <w:spacing w:lineRule="auto" w:line="240" w:before="0" w:after="160"/>
              <w:ind w:hanging="0" w:left="57" w:right="0"/>
              <w:contextualSpacing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</w:p>
        </w:tc>
        <w:tc>
          <w:tcPr>
            <w:tcW w:w="3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</w:p>
        </w:tc>
        <w:tc>
          <w:tcPr>
            <w:tcW w:w="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км/</w:t>
            </w:r>
          </w:p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тн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80/</w:t>
            </w:r>
          </w:p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14,85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Погрузка и перевозка на расстояние 80 км для утилизации измельчённого бетона.</w:t>
            </w:r>
          </w:p>
        </w:tc>
      </w:tr>
      <w:tr>
        <w:trPr>
          <w:trHeight w:val="944" w:hRule="atLeast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uppressAutoHyphens w:val="true"/>
              <w:bidi w:val="0"/>
              <w:spacing w:lineRule="auto" w:line="240" w:before="0" w:after="160"/>
              <w:ind w:hanging="0" w:left="57" w:right="0"/>
              <w:contextualSpacing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</w:p>
        </w:tc>
        <w:tc>
          <w:tcPr>
            <w:tcW w:w="3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</w:p>
        </w:tc>
        <w:tc>
          <w:tcPr>
            <w:tcW w:w="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шт/т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8/0,128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Срезание стальных шпилек фундамента с помощью газового резака.</w:t>
            </w:r>
          </w:p>
        </w:tc>
      </w:tr>
      <w:tr>
        <w:trPr>
          <w:trHeight w:val="944" w:hRule="atLeast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uppressAutoHyphens w:val="true"/>
              <w:bidi w:val="0"/>
              <w:spacing w:lineRule="auto" w:line="240" w:before="0" w:after="160"/>
              <w:ind w:hanging="0" w:left="57" w:right="0"/>
              <w:contextualSpacing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</w:p>
        </w:tc>
        <w:tc>
          <w:tcPr>
            <w:tcW w:w="3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Сопутствующие    работы</w:t>
            </w:r>
          </w:p>
        </w:tc>
        <w:tc>
          <w:tcPr>
            <w:tcW w:w="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шт/га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4/0,0102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Расчистка банкеток опор вручную № 14,15,16,17 (</w:t>
            </w:r>
            <w:r>
              <w:rPr>
                <w:rFonts w:ascii="Times New Roman" w:hAnsi="Times New Roman"/>
                <w:sz w:val="22"/>
                <w:szCs w:val="22"/>
                <w:lang w:val="en-US" w:eastAsia="en-US"/>
              </w:rPr>
              <w:t>S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=6×6м).</w:t>
            </w:r>
          </w:p>
        </w:tc>
      </w:tr>
      <w:tr>
        <w:trPr>
          <w:trHeight w:val="944" w:hRule="atLeast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uppressAutoHyphens w:val="true"/>
              <w:bidi w:val="0"/>
              <w:spacing w:lineRule="auto" w:line="240" w:before="0" w:after="160"/>
              <w:ind w:hanging="0" w:left="57" w:right="0"/>
              <w:contextualSpacing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</w:p>
        </w:tc>
        <w:tc>
          <w:tcPr>
            <w:tcW w:w="3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</w:p>
        </w:tc>
        <w:tc>
          <w:tcPr>
            <w:tcW w:w="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т/м3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62,05/36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Погрузка и перевозка на расстояние 10 км ранее разработанного грунта для засыпки котлована</w:t>
            </w:r>
          </w:p>
        </w:tc>
      </w:tr>
      <w:tr>
        <w:trPr>
          <w:trHeight w:val="569" w:hRule="atLeast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uppressAutoHyphens w:val="true"/>
              <w:bidi w:val="0"/>
              <w:spacing w:lineRule="auto" w:line="240" w:before="0" w:after="160"/>
              <w:ind w:hanging="0" w:left="57" w:right="0"/>
              <w:contextualSpacing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</w:p>
        </w:tc>
        <w:tc>
          <w:tcPr>
            <w:tcW w:w="3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</w:p>
        </w:tc>
        <w:tc>
          <w:tcPr>
            <w:tcW w:w="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котлован/</w:t>
            </w:r>
          </w:p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м</w:t>
            </w:r>
            <w:r>
              <w:rPr>
                <w:rFonts w:cs="Andalus" w:ascii="Times New Roman" w:hAnsi="Times New Roman"/>
                <w:sz w:val="22"/>
                <w:szCs w:val="22"/>
                <w:lang w:eastAsia="en-US"/>
              </w:rPr>
              <w:t>³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4/</w:t>
            </w:r>
          </w:p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118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Засыпка котлованов ранее разработанным грунтом ( и привозным непросадочным грунтом) с уплотнением и планировкой под уровень поверхности земли с помощью экскаватора</w:t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-привозной непосадочный грунт-66,53м3</w:t>
            </w:r>
          </w:p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- ранее разработанный грунт-51,53 м3</w:t>
            </w:r>
          </w:p>
        </w:tc>
      </w:tr>
      <w:tr>
        <w:trPr>
          <w:trHeight w:val="598" w:hRule="atLeast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uppressAutoHyphens w:val="true"/>
              <w:bidi w:val="0"/>
              <w:spacing w:lineRule="auto" w:line="240" w:before="0" w:after="160"/>
              <w:ind w:hanging="0" w:left="57" w:right="0"/>
              <w:contextualSpacing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</w:p>
        </w:tc>
        <w:tc>
          <w:tcPr>
            <w:tcW w:w="3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</w:p>
        </w:tc>
        <w:tc>
          <w:tcPr>
            <w:tcW w:w="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м3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287,52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Работа на отвале вывезенного грунта</w:t>
            </w:r>
          </w:p>
        </w:tc>
      </w:tr>
      <w:tr>
        <w:trPr/>
        <w:tc>
          <w:tcPr>
            <w:tcW w:w="97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Материалы:</w:t>
            </w:r>
          </w:p>
        </w:tc>
      </w:tr>
      <w:tr>
        <w:trPr>
          <w:trHeight w:val="350" w:hRule="atLeast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2"/>
              </w:numPr>
              <w:suppressAutoHyphens w:val="true"/>
              <w:bidi w:val="0"/>
              <w:spacing w:lineRule="auto" w:line="240" w:before="0" w:after="160"/>
              <w:ind w:hanging="340" w:left="454" w:right="0"/>
              <w:contextualSpacing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Пропан 50</w:t>
            </w: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м3/баллон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5,6/8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</w:p>
        </w:tc>
      </w:tr>
      <w:tr>
        <w:trPr>
          <w:trHeight w:val="350" w:hRule="atLeast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2"/>
              </w:numPr>
              <w:suppressAutoHyphens w:val="true"/>
              <w:bidi w:val="0"/>
              <w:spacing w:lineRule="auto" w:line="240" w:before="0" w:after="160"/>
              <w:ind w:hanging="340" w:left="454" w:right="0"/>
              <w:contextualSpacing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Кислород 40</w:t>
            </w: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м3/Баллон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51,2/8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</w:p>
        </w:tc>
      </w:tr>
      <w:tr>
        <w:trPr>
          <w:trHeight w:val="350" w:hRule="atLeast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2"/>
              </w:numPr>
              <w:suppressAutoHyphens w:val="true"/>
              <w:bidi w:val="0"/>
              <w:spacing w:lineRule="auto" w:line="240" w:before="0" w:after="160"/>
              <w:ind w:hanging="340" w:left="454" w:right="0"/>
              <w:contextualSpacing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Непосадочный грунт</w:t>
            </w: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м</w:t>
            </w:r>
            <w:r>
              <w:rPr>
                <w:rFonts w:cs="Andalus" w:ascii="Times New Roman" w:hAnsi="Times New Roman"/>
                <w:sz w:val="22"/>
                <w:szCs w:val="22"/>
                <w:lang w:eastAsia="en-US"/>
              </w:rPr>
              <w:t>³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282,75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</w:p>
        </w:tc>
      </w:tr>
      <w:tr>
        <w:trPr>
          <w:trHeight w:val="365" w:hRule="atLeast"/>
        </w:trPr>
        <w:tc>
          <w:tcPr>
            <w:tcW w:w="97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Транспортная схема</w:t>
            </w:r>
          </w:p>
        </w:tc>
      </w:tr>
      <w:tr>
        <w:trPr>
          <w:trHeight w:val="360" w:hRule="atLeast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3"/>
              </w:numPr>
              <w:suppressAutoHyphens w:val="true"/>
              <w:bidi w:val="0"/>
              <w:spacing w:lineRule="auto" w:line="240" w:before="0" w:after="160"/>
              <w:ind w:hanging="340" w:left="510" w:right="0"/>
              <w:contextualSpacing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От базы ЦЭС (г. Хабаровск, ул. Промышленная 13) до места производства работ.</w:t>
            </w: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км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</w:p>
        </w:tc>
      </w:tr>
      <w:tr>
        <w:trPr>
          <w:trHeight w:val="360" w:hRule="atLeast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3"/>
              </w:numPr>
              <w:suppressAutoHyphens w:val="true"/>
              <w:bidi w:val="0"/>
              <w:spacing w:lineRule="auto" w:line="240" w:before="0" w:after="160"/>
              <w:ind w:hanging="340" w:left="510" w:right="0"/>
              <w:contextualSpacing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Доставка непосадочного грунта от карьера до места производства работ</w:t>
            </w: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км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45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</w:p>
        </w:tc>
      </w:tr>
      <w:tr>
        <w:trPr>
          <w:trHeight w:val="360" w:hRule="atLeast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3"/>
              </w:numPr>
              <w:suppressAutoHyphens w:val="true"/>
              <w:bidi w:val="0"/>
              <w:spacing w:lineRule="auto" w:line="240" w:before="0" w:after="160"/>
              <w:ind w:hanging="340" w:left="510" w:right="0"/>
              <w:contextualSpacing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Вывоз строительного мусора, порубочных остатков</w:t>
            </w: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км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80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</w:p>
        </w:tc>
      </w:tr>
      <w:tr>
        <w:trPr>
          <w:trHeight w:val="389" w:hRule="atLeast"/>
        </w:trPr>
        <w:tc>
          <w:tcPr>
            <w:tcW w:w="97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Погрузо-разгрузочные работы</w:t>
            </w:r>
          </w:p>
        </w:tc>
      </w:tr>
      <w:tr>
        <w:trPr>
          <w:trHeight w:val="580" w:hRule="atLeast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5"/>
              </w:numPr>
              <w:suppressAutoHyphens w:val="true"/>
              <w:bidi w:val="0"/>
              <w:spacing w:lineRule="auto" w:line="240" w:before="0" w:after="160"/>
              <w:ind w:hanging="340" w:left="510" w:right="0"/>
              <w:contextualSpacing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Непосадочный грунт</w:t>
            </w: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м³/</w:t>
            </w:r>
          </w:p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т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282,75/</w:t>
            </w:r>
          </w:p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565,5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r>
          </w:p>
        </w:tc>
      </w:tr>
      <w:tr>
        <w:trPr>
          <w:trHeight w:val="371" w:hRule="atLeast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lineRule="auto" w:line="240" w:before="0" w:after="160"/>
              <w:ind w:hanging="0" w:left="360"/>
              <w:contextualSpacing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</w:p>
        </w:tc>
        <w:tc>
          <w:tcPr>
            <w:tcW w:w="91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  <w:lang w:eastAsia="en-US"/>
              </w:rPr>
              <w:t>Демонтированный материал</w:t>
            </w:r>
          </w:p>
        </w:tc>
      </w:tr>
      <w:tr>
        <w:trPr>
          <w:trHeight w:val="257" w:hRule="atLeast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4"/>
              </w:numPr>
              <w:suppressAutoHyphens w:val="true"/>
              <w:bidi w:val="0"/>
              <w:spacing w:lineRule="auto" w:line="240" w:before="0" w:after="160"/>
              <w:ind w:hanging="340" w:left="510" w:right="0"/>
              <w:contextualSpacing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Металлоконструкции</w:t>
            </w: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т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9,11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r>
          </w:p>
        </w:tc>
      </w:tr>
      <w:tr>
        <w:trPr>
          <w:trHeight w:val="580" w:hRule="atLeast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4"/>
              </w:numPr>
              <w:suppressAutoHyphens w:val="true"/>
              <w:bidi w:val="0"/>
              <w:spacing w:lineRule="auto" w:line="240" w:before="0" w:after="160"/>
              <w:ind w:hanging="340" w:left="510" w:right="0"/>
              <w:contextualSpacing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Провод марки АС-95</w:t>
            </w:r>
          </w:p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грозотрос марки С-35</w:t>
            </w: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т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0,39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r>
          </w:p>
        </w:tc>
      </w:tr>
      <w:tr>
        <w:trPr>
          <w:trHeight w:val="248" w:hRule="atLeast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4"/>
              </w:numPr>
              <w:suppressAutoHyphens w:val="true"/>
              <w:bidi w:val="0"/>
              <w:spacing w:lineRule="auto" w:line="240" w:before="0" w:after="160"/>
              <w:ind w:hanging="340" w:left="510" w:right="0"/>
              <w:contextualSpacing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Фундаменты</w:t>
            </w: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т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46,85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r>
          </w:p>
        </w:tc>
      </w:tr>
      <w:tr>
        <w:trPr>
          <w:trHeight w:val="337" w:hRule="atLeast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4"/>
              </w:numPr>
              <w:suppressAutoHyphens w:val="true"/>
              <w:bidi w:val="0"/>
              <w:spacing w:lineRule="auto" w:line="240" w:before="0" w:after="160"/>
              <w:ind w:hanging="340" w:left="510" w:right="0"/>
              <w:contextualSpacing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Порубочные остатки</w:t>
            </w: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т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0,21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r>
          </w:p>
        </w:tc>
      </w:tr>
      <w:tr>
        <w:trPr>
          <w:trHeight w:val="297" w:hRule="atLeast"/>
        </w:trPr>
        <w:tc>
          <w:tcPr>
            <w:tcW w:w="97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Примечание:</w:t>
            </w:r>
          </w:p>
        </w:tc>
      </w:tr>
      <w:tr>
        <w:trPr>
          <w:trHeight w:val="580" w:hRule="atLeast"/>
        </w:trPr>
        <w:tc>
          <w:tcPr>
            <w:tcW w:w="97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Работы демонтажу металлических опор проводить в период: август-декабрь.</w:t>
            </w:r>
          </w:p>
          <w:p>
            <w:pPr>
              <w:pStyle w:val="Normal"/>
              <w:widowControl w:val="false"/>
              <w:spacing w:lineRule="auto" w:line="240"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Работа выполняется в стеснённых условиях в черте города и частном секторе. Уборка порубочных остатков производится в соответствии с «Правилами пожарной безопасности в лесах»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измельчением либо вывозом и утилизацией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284" w:leader="none"/>
        </w:tabs>
        <w:suppressAutoHyphens w:val="true"/>
        <w:spacing w:lineRule="auto" w:line="240" w:before="0" w:after="0"/>
        <w:ind w:hanging="0" w:left="1222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sectPr>
      <w:footerReference w:type="default" r:id="rId2"/>
      <w:type w:val="nextPage"/>
      <w:pgSz w:w="11906" w:h="16838"/>
      <w:pgMar w:left="1134" w:right="851" w:gutter="0" w:header="0" w:top="567" w:footer="709" w:bottom="76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PT Sans"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Verdana">
    <w:charset w:val="01"/>
    <w:family w:val="roman"/>
    <w:pitch w:val="variable"/>
  </w:font>
  <w:font w:name="Times New Roman">
    <w:altName w:val="serif"/>
    <w:charset w:val="01"/>
    <w:family w:val="roman"/>
    <w:pitch w:val="variable"/>
  </w:font>
  <w:font w:name="Sylfaen">
    <w:charset w:val="01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%1."/>
      <w:lvlJc w:val="left"/>
      <w:pPr>
        <w:tabs>
          <w:tab w:val="num" w:pos="0"/>
        </w:tabs>
        <w:ind w:left="540" w:hanging="540"/>
      </w:pPr>
      <w:rPr/>
    </w:lvl>
    <w:lvl w:ilvl="1">
      <w:start w:val="1"/>
      <w:pStyle w:val="Heading4"/>
      <w:numFmt w:val="decimal"/>
      <w:lvlText w:val="%1.%2."/>
      <w:lvlJc w:val="left"/>
      <w:pPr>
        <w:tabs>
          <w:tab w:val="num" w:pos="0"/>
        </w:tabs>
        <w:ind w:left="682" w:hanging="540"/>
      </w:pPr>
      <w:rPr/>
    </w:lvl>
    <w:lvl w:ilvl="2">
      <w:start w:val="2"/>
      <w:pStyle w:val="Heading3"/>
      <w:numFmt w:val="decimal"/>
      <w:lvlText w:val="%1.%2.%3.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i/>
        <w:iCs/>
        <w:rFonts w:ascii="Times New Roman" w:hAnsi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67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999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31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35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39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943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447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51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527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076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08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12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16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20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24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028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04" w:hanging="144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6"/>
        <w:b/>
        <w:szCs w:val="24"/>
        <w:bCs w:val="false"/>
        <w:rFonts w:ascii="Times New Roman" w:hAnsi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6"/>
        <w:b/>
        <w:szCs w:val="24"/>
        <w:bCs/>
        <w:rFonts w:ascii="Times New Roman" w:hAnsi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6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6"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6"/>
        <w:b/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b/>
        <w:rFonts w:ascii="Times New Roman;serif" w:hAnsi="Times New Roman;serif"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7"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84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16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08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032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464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256" w:hanging="1800"/>
      </w:pPr>
      <w:rPr/>
    </w:lvl>
  </w:abstractNum>
  <w:abstractNum w:abstractNumId="8">
    <w:lvl w:ilvl="0">
      <w:start w:val="2"/>
      <w:numFmt w:val="decimal"/>
      <w:lvlText w:val="%1"/>
      <w:lvlJc w:val="left"/>
      <w:pPr>
        <w:tabs>
          <w:tab w:val="num" w:pos="0"/>
        </w:tabs>
        <w:ind w:left="480" w:hanging="480"/>
      </w:pPr>
      <w:rPr/>
    </w:lvl>
    <w:lvl w:ilvl="1">
      <w:start w:val="1"/>
      <w:numFmt w:val="decimal"/>
      <w:lvlText w:val="%1.%2"/>
      <w:lvlJc w:val="left"/>
      <w:pPr>
        <w:tabs>
          <w:tab w:val="num" w:pos="0"/>
        </w:tabs>
        <w:ind w:left="480" w:hanging="480"/>
      </w:pPr>
      <w:rPr/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540" w:hanging="54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682" w:hanging="540"/>
      </w:pPr>
      <w:rPr/>
    </w:lvl>
    <w:lvl w:ilvl="2">
      <w:start w:val="2"/>
      <w:numFmt w:val="decimal"/>
      <w:lvlText w:val="%1.%2.%3.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/>
    </w:lvl>
  </w:abstractNum>
  <w:abstractNum w:abstractNumId="10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ylfaen" w:hAnsi="Sylfaen" w:cs="Sylfaen" w:hint="default"/>
        <w:sz w:val="24"/>
        <w:color w:val="00000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/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  <w:rPr/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  <w:rPr/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/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  <w:rPr/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  <w:rPr/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/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  <w:rPr/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  <w:rPr/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/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  <w:rPr/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  <w:rPr/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/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  <w:rPr/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  <w:rPr/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/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  <w:rPr/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  <w:rPr/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/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  <w:rPr/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  <w:rPr/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/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  <w:rPr/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  <w:rPr/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/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  <w:rPr/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  <w:rPr/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/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  <w:rPr/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Tahoma"/>
      <w:color w:val="00000A"/>
      <w:kern w:val="0"/>
      <w:sz w:val="22"/>
      <w:szCs w:val="22"/>
      <w:lang w:val="ru-RU" w:eastAsia="en-US" w:bidi="ar-SA"/>
    </w:rPr>
  </w:style>
  <w:style w:type="paragraph" w:styleId="Heading1">
    <w:name w:val="Heading 1"/>
    <w:basedOn w:val="Heading3"/>
    <w:qFormat/>
    <w:pPr>
      <w:numPr>
        <w:ilvl w:val="0"/>
        <w:numId w:val="1"/>
      </w:numPr>
      <w:outlineLvl w:val="0"/>
    </w:pPr>
    <w:rPr>
      <w:sz w:val="28"/>
      <w:szCs w:val="28"/>
    </w:rPr>
  </w:style>
  <w:style w:type="paragraph" w:styleId="Heading3">
    <w:name w:val="Heading 3"/>
    <w:basedOn w:val="Normal"/>
    <w:autoRedefine/>
    <w:qFormat/>
    <w:pPr>
      <w:keepNext w:val="true"/>
      <w:numPr>
        <w:ilvl w:val="2"/>
        <w:numId w:val="1"/>
      </w:numPr>
      <w:spacing w:lineRule="auto" w:line="240" w:before="120" w:after="60"/>
      <w:outlineLvl w:val="2"/>
    </w:pPr>
    <w:rPr>
      <w:rFonts w:ascii="Times New Roman" w:hAnsi="Times New Roman" w:cs="Times New Roman"/>
      <w:b/>
      <w:sz w:val="24"/>
      <w:szCs w:val="24"/>
      <w:lang w:eastAsia="x-none"/>
    </w:rPr>
  </w:style>
  <w:style w:type="paragraph" w:styleId="Heading4">
    <w:name w:val="Heading 4"/>
    <w:basedOn w:val="Heading3"/>
    <w:qFormat/>
    <w:pPr>
      <w:numPr>
        <w:ilvl w:val="1"/>
        <w:numId w:val="1"/>
      </w:numPr>
      <w:outlineLvl w:val="1"/>
    </w:pPr>
    <w:rPr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6" w:customStyle="1">
    <w:name w:val="Нижний колонтитул Знак"/>
    <w:basedOn w:val="DefaultParagraphFont"/>
    <w:qFormat/>
    <w:rPr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Style7" w:customStyle="1">
    <w:name w:val="Верхний колонтитул Знак"/>
    <w:basedOn w:val="DefaultParagraphFont"/>
    <w:qFormat/>
    <w:rPr/>
  </w:style>
  <w:style w:type="character" w:styleId="2" w:customStyle="1">
    <w:name w:val="Основной текст 2 Знак"/>
    <w:basedOn w:val="DefaultParagraphFont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" w:customStyle="1">
    <w:name w:val="Заголовок 1 Знак"/>
    <w:basedOn w:val="DefaultParagraphFont"/>
    <w:qFormat/>
    <w:rPr>
      <w:rFonts w:ascii="Times New Roman" w:hAnsi="Times New Roman" w:eastAsia="Calibri" w:cs="Times New Roman"/>
      <w:b/>
      <w:sz w:val="28"/>
      <w:szCs w:val="28"/>
      <w:lang w:val="x-none" w:eastAsia="x-none"/>
    </w:rPr>
  </w:style>
  <w:style w:type="character" w:styleId="3" w:customStyle="1">
    <w:name w:val="Заголовок 3 Знак"/>
    <w:basedOn w:val="DefaultParagraphFont"/>
    <w:qFormat/>
    <w:rPr>
      <w:rFonts w:ascii="Times New Roman" w:hAnsi="Times New Roman" w:eastAsia="Calibri" w:cs="Times New Roman"/>
      <w:b/>
      <w:sz w:val="24"/>
      <w:szCs w:val="24"/>
      <w:lang w:val="x-none" w:eastAsia="x-none"/>
    </w:rPr>
  </w:style>
  <w:style w:type="character" w:styleId="4" w:customStyle="1">
    <w:name w:val="Заголовок 4 Знак"/>
    <w:basedOn w:val="DefaultParagraphFont"/>
    <w:qFormat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Style8" w:customStyle="1">
    <w:name w:val="Текст выноски Знак"/>
    <w:basedOn w:val="DefaultParagraphFont"/>
    <w:qFormat/>
    <w:rPr>
      <w:rFonts w:ascii="Segoe UI" w:hAnsi="Segoe UI" w:cs="Segoe UI"/>
      <w:sz w:val="18"/>
      <w:szCs w:val="18"/>
    </w:rPr>
  </w:style>
  <w:style w:type="character" w:styleId="Style9" w:customStyle="1">
    <w:name w:val="Ссылка указателя"/>
    <w:qFormat/>
    <w:rPr/>
  </w:style>
  <w:style w:type="character" w:styleId="Strong">
    <w:name w:val="Strong"/>
    <w:qFormat/>
    <w:rPr>
      <w:b/>
      <w:bCs/>
    </w:rPr>
  </w:style>
  <w:style w:type="character" w:styleId="Style10">
    <w:name w:val="Символ нумерации"/>
    <w:qFormat/>
    <w:rPr/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Style13">
    <w:name w:val="Колонтитул"/>
    <w:basedOn w:val="Normal"/>
    <w:qFormat/>
    <w:pPr/>
    <w:rPr/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qFormat/>
    <w:pPr>
      <w:spacing w:before="0" w:after="160"/>
      <w:ind w:hanging="0" w:left="720"/>
      <w:contextualSpacing/>
    </w:pPr>
    <w:rPr/>
  </w:style>
  <w:style w:type="paragraph" w:styleId="TOC1">
    <w:name w:val="TOC 1"/>
    <w:basedOn w:val="Normal"/>
    <w:autoRedefine/>
    <w:uiPriority w:val="39"/>
    <w:pPr>
      <w:tabs>
        <w:tab w:val="clear" w:pos="708"/>
        <w:tab w:val="left" w:pos="560" w:leader="none"/>
        <w:tab w:val="right" w:pos="9911" w:leader="dot"/>
      </w:tabs>
      <w:spacing w:lineRule="auto" w:line="360" w:before="0" w:after="0"/>
    </w:pPr>
    <w:rPr>
      <w:rFonts w:ascii="Times New Roman" w:hAnsi="Times New Roman" w:eastAsia="Times New Roman" w:cs="Calibri"/>
      <w:b/>
      <w:bCs/>
      <w:iCs/>
      <w:sz w:val="24"/>
      <w:szCs w:val="24"/>
      <w:lang w:eastAsia="ru-RU"/>
    </w:rPr>
  </w:style>
  <w:style w:type="paragraph" w:styleId="TOC3">
    <w:name w:val="TOC 3"/>
    <w:basedOn w:val="Normal"/>
    <w:autoRedefine/>
    <w:uiPriority w:val="39"/>
    <w:pPr>
      <w:tabs>
        <w:tab w:val="clear" w:pos="708"/>
        <w:tab w:val="left" w:pos="284" w:leader="none"/>
        <w:tab w:val="left" w:pos="1134" w:leader="none"/>
        <w:tab w:val="right" w:pos="9911" w:leader="dot"/>
      </w:tabs>
      <w:spacing w:lineRule="auto" w:line="240" w:before="0" w:after="0"/>
      <w:ind w:firstLine="426"/>
    </w:pPr>
    <w:rPr>
      <w:rFonts w:ascii="Times New Roman" w:hAnsi="Times New Roman" w:eastAsia="Times New Roman" w:cs="Calibri"/>
      <w:sz w:val="24"/>
      <w:szCs w:val="24"/>
      <w:lang w:val="x-none" w:eastAsia="ru-RU"/>
    </w:rPr>
  </w:style>
  <w:style w:type="paragraph" w:styleId="TOC4">
    <w:name w:val="TOC 4"/>
    <w:basedOn w:val="Normal"/>
    <w:autoRedefine/>
    <w:uiPriority w:val="39"/>
    <w:pPr>
      <w:tabs>
        <w:tab w:val="clear" w:pos="708"/>
        <w:tab w:val="left" w:pos="851" w:leader="none"/>
        <w:tab w:val="left" w:pos="1120" w:leader="none"/>
        <w:tab w:val="left" w:pos="1400" w:leader="none"/>
        <w:tab w:val="right" w:pos="9911" w:leader="dot"/>
      </w:tabs>
      <w:spacing w:lineRule="auto" w:line="360" w:before="0" w:after="0"/>
      <w:ind w:firstLine="284"/>
    </w:pPr>
    <w:rPr>
      <w:rFonts w:ascii="Times New Roman" w:hAnsi="Times New Roman" w:eastAsia="Times New Roman" w:cs="Calibri"/>
      <w:sz w:val="24"/>
      <w:szCs w:val="24"/>
      <w:lang w:eastAsia="ru-RU"/>
    </w:rPr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odyText2">
    <w:name w:val="Body Text 2"/>
    <w:basedOn w:val="Normal"/>
    <w:qFormat/>
    <w:pPr>
      <w:shd w:val="clear" w:color="auto" w:fill="FFFFFF"/>
      <w:tabs>
        <w:tab w:val="clear" w:pos="708"/>
        <w:tab w:val="left" w:pos="-3240" w:leader="none"/>
      </w:tabs>
      <w:spacing w:lineRule="auto" w:line="240" w:before="0" w:after="0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4" w:customStyle="1">
    <w:name w:val="Знак"/>
    <w:basedOn w:val="Normal"/>
    <w:qFormat/>
    <w:pPr>
      <w:tabs>
        <w:tab w:val="clear" w:pos="708"/>
        <w:tab w:val="left" w:pos="360" w:leader="none"/>
      </w:tabs>
      <w:spacing w:lineRule="exact" w:line="240"/>
    </w:pPr>
    <w:rPr>
      <w:rFonts w:ascii="Verdana" w:hAnsi="Verdana" w:eastAsia="Times New Roman" w:cs="Verdana"/>
      <w:color w:val="00000A"/>
      <w:sz w:val="20"/>
      <w:szCs w:val="20"/>
      <w:lang w:val="en-US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yle15" w:customStyle="1">
    <w:name w:val="Содержимое таблицы"/>
    <w:basedOn w:val="Normal"/>
    <w:qFormat/>
    <w:pPr/>
    <w:rPr/>
  </w:style>
  <w:style w:type="paragraph" w:styleId="TOC2">
    <w:name w:val="TOC 2"/>
    <w:basedOn w:val="Style12"/>
    <w:pPr/>
    <w:rPr/>
  </w:style>
  <w:style w:type="paragraph" w:styleId="Style16">
    <w:name w:val="Заголовок таблицы"/>
    <w:basedOn w:val="Style15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9713777681">
    <w:name w:val="19713777681"/>
    <w:qFormat/>
  </w:style>
  <w:style w:type="numbering" w:styleId="35085136581">
    <w:name w:val="35085136581"/>
    <w:qFormat/>
  </w:style>
  <w:style w:type="numbering" w:styleId="10888051">
    <w:name w:val="10888051"/>
    <w:qFormat/>
  </w:style>
  <w:style w:type="numbering" w:styleId="6611971451">
    <w:name w:val="6611971451"/>
    <w:qFormat/>
  </w:style>
  <w:style w:type="numbering" w:styleId="19281164081">
    <w:name w:val="19281164081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1B00AB-1851-448A-948D-A2F838FE1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793</TotalTime>
  <Application>AlterOffice/2026.2.0.0$Linux_X86_64 LibreOffice_project/bc4ef1adf80b36c7a6365f8ed6cbf29021361edd</Application>
  <AppVersion>15.0000</AppVersion>
  <Pages>10</Pages>
  <Words>2186</Words>
  <Characters>14515</Characters>
  <CharactersWithSpaces>16385</CharactersWithSpaces>
  <Paragraphs>378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2023-12-26T23:42:00Z</dcterms:created>
  <dc:creator>Доронина Наталья Дмитриевна</dc:creator>
  <dc:description/>
  <dc:language>ru-RU</dc:language>
  <cp:lastModifiedBy/>
  <cp:lastPrinted>2025-08-13T09:01:39Z</cp:lastPrinted>
  <dcterms:modified xsi:type="dcterms:W3CDTF">2026-09-04T13:34:39Z</dcterms:modified>
  <cp:revision>58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