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keepLines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</w:r>
    </w:p>
    <w:p>
      <w:pPr>
        <w:pStyle w:val="Normal"/>
        <w:keepNext w:val="true"/>
        <w:keepLines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keepNext w:val="true"/>
        <w:keepLines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keepNext w:val="true"/>
        <w:keepLines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keepNext w:val="true"/>
        <w:keepLines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keepNext w:val="true"/>
        <w:keepLines/>
        <w:jc w:val="center"/>
        <w:rPr>
          <w:rFonts w:eastAsia="Calibri"/>
          <w:b/>
          <w:sz w:val="22"/>
          <w:szCs w:val="22"/>
        </w:rPr>
      </w:pPr>
      <w:r>
        <w:rPr>
          <w:rFonts w:eastAsia="Calibri"/>
          <w:b/>
          <w:sz w:val="22"/>
          <w:szCs w:val="22"/>
        </w:rPr>
        <w:t>Технические требования на поставку МТР</w:t>
      </w:r>
    </w:p>
    <w:p>
      <w:pPr>
        <w:pStyle w:val="Normal"/>
        <w:keepNext w:val="true"/>
        <w:keepLines/>
        <w:jc w:val="center"/>
        <w:rPr>
          <w:rFonts w:eastAsia="Calibri"/>
          <w:b/>
          <w:bCs/>
          <w:i/>
          <w:i/>
          <w:iCs/>
          <w:sz w:val="22"/>
          <w:szCs w:val="22"/>
        </w:rPr>
      </w:pPr>
      <w:r>
        <w:rPr>
          <w:rFonts w:eastAsia="Calibri"/>
          <w:b/>
          <w:bCs/>
          <w:i/>
          <w:iCs/>
          <w:sz w:val="22"/>
          <w:szCs w:val="22"/>
        </w:rPr>
      </w:r>
    </w:p>
    <w:p>
      <w:pPr>
        <w:pStyle w:val="Normal"/>
        <w:jc w:val="center"/>
        <w:rPr>
          <w:b/>
          <w:bCs/>
          <w:i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Лот №</w:t>
      </w:r>
      <w:r>
        <w:rPr>
          <w:b/>
          <w:bCs/>
          <w:i/>
          <w:iCs/>
          <w:sz w:val="22"/>
          <w:szCs w:val="22"/>
        </w:rPr>
        <w:t>113</w:t>
      </w:r>
      <w:r>
        <w:rPr>
          <w:b/>
          <w:bCs/>
          <w:i/>
          <w:iCs/>
          <w:sz w:val="22"/>
          <w:szCs w:val="22"/>
        </w:rPr>
        <w:t xml:space="preserve">01-ТПИР ОТМ-2026-ДРСК </w:t>
      </w:r>
    </w:p>
    <w:p>
      <w:pPr>
        <w:pStyle w:val="Normal"/>
        <w:jc w:val="center"/>
        <w:rPr>
          <w:b/>
          <w:bCs/>
          <w:i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 xml:space="preserve">ОКПД2 27.12.10.130 Поставка разрядников в рамках инвестиционной программ для филиалов АО «ДРСК» «Амурские электрические сети», «Электрические сети ЕАО» и "Южно-Якутские электрические сети". </w:t>
      </w:r>
    </w:p>
    <w:p>
      <w:pPr>
        <w:pStyle w:val="Normal"/>
        <w:jc w:val="center"/>
        <w:rPr>
          <w:b/>
          <w:bCs/>
          <w:i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 xml:space="preserve"> </w:t>
      </w:r>
    </w:p>
    <w:p>
      <w:pPr>
        <w:pStyle w:val="Normal"/>
        <w:widowControl w:val="false"/>
        <w:tabs>
          <w:tab w:val="clear" w:pos="708"/>
          <w:tab w:val="left" w:pos="426" w:leader="none"/>
        </w:tabs>
        <w:spacing w:before="120" w:after="0"/>
        <w:jc w:val="center"/>
        <w:rPr>
          <w:rFonts w:eastAsia="Calibri"/>
          <w:b/>
          <w:i/>
          <w:i/>
          <w:sz w:val="22"/>
          <w:szCs w:val="22"/>
        </w:rPr>
      </w:pPr>
      <w:r>
        <w:rPr>
          <w:rFonts w:eastAsia="Calibri"/>
          <w:b/>
          <w:i/>
          <w:sz w:val="22"/>
          <w:szCs w:val="22"/>
        </w:rPr>
      </w:r>
    </w:p>
    <w:p>
      <w:pPr>
        <w:pStyle w:val="Normal"/>
        <w:keepNext w:val="true"/>
        <w:keepLines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center"/>
        <w:rPr>
          <w:b/>
          <w:bCs/>
          <w:i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</w:r>
    </w:p>
    <w:p>
      <w:pPr>
        <w:pStyle w:val="Normal"/>
        <w:jc w:val="center"/>
        <w:rPr>
          <w:b/>
          <w:bCs/>
          <w:i/>
          <w:i/>
          <w:iCs/>
        </w:rPr>
      </w:pPr>
      <w:r>
        <w:rPr>
          <w:b/>
          <w:bCs/>
          <w:i/>
          <w:iCs/>
        </w:rPr>
      </w:r>
    </w:p>
    <w:p>
      <w:pPr>
        <w:pStyle w:val="Normal"/>
        <w:jc w:val="center"/>
        <w:rPr>
          <w:sz w:val="22"/>
          <w:szCs w:val="22"/>
        </w:rPr>
      </w:pPr>
      <w:r>
        <w:rPr>
          <w:sz w:val="22"/>
          <w:szCs w:val="22"/>
        </w:rPr>
      </w:r>
      <w:r>
        <w:br w:type="page"/>
      </w:r>
    </w:p>
    <w:p>
      <w:pPr>
        <w:pStyle w:val="Heading1"/>
        <w:keepLines/>
        <w:numPr>
          <w:ilvl w:val="0"/>
          <w:numId w:val="3"/>
        </w:numPr>
        <w:spacing w:before="120" w:after="0"/>
        <w:ind w:left="357" w:hanging="357"/>
        <w:jc w:val="center"/>
        <w:rPr>
          <w:sz w:val="22"/>
          <w:szCs w:val="22"/>
          <w:lang w:val="ru-RU"/>
        </w:rPr>
      </w:pPr>
      <w:bookmarkStart w:id="0" w:name="_Toc75446566"/>
      <w:bookmarkStart w:id="1" w:name="_Toc51339692"/>
      <w:r>
        <w:rPr>
          <w:sz w:val="22"/>
          <w:szCs w:val="22"/>
          <w:lang w:val="ru-RU"/>
        </w:rPr>
        <w:t>Общие сведения</w:t>
      </w:r>
      <w:bookmarkEnd w:id="0"/>
      <w:bookmarkEnd w:id="1"/>
    </w:p>
    <w:p>
      <w:pPr>
        <w:pStyle w:val="Heading4"/>
        <w:numPr>
          <w:ilvl w:val="1"/>
          <w:numId w:val="3"/>
        </w:numPr>
        <w:spacing w:before="120" w:after="0"/>
        <w:rPr>
          <w:sz w:val="22"/>
          <w:szCs w:val="22"/>
        </w:rPr>
      </w:pPr>
      <w:bookmarkStart w:id="2" w:name="_Toc46743506"/>
      <w:bookmarkStart w:id="3" w:name="_Toc75446568"/>
      <w:r>
        <w:rPr>
          <w:sz w:val="22"/>
          <w:szCs w:val="22"/>
        </w:rPr>
        <w:t>Наименование закупаемой продукции</w:t>
      </w:r>
      <w:bookmarkEnd w:id="2"/>
      <w:bookmarkEnd w:id="3"/>
    </w:p>
    <w:p>
      <w:pPr>
        <w:pStyle w:val="Normal"/>
        <w:widowControl w:val="false"/>
        <w:tabs>
          <w:tab w:val="clear" w:pos="708"/>
          <w:tab w:val="left" w:pos="426" w:leader="none"/>
        </w:tabs>
        <w:spacing w:before="120" w:after="0"/>
        <w:jc w:val="both"/>
        <w:rPr>
          <w:b/>
          <w:i/>
          <w:i/>
          <w:sz w:val="22"/>
          <w:szCs w:val="22"/>
        </w:rPr>
      </w:pPr>
      <w:r>
        <w:rPr>
          <w:b/>
          <w:i/>
          <w:sz w:val="22"/>
          <w:szCs w:val="22"/>
        </w:rPr>
        <w:t>Разрядники</w:t>
      </w:r>
    </w:p>
    <w:p>
      <w:pPr>
        <w:pStyle w:val="Heading1"/>
        <w:keepLines/>
        <w:numPr>
          <w:ilvl w:val="0"/>
          <w:numId w:val="3"/>
        </w:numPr>
        <w:spacing w:before="120" w:after="0"/>
        <w:ind w:left="357" w:hanging="357"/>
        <w:jc w:val="center"/>
        <w:rPr>
          <w:iCs/>
          <w:caps/>
          <w:sz w:val="22"/>
          <w:szCs w:val="22"/>
          <w:lang w:val="ru-RU"/>
        </w:rPr>
      </w:pPr>
      <w:bookmarkStart w:id="4" w:name="_Toc75446573"/>
      <w:bookmarkStart w:id="5" w:name="_Toc51339693"/>
      <w:bookmarkStart w:id="6" w:name="_Toc46743510"/>
      <w:bookmarkStart w:id="7" w:name="_Toc50125126"/>
      <w:bookmarkEnd w:id="6"/>
      <w:bookmarkEnd w:id="7"/>
      <w:r>
        <w:rPr>
          <w:iCs/>
          <w:sz w:val="22"/>
          <w:szCs w:val="22"/>
        </w:rPr>
        <w:t>Требования к продукции</w:t>
      </w:r>
      <w:bookmarkEnd w:id="4"/>
      <w:bookmarkEnd w:id="5"/>
    </w:p>
    <w:p>
      <w:pPr>
        <w:pStyle w:val="Heading4"/>
        <w:numPr>
          <w:ilvl w:val="1"/>
          <w:numId w:val="3"/>
        </w:numPr>
        <w:spacing w:before="120" w:after="0"/>
        <w:rPr>
          <w:sz w:val="22"/>
          <w:szCs w:val="22"/>
        </w:rPr>
      </w:pPr>
      <w:bookmarkStart w:id="8" w:name="_Toc75446574"/>
      <w:r>
        <w:rPr>
          <w:sz w:val="22"/>
          <w:szCs w:val="22"/>
        </w:rPr>
        <w:t>Требования к техническим и функциональным характеристикам, к конструкции изделия, материалам</w:t>
      </w:r>
      <w:r>
        <w:rPr>
          <w:sz w:val="22"/>
          <w:szCs w:val="22"/>
          <w:lang w:val="ru-RU"/>
        </w:rPr>
        <w:t>,</w:t>
      </w:r>
      <w:r>
        <w:rPr>
          <w:sz w:val="22"/>
          <w:szCs w:val="22"/>
        </w:rPr>
        <w:t xml:space="preserve"> объемам и срокам </w:t>
      </w:r>
      <w:r>
        <w:rPr>
          <w:sz w:val="22"/>
          <w:szCs w:val="22"/>
          <w:lang w:val="ru-RU"/>
        </w:rPr>
        <w:t>поставки</w:t>
      </w:r>
      <w:bookmarkEnd w:id="8"/>
    </w:p>
    <w:p>
      <w:pPr>
        <w:pStyle w:val="Heading3"/>
        <w:numPr>
          <w:ilvl w:val="2"/>
          <w:numId w:val="3"/>
        </w:numPr>
        <w:spacing w:before="120" w:after="0"/>
        <w:rPr>
          <w:sz w:val="22"/>
          <w:szCs w:val="22"/>
        </w:rPr>
      </w:pPr>
      <w:r>
        <w:rPr>
          <w:sz w:val="22"/>
          <w:szCs w:val="22"/>
          <w:lang w:val="ru-RU"/>
        </w:rPr>
        <w:t>Перечень и объем закупаемой продукции</w:t>
      </w:r>
    </w:p>
    <w:p>
      <w:pPr>
        <w:pStyle w:val="Heading1"/>
        <w:keepLines/>
        <w:tabs>
          <w:tab w:val="clear" w:pos="0"/>
        </w:tabs>
        <w:spacing w:before="240" w:after="0"/>
        <w:ind w:left="0" w:hanging="0"/>
        <w:rPr>
          <w:sz w:val="22"/>
          <w:szCs w:val="22"/>
        </w:rPr>
      </w:pPr>
      <w:bookmarkStart w:id="9" w:name="_Toc75446576"/>
      <w:bookmarkStart w:id="10" w:name="_Toc51339695"/>
      <w:r>
        <w:rPr>
          <w:sz w:val="22"/>
          <w:szCs w:val="22"/>
        </w:rPr>
        <w:t xml:space="preserve">Таблица </w:t>
      </w:r>
      <w:r>
        <w:rPr>
          <w:sz w:val="22"/>
          <w:szCs w:val="22"/>
          <w:lang w:val="ru-RU"/>
        </w:rPr>
        <w:t>2.1.1.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lang w:val="ru-RU"/>
        </w:rPr>
        <w:t xml:space="preserve">Перечень </w:t>
      </w:r>
      <w:bookmarkEnd w:id="10"/>
      <w:r>
        <w:rPr>
          <w:sz w:val="22"/>
          <w:szCs w:val="22"/>
          <w:lang w:val="ru-RU"/>
        </w:rPr>
        <w:t>и объем закупаемой продукции</w:t>
      </w:r>
      <w:bookmarkEnd w:id="9"/>
    </w:p>
    <w:tbl>
      <w:tblPr>
        <w:tblW w:w="3350" w:type="pct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39"/>
        <w:gridCol w:w="6874"/>
        <w:gridCol w:w="1407"/>
        <w:gridCol w:w="1400"/>
      </w:tblGrid>
      <w:tr>
        <w:trPr>
          <w:trHeight w:val="460" w:hRule="atLeast"/>
        </w:trPr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i/>
                <w:i/>
                <w:color w:val="000000"/>
                <w:sz w:val="20"/>
                <w:szCs w:val="20"/>
              </w:rPr>
            </w:pPr>
            <w:r>
              <w:rPr>
                <w:b/>
                <w:i/>
                <w:color w:val="000000"/>
                <w:sz w:val="20"/>
                <w:szCs w:val="20"/>
              </w:rPr>
              <w:t xml:space="preserve">№ </w:t>
            </w:r>
            <w:r>
              <w:rPr>
                <w:b/>
                <w:i/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68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i/>
                <w:i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i/>
                <w:color w:val="000000"/>
                <w:sz w:val="20"/>
                <w:szCs w:val="20"/>
                <w:lang w:val="en-US"/>
              </w:rPr>
              <w:t>Наименование продукции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i/>
                <w:i/>
                <w:color w:val="000000"/>
                <w:sz w:val="20"/>
                <w:szCs w:val="20"/>
              </w:rPr>
            </w:pPr>
            <w:r>
              <w:rPr>
                <w:b/>
                <w:i/>
                <w:color w:val="000000"/>
                <w:sz w:val="20"/>
                <w:szCs w:val="20"/>
              </w:rPr>
              <w:t>Ед. измер.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i/>
                <w:i/>
                <w:color w:val="000000"/>
                <w:sz w:val="20"/>
                <w:szCs w:val="20"/>
              </w:rPr>
            </w:pPr>
            <w:r>
              <w:rPr>
                <w:b/>
                <w:i/>
                <w:color w:val="000000"/>
                <w:sz w:val="20"/>
                <w:szCs w:val="20"/>
              </w:rPr>
              <w:t>Кол-во.</w:t>
            </w:r>
          </w:p>
        </w:tc>
      </w:tr>
      <w:tr>
        <w:trPr>
          <w:trHeight w:val="134" w:hRule="atLeast"/>
        </w:trPr>
        <w:tc>
          <w:tcPr>
            <w:tcW w:w="8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68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140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14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color w:val="000000"/>
                <w:sz w:val="20"/>
                <w:szCs w:val="20"/>
                <w:lang w:val="en-US"/>
              </w:rPr>
              <w:t>4</w:t>
            </w:r>
          </w:p>
        </w:tc>
      </w:tr>
      <w:tr>
        <w:trPr>
          <w:trHeight w:val="340" w:hRule="atLeast"/>
        </w:trPr>
        <w:tc>
          <w:tcPr>
            <w:tcW w:w="1052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i/>
                <w:color w:val="000000"/>
                <w:sz w:val="20"/>
                <w:szCs w:val="20"/>
              </w:rPr>
              <w:t>1.1 Филиал АО «ДРСК» «Амурские электрические сети»</w:t>
            </w:r>
          </w:p>
        </w:tc>
      </w:tr>
      <w:tr>
        <w:trPr>
          <w:trHeight w:val="340" w:hRule="atLeast"/>
        </w:trPr>
        <w:tc>
          <w:tcPr>
            <w:tcW w:w="8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8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38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Разрядник мультикамерный РМК-10-IV-УХЛ1/021</w:t>
            </w:r>
          </w:p>
        </w:tc>
        <w:tc>
          <w:tcPr>
            <w:tcW w:w="140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38"/>
              <w:widowControl w:val="false"/>
              <w:jc w:val="center"/>
              <w:rPr>
                <w:rFonts w:ascii="Liberation Serif" w:hAnsi="Liberation Serif"/>
                <w:sz w:val="20"/>
                <w:szCs w:val="20"/>
                <w:lang w:val="en-US"/>
              </w:rPr>
            </w:pPr>
            <w:r>
              <w:rPr>
                <w:rFonts w:ascii="Liberation Serif" w:hAnsi="Liberation Serif"/>
                <w:sz w:val="20"/>
                <w:szCs w:val="20"/>
                <w:lang w:val="en-US"/>
              </w:rPr>
              <w:t>30</w:t>
            </w:r>
          </w:p>
        </w:tc>
      </w:tr>
      <w:tr>
        <w:trPr>
          <w:trHeight w:val="340" w:hRule="atLeast"/>
        </w:trPr>
        <w:tc>
          <w:tcPr>
            <w:tcW w:w="1052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38"/>
              <w:widowControl w:val="false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b/>
                <w:bCs/>
                <w:i/>
                <w:color w:val="000000"/>
                <w:sz w:val="20"/>
                <w:szCs w:val="20"/>
              </w:rPr>
              <w:t xml:space="preserve">                                                   </w:t>
            </w:r>
            <w:r>
              <w:rPr>
                <w:b/>
                <w:bCs/>
                <w:i/>
                <w:color w:val="000000"/>
                <w:sz w:val="20"/>
                <w:szCs w:val="20"/>
              </w:rPr>
              <w:t>1.2. Филиал АО «ДРСК» «Электрические сети ЕАО»</w:t>
            </w:r>
          </w:p>
        </w:tc>
      </w:tr>
      <w:tr>
        <w:trPr>
          <w:trHeight w:val="340" w:hRule="atLeast"/>
        </w:trPr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6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38"/>
              <w:widowControl w:val="false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Разрядник длинно-искровой PDR10 (РДИП-10-4УХЛ) 10кВ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38"/>
              <w:widowControl w:val="false"/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124</w:t>
            </w:r>
          </w:p>
        </w:tc>
      </w:tr>
      <w:tr>
        <w:trPr>
          <w:trHeight w:val="340" w:hRule="atLeast"/>
        </w:trPr>
        <w:tc>
          <w:tcPr>
            <w:tcW w:w="1052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38"/>
              <w:widowControl w:val="false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b/>
                <w:bCs/>
                <w:i/>
                <w:color w:val="000000"/>
                <w:sz w:val="20"/>
                <w:szCs w:val="20"/>
              </w:rPr>
              <w:t xml:space="preserve">                                                   </w:t>
            </w:r>
            <w:r>
              <w:rPr>
                <w:b/>
                <w:bCs/>
                <w:i/>
                <w:color w:val="000000"/>
                <w:sz w:val="20"/>
                <w:szCs w:val="20"/>
              </w:rPr>
              <w:t>1.3. Филиал АО «ДРСК» «Южно-Якутские электрические сети»</w:t>
            </w:r>
          </w:p>
        </w:tc>
      </w:tr>
      <w:tr>
        <w:trPr>
          <w:trHeight w:val="340" w:hRule="atLeast"/>
        </w:trPr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6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38"/>
              <w:widowControl w:val="false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Разрядник длинно-искровой PDR10 (РДИП-10-4УХЛ) 10кВ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  <w:bookmarkStart w:id="11" w:name="_GoBack"/>
            <w:bookmarkEnd w:id="11"/>
          </w:p>
        </w:tc>
      </w:tr>
    </w:tbl>
    <w:p>
      <w:pPr>
        <w:pStyle w:val="Normal"/>
        <w:rPr>
          <w:lang w:eastAsia="x-none"/>
        </w:rPr>
      </w:pPr>
      <w:r>
        <w:rPr>
          <w:lang w:eastAsia="x-none"/>
        </w:rPr>
      </w:r>
    </w:p>
    <w:p>
      <w:pPr>
        <w:pStyle w:val="Heading3"/>
        <w:numPr>
          <w:ilvl w:val="2"/>
          <w:numId w:val="3"/>
        </w:numPr>
        <w:spacing w:before="120" w:after="0"/>
        <w:rPr>
          <w:sz w:val="22"/>
          <w:szCs w:val="22"/>
          <w:lang w:val="ru-RU"/>
        </w:rPr>
      </w:pPr>
      <w:bookmarkStart w:id="12" w:name="_Toc75446578"/>
      <w:bookmarkStart w:id="13" w:name="_Toc51339696"/>
      <w:r>
        <w:rPr>
          <w:sz w:val="22"/>
          <w:szCs w:val="22"/>
          <w:lang w:val="ru-RU"/>
        </w:rPr>
        <w:t xml:space="preserve"> </w:t>
      </w:r>
      <w:r>
        <w:rPr>
          <w:sz w:val="22"/>
          <w:szCs w:val="22"/>
          <w:lang w:val="ru-RU"/>
        </w:rPr>
        <w:t xml:space="preserve">Требования </w:t>
      </w:r>
      <w:bookmarkEnd w:id="13"/>
      <w:r>
        <w:rPr>
          <w:sz w:val="22"/>
          <w:szCs w:val="22"/>
          <w:lang w:val="ru-RU"/>
        </w:rPr>
        <w:t xml:space="preserve">к срокам поставки продукции </w:t>
      </w:r>
      <w:bookmarkEnd w:id="12"/>
    </w:p>
    <w:p>
      <w:pPr>
        <w:pStyle w:val="Heading1"/>
        <w:keepLines/>
        <w:tabs>
          <w:tab w:val="clear" w:pos="0"/>
        </w:tabs>
        <w:spacing w:before="240" w:after="0"/>
        <w:ind w:left="0" w:hanging="0"/>
        <w:rPr>
          <w:sz w:val="22"/>
          <w:szCs w:val="22"/>
          <w:lang w:val="ru-RU"/>
        </w:rPr>
      </w:pPr>
      <w:bookmarkStart w:id="14" w:name="_Toc75446579"/>
      <w:bookmarkStart w:id="15" w:name="_Toc51339697"/>
      <w:bookmarkStart w:id="16" w:name="_Toc50125127"/>
      <w:bookmarkStart w:id="17" w:name="_Toc50125126_Копия_1"/>
      <w:bookmarkEnd w:id="17"/>
      <w:r>
        <w:rPr>
          <w:sz w:val="22"/>
          <w:szCs w:val="22"/>
        </w:rPr>
        <w:t xml:space="preserve">Таблица </w:t>
      </w:r>
      <w:r>
        <w:rPr>
          <w:sz w:val="22"/>
          <w:szCs w:val="22"/>
          <w:lang w:val="ru-RU"/>
        </w:rPr>
        <w:t>2</w:t>
      </w:r>
      <w:r>
        <w:rPr>
          <w:sz w:val="22"/>
          <w:szCs w:val="22"/>
        </w:rPr>
        <w:t>.</w:t>
      </w:r>
      <w:r>
        <w:rPr>
          <w:sz w:val="22"/>
          <w:szCs w:val="22"/>
          <w:lang w:val="ru-RU"/>
        </w:rPr>
        <w:t>1.2</w:t>
      </w:r>
      <w:r>
        <w:rPr>
          <w:sz w:val="22"/>
          <w:szCs w:val="22"/>
        </w:rPr>
        <w:t xml:space="preserve"> </w:t>
      </w:r>
      <w:bookmarkStart w:id="18" w:name="_Hlk50465284"/>
      <w:r>
        <w:rPr>
          <w:sz w:val="22"/>
          <w:szCs w:val="22"/>
        </w:rPr>
        <w:t xml:space="preserve">Требования по срокам </w:t>
      </w:r>
      <w:bookmarkEnd w:id="15"/>
      <w:bookmarkEnd w:id="16"/>
      <w:bookmarkEnd w:id="18"/>
      <w:r>
        <w:rPr>
          <w:sz w:val="22"/>
          <w:szCs w:val="22"/>
          <w:lang w:val="ru-RU"/>
        </w:rPr>
        <w:t>поставки продукции</w:t>
      </w:r>
      <w:bookmarkEnd w:id="14"/>
      <w:r>
        <w:rPr>
          <w:sz w:val="22"/>
          <w:szCs w:val="22"/>
          <w:lang w:val="ru-RU"/>
        </w:rPr>
        <w:t xml:space="preserve"> </w:t>
      </w:r>
    </w:p>
    <w:tbl>
      <w:tblPr>
        <w:tblW w:w="13065" w:type="dxa"/>
        <w:jc w:val="left"/>
        <w:tblInd w:w="22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1"/>
        <w:gridCol w:w="2898"/>
        <w:gridCol w:w="4110"/>
        <w:gridCol w:w="5385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№ </w:t>
            </w:r>
            <w:r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Наименование продукции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Требования к началу срока поставки продукции</w:t>
            </w:r>
          </w:p>
        </w:tc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Требования к окончанию срока поставки продукции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2"/>
              <w:keepNext w:val="false"/>
              <w:widowControl w:val="false"/>
              <w:spacing w:before="40" w:after="0"/>
              <w:jc w:val="center"/>
              <w:rPr>
                <w:b/>
                <w:szCs w:val="22"/>
                <w:lang w:val="en-US"/>
              </w:rPr>
            </w:pPr>
            <w:r>
              <w:rPr>
                <w:b/>
                <w:szCs w:val="22"/>
                <w:lang w:val="en-US"/>
              </w:rPr>
              <w:t>2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2"/>
              <w:keepNext w:val="false"/>
              <w:widowControl w:val="false"/>
              <w:spacing w:before="40" w:after="0"/>
              <w:jc w:val="center"/>
              <w:rPr>
                <w:szCs w:val="22"/>
                <w:lang w:val="en-US"/>
              </w:rPr>
            </w:pPr>
            <w:r>
              <w:rPr>
                <w:b/>
                <w:szCs w:val="22"/>
                <w:lang w:val="en-US"/>
              </w:rPr>
              <w:t>3</w:t>
            </w:r>
          </w:p>
        </w:tc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2"/>
              <w:keepNext w:val="false"/>
              <w:widowControl w:val="false"/>
              <w:spacing w:before="40" w:after="0"/>
              <w:jc w:val="center"/>
              <w:rPr>
                <w:szCs w:val="22"/>
                <w:lang w:val="en-US"/>
              </w:rPr>
            </w:pPr>
            <w:r>
              <w:rPr>
                <w:b/>
                <w:szCs w:val="22"/>
                <w:lang w:val="en-US"/>
              </w:rPr>
              <w:t>4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7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Позиции в соответствии с Таблицей 2.1.1 настоящих Технических требований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с момента заключения договора поставки</w:t>
            </w:r>
          </w:p>
        </w:tc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в течение 90 календарных дней с момента начала поставки (указать при подаче ТКП)</w:t>
            </w:r>
          </w:p>
        </w:tc>
      </w:tr>
    </w:tbl>
    <w:p>
      <w:pPr>
        <w:pStyle w:val="Heading4"/>
        <w:numPr>
          <w:ilvl w:val="1"/>
          <w:numId w:val="3"/>
        </w:numPr>
        <w:spacing w:before="120" w:after="0"/>
        <w:rPr>
          <w:sz w:val="22"/>
          <w:szCs w:val="22"/>
        </w:rPr>
      </w:pPr>
      <w:bookmarkStart w:id="19" w:name="_Toc75446581"/>
      <w:bookmarkStart w:id="20" w:name="_Toc46743511"/>
      <w:bookmarkStart w:id="21" w:name="_Toc46743510_Копия_1"/>
      <w:bookmarkEnd w:id="21"/>
      <w:r>
        <w:rPr>
          <w:sz w:val="22"/>
          <w:szCs w:val="22"/>
        </w:rPr>
        <w:t xml:space="preserve">Требования к </w:t>
      </w:r>
      <w:bookmarkEnd w:id="20"/>
      <w:r>
        <w:rPr>
          <w:sz w:val="22"/>
          <w:szCs w:val="22"/>
          <w:lang w:val="ru-RU"/>
        </w:rPr>
        <w:t>качеству продукции</w:t>
      </w:r>
      <w:bookmarkEnd w:id="19"/>
    </w:p>
    <w:p>
      <w:pPr>
        <w:pStyle w:val="Heading1"/>
        <w:keepLines/>
        <w:tabs>
          <w:tab w:val="clear" w:pos="0"/>
        </w:tabs>
        <w:spacing w:before="240" w:after="0"/>
        <w:ind w:left="0" w:hanging="0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bookmarkStart w:id="22" w:name="_Toc75446582"/>
      <w:r>
        <w:rPr>
          <w:sz w:val="22"/>
          <w:szCs w:val="22"/>
        </w:rPr>
        <w:t>Таблица </w:t>
      </w:r>
      <w:r>
        <w:rPr>
          <w:sz w:val="22"/>
          <w:szCs w:val="22"/>
          <w:lang w:val="ru-RU"/>
        </w:rPr>
        <w:t>2</w:t>
      </w:r>
      <w:r>
        <w:rPr>
          <w:sz w:val="22"/>
          <w:szCs w:val="22"/>
        </w:rPr>
        <w:t>.</w:t>
      </w:r>
      <w:r>
        <w:rPr>
          <w:sz w:val="22"/>
          <w:szCs w:val="22"/>
          <w:lang w:val="ru-RU"/>
        </w:rPr>
        <w:t>2.</w:t>
      </w:r>
      <w:r>
        <w:rPr>
          <w:sz w:val="22"/>
          <w:szCs w:val="22"/>
        </w:rPr>
        <w:t xml:space="preserve"> Требования к </w:t>
      </w:r>
      <w:r>
        <w:rPr>
          <w:sz w:val="22"/>
          <w:szCs w:val="22"/>
          <w:lang w:val="ru-RU"/>
        </w:rPr>
        <w:t>продукции</w:t>
      </w:r>
      <w:bookmarkEnd w:id="22"/>
      <w:r>
        <w:rPr>
          <w:sz w:val="22"/>
          <w:szCs w:val="22"/>
        </w:rPr>
        <w:t xml:space="preserve"> </w:t>
      </w:r>
    </w:p>
    <w:p>
      <w:pPr>
        <w:pStyle w:val="Normal"/>
        <w:widowControl w:val="false"/>
        <w:tabs>
          <w:tab w:val="clear" w:pos="708"/>
          <w:tab w:val="left" w:pos="426" w:leader="none"/>
        </w:tabs>
        <w:spacing w:before="120" w:after="0"/>
        <w:jc w:val="both"/>
        <w:rPr>
          <w:rStyle w:val="Style8"/>
          <w:sz w:val="22"/>
          <w:szCs w:val="22"/>
          <w:shd w:fill="auto" w:val="clear"/>
        </w:rPr>
      </w:pPr>
      <w:r>
        <w:rPr>
          <w:b/>
          <w:bCs/>
          <w:i/>
          <w:iCs/>
          <w:sz w:val="22"/>
          <w:szCs w:val="22"/>
        </w:rPr>
        <w:t xml:space="preserve">Наименование продукции </w:t>
      </w:r>
      <w:r>
        <w:rPr>
          <w:rFonts w:eastAsia="Calibri"/>
          <w:i/>
          <w:sz w:val="22"/>
          <w:szCs w:val="22"/>
          <w:lang w:eastAsia="x-none"/>
        </w:rPr>
        <w:t>«</w:t>
      </w:r>
      <w:r>
        <w:rPr>
          <w:rFonts w:eastAsia="Calibri"/>
          <w:b/>
          <w:bCs/>
          <w:i/>
          <w:sz w:val="22"/>
          <w:szCs w:val="22"/>
          <w:lang w:eastAsia="x-none"/>
        </w:rPr>
        <w:t>Разрядники</w:t>
      </w:r>
      <w:r>
        <w:rPr>
          <w:b/>
          <w:i/>
          <w:sz w:val="22"/>
          <w:szCs w:val="22"/>
        </w:rPr>
        <w:t>»</w:t>
      </w:r>
      <w:r>
        <w:rPr>
          <w:rStyle w:val="Style8"/>
          <w:b w:val="false"/>
          <w:iCs/>
          <w:sz w:val="22"/>
          <w:szCs w:val="22"/>
        </w:rPr>
        <w:t xml:space="preserve"> </w:t>
      </w:r>
    </w:p>
    <w:tbl>
      <w:tblPr>
        <w:tblStyle w:val="affffc"/>
        <w:tblW w:w="15451" w:type="dxa"/>
        <w:jc w:val="left"/>
        <w:tblInd w:w="47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68"/>
        <w:gridCol w:w="3543"/>
        <w:gridCol w:w="3968"/>
        <w:gridCol w:w="2268"/>
        <w:gridCol w:w="2693"/>
        <w:gridCol w:w="2410"/>
      </w:tblGrid>
      <w:tr>
        <w:trPr/>
        <w:tc>
          <w:tcPr>
            <w:tcW w:w="568" w:type="dxa"/>
            <w:vMerge w:val="restart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 xml:space="preserve">№ </w:t>
            </w:r>
            <w:r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п/п</w:t>
            </w:r>
          </w:p>
        </w:tc>
        <w:tc>
          <w:tcPr>
            <w:tcW w:w="3543" w:type="dxa"/>
            <w:vMerge w:val="restart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Наименование параметра</w:t>
            </w:r>
          </w:p>
        </w:tc>
        <w:tc>
          <w:tcPr>
            <w:tcW w:w="3968" w:type="dxa"/>
            <w:vMerge w:val="restart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Требование заказчика</w:t>
            </w:r>
          </w:p>
        </w:tc>
        <w:tc>
          <w:tcPr>
            <w:tcW w:w="4961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Способ подтверждения участником соответствия требованиям</w:t>
            </w:r>
          </w:p>
        </w:tc>
        <w:tc>
          <w:tcPr>
            <w:tcW w:w="2410" w:type="dxa"/>
            <w:vMerge w:val="restart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Предложение участника по характеристикам и параметрам</w:t>
            </w:r>
          </w:p>
        </w:tc>
      </w:tr>
      <w:tr>
        <w:trPr/>
        <w:tc>
          <w:tcPr>
            <w:tcW w:w="568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543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968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226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Согласие с требованием/ указание характеристик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Предоставление подтверждающего документа или иной способ подтверждения</w:t>
            </w:r>
          </w:p>
        </w:tc>
        <w:tc>
          <w:tcPr>
            <w:tcW w:w="2410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</w:r>
          </w:p>
        </w:tc>
      </w:tr>
      <w:tr>
        <w:trPr/>
        <w:tc>
          <w:tcPr>
            <w:tcW w:w="56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6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b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354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sz w:val="22"/>
                <w:szCs w:val="22"/>
              </w:rPr>
            </w:pPr>
            <w:r>
              <w:rPr>
                <w:rFonts w:eastAsia="Times New Roman" w:cs="Times New Roman"/>
                <w:b/>
                <w:kern w:val="0"/>
                <w:sz w:val="22"/>
                <w:szCs w:val="22"/>
                <w:lang w:val="ru-RU" w:eastAsia="ru-RU" w:bidi="ar-SA"/>
              </w:rPr>
              <w:t>2</w:t>
            </w:r>
          </w:p>
        </w:tc>
        <w:tc>
          <w:tcPr>
            <w:tcW w:w="396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sz w:val="22"/>
                <w:szCs w:val="22"/>
              </w:rPr>
            </w:pPr>
            <w:r>
              <w:rPr>
                <w:rFonts w:eastAsia="Times New Roman" w:cs="Times New Roman"/>
                <w:b/>
                <w:kern w:val="0"/>
                <w:sz w:val="22"/>
                <w:szCs w:val="22"/>
                <w:lang w:val="ru-RU" w:eastAsia="ru-RU" w:bidi="ar-SA"/>
              </w:rPr>
              <w:t>3</w:t>
            </w:r>
          </w:p>
        </w:tc>
        <w:tc>
          <w:tcPr>
            <w:tcW w:w="226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sz w:val="22"/>
                <w:szCs w:val="22"/>
              </w:rPr>
            </w:pPr>
            <w:r>
              <w:rPr>
                <w:rFonts w:eastAsia="Times New Roman" w:cs="Times New Roman"/>
                <w:b/>
                <w:kern w:val="0"/>
                <w:sz w:val="22"/>
                <w:szCs w:val="22"/>
                <w:lang w:val="ru-RU" w:eastAsia="ru-RU" w:bidi="ar-SA"/>
              </w:rPr>
              <w:t>4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sz w:val="22"/>
                <w:szCs w:val="22"/>
              </w:rPr>
            </w:pPr>
            <w:r>
              <w:rPr>
                <w:rFonts w:eastAsia="Times New Roman" w:cs="Times New Roman"/>
                <w:b/>
                <w:kern w:val="0"/>
                <w:sz w:val="22"/>
                <w:szCs w:val="22"/>
                <w:lang w:val="ru-RU" w:eastAsia="ru-RU" w:bidi="ar-SA"/>
              </w:rPr>
              <w:t>5</w:t>
            </w:r>
          </w:p>
        </w:tc>
        <w:tc>
          <w:tcPr>
            <w:tcW w:w="2410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sz w:val="22"/>
                <w:szCs w:val="22"/>
              </w:rPr>
            </w:pPr>
            <w:r>
              <w:rPr>
                <w:rFonts w:eastAsia="Times New Roman" w:cs="Times New Roman"/>
                <w:b/>
                <w:kern w:val="0"/>
                <w:sz w:val="22"/>
                <w:szCs w:val="22"/>
                <w:lang w:val="ru-RU" w:eastAsia="ru-RU" w:bidi="ar-SA"/>
              </w:rPr>
              <w:t>6</w:t>
            </w:r>
          </w:p>
        </w:tc>
      </w:tr>
      <w:tr>
        <w:trPr>
          <w:trHeight w:val="168" w:hRule="atLeast"/>
        </w:trPr>
        <w:tc>
          <w:tcPr>
            <w:tcW w:w="568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6"/>
              </w:numPr>
              <w:suppressAutoHyphens w:val="true"/>
              <w:spacing w:before="60" w:after="0"/>
              <w:contextualSpacing/>
              <w:jc w:val="center"/>
              <w:rPr>
                <w:sz w:val="22"/>
                <w:szCs w:val="22"/>
              </w:rPr>
            </w:pPr>
            <w:r>
              <w:rPr>
                <w:rFonts w:cs="Times New Roman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14882" w:type="dxa"/>
            <w:gridSpan w:val="5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60" w:after="0"/>
              <w:jc w:val="left"/>
              <w:rPr>
                <w:b/>
                <w:sz w:val="22"/>
                <w:szCs w:val="22"/>
              </w:rPr>
            </w:pPr>
            <w:r>
              <w:rPr>
                <w:rFonts w:eastAsia="Times New Roman" w:cs="Times New Roman"/>
                <w:b/>
                <w:kern w:val="0"/>
                <w:sz w:val="22"/>
                <w:szCs w:val="22"/>
                <w:lang w:val="ru-RU" w:eastAsia="ru-RU" w:bidi="ar-SA"/>
              </w:rPr>
              <w:t>Требования к гарантиям</w:t>
            </w:r>
          </w:p>
        </w:tc>
      </w:tr>
      <w:tr>
        <w:trPr/>
        <w:tc>
          <w:tcPr>
            <w:tcW w:w="568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60" w:after="0"/>
              <w:ind w:left="-117" w:firstLine="142"/>
              <w:contextualSpacing/>
              <w:jc w:val="center"/>
              <w:rPr>
                <w:sz w:val="22"/>
                <w:szCs w:val="22"/>
              </w:rPr>
            </w:pPr>
            <w:r>
              <w:rPr>
                <w:rFonts w:cs="Times New Roman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54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Срок гарантии на поставляемую </w:t>
            </w:r>
            <w:r>
              <w:rPr>
                <w:rFonts w:eastAsia="Times New Roman" w:cs="Times New Roman"/>
                <w:iCs/>
                <w:kern w:val="0"/>
                <w:sz w:val="22"/>
                <w:szCs w:val="22"/>
                <w:lang w:val="ru-RU" w:eastAsia="ru-RU" w:bidi="ar-SA"/>
              </w:rPr>
              <w:t>продукцию</w:t>
            </w:r>
          </w:p>
        </w:tc>
        <w:tc>
          <w:tcPr>
            <w:tcW w:w="396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Гарантия на продукцию должна распространяться не менее 60 месяцев. Время начала исчисления гарантийного срока – с даты подписания Сторонами накладной ТОРГ-12 или УПД.</w:t>
            </w:r>
          </w:p>
        </w:tc>
        <w:tc>
          <w:tcPr>
            <w:tcW w:w="226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i/>
                <w:iCs/>
                <w:color w:val="808080"/>
                <w:kern w:val="0"/>
                <w:sz w:val="24"/>
                <w:szCs w:val="24"/>
                <w:lang w:val="ru-RU" w:eastAsia="ru-RU" w:bidi="ar-SA"/>
              </w:rPr>
              <w:t>Указание характеристик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4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i/>
                <w:iCs/>
                <w:color w:val="808080"/>
                <w:kern w:val="0"/>
                <w:sz w:val="22"/>
                <w:szCs w:val="22"/>
                <w:lang w:val="ru-RU" w:eastAsia="ru-RU" w:bidi="ar-SA"/>
              </w:rPr>
              <w:t>Указать срок гарантии на предлагаемую продукцию</w:t>
            </w:r>
          </w:p>
        </w:tc>
        <w:tc>
          <w:tcPr>
            <w:tcW w:w="2410" w:type="dxa"/>
            <w:tcBorders/>
          </w:tcPr>
          <w:p>
            <w:pPr>
              <w:pStyle w:val="Style31"/>
              <w:keepNext w:val="false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jc w:val="left"/>
              <w:outlineLvl w:val="2"/>
              <w:rPr>
                <w:rFonts w:eastAsia="Times New Roman"/>
                <w:b w:val="false"/>
                <w:sz w:val="22"/>
                <w:szCs w:val="22"/>
                <w:lang w:val="ru-RU" w:eastAsia="ru-RU"/>
              </w:rPr>
            </w:pPr>
            <w:r>
              <w:rPr>
                <w:rFonts w:eastAsia="Times New Roman" w:cs="Times New Roman"/>
                <w:b w:val="false"/>
                <w:kern w:val="0"/>
                <w:sz w:val="22"/>
                <w:szCs w:val="22"/>
                <w:lang w:val="ru-RU" w:eastAsia="ru-RU" w:bidi="ar-SA"/>
              </w:rPr>
            </w:r>
          </w:p>
        </w:tc>
      </w:tr>
      <w:tr>
        <w:trPr/>
        <w:tc>
          <w:tcPr>
            <w:tcW w:w="56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6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b/>
                <w:kern w:val="0"/>
                <w:sz w:val="22"/>
                <w:szCs w:val="22"/>
                <w:lang w:val="ru-RU" w:eastAsia="ru-RU" w:bidi="ar-SA"/>
              </w:rPr>
              <w:t>2.</w:t>
            </w:r>
          </w:p>
        </w:tc>
        <w:tc>
          <w:tcPr>
            <w:tcW w:w="14882" w:type="dxa"/>
            <w:gridSpan w:val="5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b/>
                <w:kern w:val="0"/>
                <w:sz w:val="22"/>
                <w:szCs w:val="22"/>
                <w:lang w:val="ru-RU" w:eastAsia="ru-RU" w:bidi="ar-SA"/>
              </w:rPr>
              <w:t>Требование к доставке</w:t>
            </w:r>
          </w:p>
        </w:tc>
      </w:tr>
      <w:tr>
        <w:trPr>
          <w:trHeight w:val="670" w:hRule="atLeast"/>
        </w:trPr>
        <w:tc>
          <w:tcPr>
            <w:tcW w:w="568" w:type="dxa"/>
            <w:vMerge w:val="restart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60" w:after="0"/>
              <w:ind w:right="-109" w:hanging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2.1.</w:t>
            </w:r>
          </w:p>
        </w:tc>
        <w:tc>
          <w:tcPr>
            <w:tcW w:w="354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ind w:right="145" w:hanging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Место поставки для </w:t>
            </w:r>
            <w:r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szCs w:val="22"/>
                <w:lang w:val="ru-RU" w:eastAsia="ru-RU" w:bidi="ar-SA"/>
              </w:rPr>
              <w:t>1.1.  Филиала АО «ДРСК» «Амурские электрические сети»</w:t>
            </w:r>
          </w:p>
        </w:tc>
        <w:tc>
          <w:tcPr>
            <w:tcW w:w="396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pacing w:val="-1"/>
                <w:sz w:val="22"/>
                <w:szCs w:val="22"/>
                <w:lang w:eastAsia="en-US"/>
              </w:rPr>
            </w:pPr>
            <w:r>
              <w:rPr>
                <w:rFonts w:eastAsia="Times New Roman" w:cs="Times New Roman"/>
                <w:color w:val="000000"/>
                <w:spacing w:val="-1"/>
                <w:kern w:val="0"/>
                <w:sz w:val="22"/>
                <w:szCs w:val="22"/>
                <w:lang w:val="ru-RU" w:eastAsia="en-US" w:bidi="ar-SA"/>
              </w:rPr>
              <w:t>675003, РФ, Амурская область,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Times New Roman" w:cs="Times New Roman"/>
                <w:color w:val="000000"/>
                <w:spacing w:val="-1"/>
                <w:kern w:val="0"/>
                <w:sz w:val="22"/>
                <w:szCs w:val="22"/>
                <w:lang w:val="ru-RU" w:eastAsia="en-US" w:bidi="ar-SA"/>
              </w:rPr>
              <w:t>г. Благовещенск, ул. Театральная, 179</w:t>
            </w:r>
          </w:p>
        </w:tc>
        <w:tc>
          <w:tcPr>
            <w:tcW w:w="2268" w:type="dxa"/>
            <w:vMerge w:val="restart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i/>
                <w:iCs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vMerge w:val="restart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sz w:val="22"/>
                <w:szCs w:val="22"/>
              </w:rPr>
            </w:pPr>
            <w:r>
              <w:rPr>
                <w:rFonts w:eastAsia="Times New Roman" w:cs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eastAsia="Sylfaen"/>
                <w:sz w:val="22"/>
                <w:szCs w:val="22"/>
              </w:rPr>
            </w:pPr>
            <w:r>
              <w:rPr>
                <w:rFonts w:eastAsia="Sylfaen" w:cs="Times New Roman"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eastAsia="Sylfaen"/>
                <w:sz w:val="22"/>
                <w:szCs w:val="22"/>
              </w:rPr>
            </w:pPr>
            <w:r>
              <w:rPr>
                <w:rFonts w:eastAsia="Times New Roman" w:cs="Times New Roman"/>
                <w:b/>
                <w:kern w:val="0"/>
                <w:sz w:val="22"/>
                <w:szCs w:val="22"/>
                <w:lang w:val="ru-RU" w:eastAsia="ru-RU" w:bidi="ar-SA"/>
              </w:rPr>
              <w:t>-//-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eastAsia="Sylfaen"/>
                <w:sz w:val="22"/>
                <w:szCs w:val="22"/>
              </w:rPr>
            </w:pPr>
            <w:r>
              <w:rPr>
                <w:rFonts w:eastAsia="Sylfaen" w:cs="Times New Roman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2410" w:type="dxa"/>
            <w:vMerge w:val="restart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r>
          </w:p>
        </w:tc>
      </w:tr>
      <w:tr>
        <w:trPr>
          <w:trHeight w:val="646" w:hRule="atLeast"/>
        </w:trPr>
        <w:tc>
          <w:tcPr>
            <w:tcW w:w="568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60" w:after="0"/>
              <w:ind w:right="-109" w:hanging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543" w:type="dxa"/>
            <w:tcBorders/>
          </w:tcPr>
          <w:p>
            <w:pPr>
              <w:pStyle w:val="Normal"/>
              <w:widowControl w:val="false"/>
              <w:ind w:right="145" w:hanging="0"/>
              <w:rPr>
                <w:rFonts w:ascii="Times New Roman" w:hAnsi="Times New Roman"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Место поставки для </w:t>
            </w:r>
            <w:r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1.2.</w:t>
            </w: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Ф</w:t>
            </w:r>
            <w:r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илиала АО «ДРСК» «Электрические сети ЕАО»</w:t>
            </w:r>
          </w:p>
        </w:tc>
        <w:tc>
          <w:tcPr>
            <w:tcW w:w="3968" w:type="dxa"/>
            <w:tcBorders/>
            <w:vAlign w:val="center"/>
          </w:tcPr>
          <w:p>
            <w:pPr>
              <w:pStyle w:val="Normal"/>
              <w:widowControl w:val="false"/>
              <w:ind w:right="145" w:hanging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pacing w:val="-1"/>
                <w:sz w:val="22"/>
                <w:szCs w:val="22"/>
              </w:rPr>
              <w:t>679011, Еврейская Автономная обл., г. Биробиджан, ул. Черноморская, 6</w:t>
            </w:r>
          </w:p>
        </w:tc>
        <w:tc>
          <w:tcPr>
            <w:tcW w:w="2268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i/>
                <w:i/>
                <w:iCs/>
                <w:sz w:val="22"/>
                <w:szCs w:val="22"/>
              </w:rPr>
            </w:pPr>
            <w:r>
              <w:rPr>
                <w:rFonts w:eastAsia="Times New Roman" w:cs="Times New Roman"/>
                <w:i/>
                <w:iCs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2693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sz w:val="22"/>
                <w:szCs w:val="22"/>
              </w:rPr>
            </w:pPr>
            <w:r>
              <w:rPr>
                <w:rFonts w:eastAsia="Times New Roman" w:cs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2410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r>
          </w:p>
        </w:tc>
      </w:tr>
      <w:tr>
        <w:trPr>
          <w:trHeight w:val="646" w:hRule="atLeast"/>
        </w:trPr>
        <w:tc>
          <w:tcPr>
            <w:tcW w:w="568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60" w:after="0"/>
              <w:ind w:right="-109" w:hanging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543" w:type="dxa"/>
            <w:tcBorders>
              <w:top w:val="nil"/>
            </w:tcBorders>
          </w:tcPr>
          <w:p>
            <w:pPr>
              <w:pStyle w:val="Normal"/>
              <w:widowControl w:val="false"/>
              <w:ind w:right="145" w:hanging="0"/>
              <w:rPr>
                <w:rFonts w:ascii="Times New Roman" w:hAnsi="Times New Roman"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Место поставки для </w:t>
            </w:r>
            <w:r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1.3.</w:t>
            </w: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   </w:t>
            </w:r>
            <w:r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szCs w:val="22"/>
                <w:lang w:val="ru-RU" w:eastAsia="ru-RU" w:bidi="ar-SA"/>
              </w:rPr>
              <w:t xml:space="preserve">Филиала </w:t>
            </w:r>
            <w:r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АО «ДРСК» «Южно-Якутские электрические сети»</w:t>
            </w:r>
          </w:p>
        </w:tc>
        <w:tc>
          <w:tcPr>
            <w:tcW w:w="3968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pacing w:val="-1"/>
                <w:sz w:val="22"/>
                <w:szCs w:val="22"/>
              </w:rPr>
              <w:t>678900, Республика Саха (Якутия), г. Алдан, ул. Тарабукина 60а</w:t>
            </w:r>
          </w:p>
        </w:tc>
        <w:tc>
          <w:tcPr>
            <w:tcW w:w="2268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i/>
                <w:i/>
                <w:iCs/>
                <w:sz w:val="22"/>
                <w:szCs w:val="22"/>
              </w:rPr>
            </w:pPr>
            <w:r>
              <w:rPr>
                <w:rFonts w:eastAsia="Times New Roman" w:cs="Times New Roman"/>
                <w:i/>
                <w:iCs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2693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sz w:val="22"/>
                <w:szCs w:val="22"/>
              </w:rPr>
            </w:pPr>
            <w:r>
              <w:rPr>
                <w:rFonts w:eastAsia="Times New Roman" w:cs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2410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r>
          </w:p>
        </w:tc>
      </w:tr>
      <w:tr>
        <w:trPr/>
        <w:tc>
          <w:tcPr>
            <w:tcW w:w="56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60" w:after="0"/>
              <w:ind w:right="-109" w:hanging="0"/>
              <w:jc w:val="left"/>
              <w:rPr>
                <w:b/>
                <w:sz w:val="22"/>
                <w:szCs w:val="22"/>
              </w:rPr>
            </w:pPr>
            <w:r>
              <w:rPr>
                <w:rFonts w:eastAsia="Times New Roman" w:cs="Times New Roman"/>
                <w:b/>
                <w:kern w:val="0"/>
                <w:sz w:val="22"/>
                <w:szCs w:val="22"/>
                <w:lang w:val="ru-RU" w:eastAsia="ru-RU" w:bidi="ar-SA"/>
              </w:rPr>
              <w:t>3.</w:t>
            </w:r>
          </w:p>
        </w:tc>
        <w:tc>
          <w:tcPr>
            <w:tcW w:w="14882" w:type="dxa"/>
            <w:gridSpan w:val="5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b/>
                <w:kern w:val="0"/>
                <w:sz w:val="22"/>
                <w:szCs w:val="22"/>
                <w:lang w:val="ru-RU" w:eastAsia="ru-RU" w:bidi="ar-SA"/>
              </w:rPr>
              <w:t>Требования к новизне поставляемой продукции</w:t>
            </w:r>
          </w:p>
        </w:tc>
      </w:tr>
      <w:tr>
        <w:trPr/>
        <w:tc>
          <w:tcPr>
            <w:tcW w:w="56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60" w:after="0"/>
              <w:ind w:right="-109" w:hanging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3.1.</w:t>
            </w:r>
          </w:p>
        </w:tc>
        <w:tc>
          <w:tcPr>
            <w:tcW w:w="354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ind w:right="145" w:hanging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Требования к году выпуска</w:t>
            </w:r>
          </w:p>
        </w:tc>
        <w:tc>
          <w:tcPr>
            <w:tcW w:w="396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pacing w:val="-1"/>
                <w:sz w:val="22"/>
                <w:szCs w:val="22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Продукция должна быть новой и ранее неиспользованной,</w:t>
            </w: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 изготовлена в 2026 г.</w:t>
            </w:r>
          </w:p>
        </w:tc>
        <w:tc>
          <w:tcPr>
            <w:tcW w:w="226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i/>
                <w:i/>
                <w:iCs/>
                <w:sz w:val="22"/>
                <w:szCs w:val="22"/>
              </w:rPr>
            </w:pPr>
            <w:r>
              <w:rPr>
                <w:rFonts w:eastAsia="Times New Roman" w:cs="Times New Roman"/>
                <w:i/>
                <w:iCs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sz w:val="22"/>
                <w:szCs w:val="22"/>
              </w:rPr>
            </w:pPr>
            <w:r>
              <w:rPr>
                <w:rFonts w:eastAsia="Times New Roman" w:cs="Times New Roman"/>
                <w:b/>
                <w:kern w:val="0"/>
                <w:sz w:val="22"/>
                <w:szCs w:val="22"/>
                <w:lang w:val="ru-RU" w:eastAsia="ru-RU" w:bidi="ar-SA"/>
              </w:rPr>
              <w:t>-//-</w:t>
            </w:r>
          </w:p>
        </w:tc>
        <w:tc>
          <w:tcPr>
            <w:tcW w:w="2410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r>
          </w:p>
        </w:tc>
      </w:tr>
      <w:tr>
        <w:trPr/>
        <w:tc>
          <w:tcPr>
            <w:tcW w:w="568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60" w:after="0"/>
              <w:ind w:right="-109" w:hanging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4.</w:t>
            </w:r>
          </w:p>
        </w:tc>
        <w:tc>
          <w:tcPr>
            <w:tcW w:w="14882" w:type="dxa"/>
            <w:gridSpan w:val="5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ind w:right="145" w:hanging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Применение законодательства о национальном режиме:</w:t>
            </w:r>
          </w:p>
        </w:tc>
      </w:tr>
      <w:tr>
        <w:trPr/>
        <w:tc>
          <w:tcPr>
            <w:tcW w:w="568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60" w:after="0"/>
              <w:ind w:right="-109" w:hanging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4.1.</w:t>
            </w:r>
          </w:p>
        </w:tc>
        <w:tc>
          <w:tcPr>
            <w:tcW w:w="3543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ind w:right="145" w:hanging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Происхождение поставляемой продукции</w:t>
            </w:r>
          </w:p>
        </w:tc>
        <w:tc>
          <w:tcPr>
            <w:tcW w:w="3968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В составе Коммерческого предложения Участник указывает страну и производителя продукции.</w:t>
            </w:r>
          </w:p>
        </w:tc>
        <w:tc>
          <w:tcPr>
            <w:tcW w:w="2268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i/>
                <w:i/>
                <w:iCs/>
                <w:sz w:val="22"/>
                <w:szCs w:val="22"/>
              </w:rPr>
            </w:pPr>
            <w:r>
              <w:rPr>
                <w:rStyle w:val="Annotationreference"/>
                <w:rFonts w:eastAsia="Times New Roman" w:cs="Times New Roman"/>
                <w:i/>
                <w:iCs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693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kern w:val="0"/>
                <w:lang w:eastAsia="ru-RU" w:bidi="ar-SA"/>
              </w:rPr>
            </w:pPr>
            <w:r>
              <w:rPr>
                <w:rFonts w:eastAsia="Times New Roman" w:cs="Times New Roman"/>
                <w:b/>
                <w:kern w:val="0"/>
                <w:sz w:val="22"/>
                <w:szCs w:val="22"/>
                <w:lang w:val="en-US" w:eastAsia="ru-RU" w:bidi="ar-SA"/>
              </w:rPr>
              <w:t>-//-</w:t>
            </w:r>
          </w:p>
        </w:tc>
        <w:tc>
          <w:tcPr>
            <w:tcW w:w="2410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r>
          </w:p>
        </w:tc>
      </w:tr>
    </w:tbl>
    <w:p>
      <w:pPr>
        <w:pStyle w:val="Normal"/>
        <w:tabs>
          <w:tab w:val="clear" w:pos="708"/>
          <w:tab w:val="left" w:pos="6090" w:leader="none"/>
        </w:tabs>
        <w:suppressAutoHyphens w:val="false"/>
        <w:ind w:left="360" w:hanging="0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tabs>
          <w:tab w:val="clear" w:pos="708"/>
          <w:tab w:val="left" w:pos="6090" w:leader="none"/>
        </w:tabs>
        <w:suppressAutoHyphens w:val="false"/>
        <w:ind w:left="360" w:hanging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Участник должен представить в составе заявки подробное предложение по форме, заполненной в части столбца 6 «Предложение участника по характеристикам и параметрам», Таблицы 2.2 настоящих Технических требований, без корректировки уже имеющейся в таблице информации и требований, в том числе Участником заполняется Таблица 2.3 Требования к продукции (индивидуальные требования по каждой позиции перечня продукции) в части столбцов 5-7 раздела Предложения Участника.</w:t>
      </w:r>
    </w:p>
    <w:p>
      <w:pPr>
        <w:pStyle w:val="Normal"/>
        <w:tabs>
          <w:tab w:val="clear" w:pos="708"/>
          <w:tab w:val="left" w:pos="6090" w:leader="none"/>
        </w:tabs>
        <w:suppressAutoHyphens w:val="false"/>
        <w:ind w:left="360" w:hanging="0"/>
        <w:jc w:val="both"/>
        <w:rPr>
          <w:b/>
          <w:sz w:val="22"/>
          <w:szCs w:val="22"/>
        </w:rPr>
      </w:pPr>
      <w:r>
        <w:rPr>
          <w:rFonts w:eastAsia="Calibri"/>
          <w:b/>
          <w:bCs/>
          <w:sz w:val="24"/>
          <w:szCs w:val="24"/>
          <w:lang w:val="x-none"/>
        </w:rPr>
        <w:t xml:space="preserve">       </w:t>
      </w:r>
    </w:p>
    <w:p>
      <w:pPr>
        <w:pStyle w:val="Heading1"/>
        <w:keepLines/>
        <w:numPr>
          <w:ilvl w:val="0"/>
          <w:numId w:val="3"/>
        </w:numPr>
        <w:tabs>
          <w:tab w:val="clear" w:pos="0"/>
          <w:tab w:val="left" w:pos="1134" w:leader="none"/>
        </w:tabs>
        <w:spacing w:before="0" w:after="0"/>
        <w:ind w:left="0" w:firstLine="567"/>
        <w:rPr>
          <w:sz w:val="22"/>
          <w:szCs w:val="22"/>
        </w:rPr>
      </w:pPr>
      <w:bookmarkStart w:id="23" w:name="_Toc51339699_Копия_1"/>
      <w:bookmarkStart w:id="24" w:name="_Toc46743519_Копия_1"/>
      <w:bookmarkStart w:id="25" w:name="_Toc51339699"/>
      <w:bookmarkStart w:id="26" w:name="_Toc46743519"/>
      <w:bookmarkStart w:id="27" w:name="_Toc75446583"/>
      <w:bookmarkEnd w:id="25"/>
      <w:bookmarkEnd w:id="26"/>
      <w:bookmarkEnd w:id="27"/>
      <w:r>
        <w:rPr>
          <w:sz w:val="22"/>
          <w:szCs w:val="22"/>
        </w:rPr>
        <w:t>Требования к оформлению документов заявки участника</w:t>
      </w:r>
    </w:p>
    <w:p>
      <w:pPr>
        <w:pStyle w:val="Normal"/>
        <w:ind w:right="707" w:hanging="0"/>
        <w:jc w:val="both"/>
        <w:rPr>
          <w:sz w:val="26"/>
          <w:szCs w:val="26"/>
        </w:rPr>
      </w:pPr>
      <w:r>
        <w:rPr>
          <w:sz w:val="22"/>
          <w:szCs w:val="22"/>
          <w:lang w:eastAsia="x-none"/>
        </w:rPr>
        <w:t xml:space="preserve">         </w:t>
      </w:r>
      <w:r>
        <w:rPr>
          <w:sz w:val="22"/>
          <w:szCs w:val="22"/>
          <w:lang w:eastAsia="x-none"/>
        </w:rPr>
        <w:t xml:space="preserve">3.1. </w:t>
      </w:r>
      <w:r>
        <w:rPr>
          <w:sz w:val="22"/>
          <w:szCs w:val="22"/>
        </w:rPr>
        <w:t>В составе заявки Участник должен предоставить актуальные каталоги заводов изготовителей на поставляемую продукцию, полученных из открытых источников (или у производителя).</w:t>
      </w:r>
    </w:p>
    <w:p>
      <w:pPr>
        <w:pStyle w:val="Normal"/>
        <w:ind w:right="707" w:hanging="0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Heading1"/>
        <w:keepLines/>
        <w:numPr>
          <w:ilvl w:val="0"/>
          <w:numId w:val="3"/>
        </w:numPr>
        <w:tabs>
          <w:tab w:val="clear" w:pos="0"/>
          <w:tab w:val="left" w:pos="1134" w:leader="none"/>
        </w:tabs>
        <w:spacing w:before="0" w:after="0"/>
        <w:ind w:left="0" w:firstLine="567"/>
        <w:rPr>
          <w:sz w:val="22"/>
          <w:szCs w:val="22"/>
          <w:lang w:val="ru-RU"/>
        </w:rPr>
      </w:pPr>
      <w:bookmarkStart w:id="28" w:name="_Toc53393312"/>
      <w:r>
        <w:rPr>
          <w:sz w:val="22"/>
          <w:szCs w:val="22"/>
          <w:lang w:val="ru-RU"/>
        </w:rPr>
        <w:t>Требования к документации по ценообразованию</w:t>
      </w:r>
      <w:bookmarkEnd w:id="28"/>
      <w:r>
        <w:rPr>
          <w:sz w:val="22"/>
          <w:szCs w:val="22"/>
          <w:lang w:val="ru-RU"/>
        </w:rPr>
        <w:t xml:space="preserve"> на этапе закупки</w:t>
      </w:r>
    </w:p>
    <w:p>
      <w:pPr>
        <w:pStyle w:val="Normal"/>
        <w:tabs>
          <w:tab w:val="clear" w:pos="708"/>
          <w:tab w:val="left" w:pos="1134" w:leader="none"/>
          <w:tab w:val="left" w:pos="9356" w:leader="none"/>
        </w:tabs>
        <w:ind w:right="593" w:hanging="0"/>
        <w:jc w:val="both"/>
        <w:rPr>
          <w:bCs/>
          <w:iCs/>
          <w:sz w:val="22"/>
          <w:szCs w:val="22"/>
          <w:lang w:eastAsia="x-none"/>
        </w:rPr>
      </w:pPr>
      <w:r>
        <w:rPr>
          <w:bCs/>
          <w:iCs/>
          <w:sz w:val="22"/>
          <w:szCs w:val="22"/>
          <w:lang w:eastAsia="x-none"/>
        </w:rPr>
        <w:t xml:space="preserve">        </w:t>
      </w:r>
      <w:r>
        <w:rPr>
          <w:bCs/>
          <w:iCs/>
          <w:sz w:val="22"/>
          <w:szCs w:val="22"/>
          <w:lang w:eastAsia="x-none"/>
        </w:rPr>
        <w:t>4.1. В обоснование стоимости своей заявки Участник предоставляет Коммерческое предложение по форме (с учетом прилагаемой к ней инструкции по заполнению), приведенной в Документации о закупке.</w:t>
      </w:r>
    </w:p>
    <w:p>
      <w:pPr>
        <w:pStyle w:val="Normal"/>
        <w:ind w:right="593" w:hanging="0"/>
        <w:jc w:val="both"/>
        <w:rPr>
          <w:sz w:val="22"/>
          <w:szCs w:val="22"/>
        </w:rPr>
      </w:pPr>
      <w:bookmarkStart w:id="29" w:name="_Toc75446583_Копия_1"/>
      <w:bookmarkEnd w:id="29"/>
      <w:r>
        <w:rPr>
          <w:rFonts w:ascii="Liberation Serif" w:hAnsi="Liberation Serif"/>
          <w:bCs/>
          <w:iCs/>
          <w:sz w:val="22"/>
          <w:szCs w:val="22"/>
          <w:lang w:eastAsia="x-none"/>
        </w:rPr>
        <w:t xml:space="preserve">         </w:t>
      </w:r>
      <w:r>
        <w:rPr>
          <w:rFonts w:ascii="Liberation Serif" w:hAnsi="Liberation Serif"/>
          <w:bCs/>
          <w:iCs/>
          <w:sz w:val="22"/>
          <w:szCs w:val="22"/>
          <w:lang w:eastAsia="x-none"/>
        </w:rPr>
        <w:t>4.2.</w:t>
      </w:r>
      <w:r>
        <w:rPr>
          <w:rFonts w:ascii="Liberation Serif" w:hAnsi="Liberation Serif"/>
          <w:sz w:val="22"/>
          <w:szCs w:val="22"/>
        </w:rPr>
        <w:t xml:space="preserve"> Все цены в предложении должны включать все налоги, транспортные расходы и другие обязательные платежи, стоимость всех сопутствующих работ (услуг), а также все скидки, предлагаемые участником.</w:t>
      </w:r>
      <w:bookmarkEnd w:id="23"/>
      <w:bookmarkEnd w:id="24"/>
    </w:p>
    <w:p>
      <w:pPr>
        <w:pStyle w:val="ListParagraph"/>
        <w:widowControl w:val="false"/>
        <w:tabs>
          <w:tab w:val="clear" w:pos="708"/>
          <w:tab w:val="left" w:pos="426" w:leader="none"/>
        </w:tabs>
        <w:spacing w:before="60" w:after="0"/>
        <w:contextualSpacing/>
        <w:jc w:val="both"/>
        <w:rPr>
          <w:rStyle w:val="Style8"/>
          <w:b w:val="false"/>
          <w:bCs/>
          <w:i w:val="false"/>
          <w:i w:val="false"/>
          <w:iCs/>
          <w:sz w:val="22"/>
          <w:szCs w:val="22"/>
        </w:rPr>
      </w:pPr>
      <w:r>
        <w:rPr/>
      </w:r>
    </w:p>
    <w:sectPr>
      <w:headerReference w:type="even" r:id="rId2"/>
      <w:headerReference w:type="default" r:id="rId3"/>
      <w:headerReference w:type="first" r:id="rId4"/>
      <w:type w:val="nextPage"/>
      <w:pgSz w:orient="landscape" w:w="16838" w:h="11906"/>
      <w:pgMar w:left="567" w:right="567" w:gutter="0" w:header="680" w:top="1134" w:footer="0" w:bottom="567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Arial"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  <w:font w:name="Arial Unicode MS">
    <w:charset w:val="cc"/>
    <w:family w:val="roman"/>
    <w:pitch w:val="variable"/>
  </w:font>
  <w:font w:name="Verdana">
    <w:charset w:val="cc"/>
    <w:family w:val="roman"/>
    <w:pitch w:val="variable"/>
  </w:font>
  <w:font w:name="Garamond">
    <w:charset w:val="cc"/>
    <w:family w:val="roman"/>
    <w:pitch w:val="variable"/>
  </w:font>
  <w:font w:name="Courier New">
    <w:charset w:val="cc"/>
    <w:family w:val="roman"/>
    <w:pitch w:val="variable"/>
  </w:font>
  <w:font w:name="Times New Roman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2" wp14:anchorId="71CB8A9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Header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1" path="m0,0l-2147483645,0l-2147483645,-2147483646l0,-2147483646xe" stroked="f" o:allowincell="f" style="position:absolute;margin-left:0pt;margin-top:0.05pt;width:1.1pt;height:1.1pt;mso-wrap-style:square;v-text-anchor:top;mso-position-horizontal:center;mso-position-horizontal-relative:margin" wp14:anchorId="71CB8A92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Header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0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357"/>
        </w:tabs>
        <w:ind w:left="0" w:hanging="0"/>
      </w:pPr>
      <w:rPr/>
    </w:lvl>
    <w:lvl w:ilvl="2">
      <w:start w:val="1"/>
      <w:numFmt w:val="decimal"/>
      <w:lvlText w:val="%1.%2.%3."/>
      <w:lvlJc w:val="left"/>
      <w:pPr>
        <w:tabs>
          <w:tab w:val="num" w:pos="357"/>
        </w:tabs>
        <w:ind w:left="0" w:hanging="0"/>
      </w:pPr>
      <w:rPr/>
    </w:lvl>
    <w:lvl w:ilvl="3">
      <w:start w:val="1"/>
      <w:numFmt w:val="decimal"/>
      <w:lvlText w:val="%1.%2.%3.%4."/>
      <w:lvlJc w:val="left"/>
      <w:pPr>
        <w:tabs>
          <w:tab w:val="num" w:pos="357"/>
        </w:tabs>
        <w:ind w:left="0" w:hanging="0"/>
      </w:pPr>
      <w:rPr/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0" w:hanging="0"/>
      </w:pPr>
      <w:rPr/>
    </w:lvl>
    <w:lvl w:ilvl="5">
      <w:start w:val="1"/>
      <w:numFmt w:val="decimal"/>
      <w:lvlText w:val="%1.%2.%3.%4.%5.%6."/>
      <w:lvlJc w:val="left"/>
      <w:pPr>
        <w:tabs>
          <w:tab w:val="num" w:pos="357"/>
        </w:tabs>
        <w:ind w:left="0" w:hanging="0"/>
      </w:pPr>
      <w:rPr/>
    </w:lvl>
    <w:lvl w:ilvl="6">
      <w:start w:val="1"/>
      <w:numFmt w:val="decimal"/>
      <w:lvlText w:val="%1.%2.%3.%4.%5.%6.%7."/>
      <w:lvlJc w:val="left"/>
      <w:pPr>
        <w:tabs>
          <w:tab w:val="num" w:pos="357"/>
        </w:tabs>
        <w:ind w:left="0" w:hanging="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357"/>
        </w:tabs>
        <w:ind w:left="0" w:hanging="0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357"/>
        </w:tabs>
        <w:ind w:left="0" w:hanging="0"/>
      </w:pPr>
      <w:rPr/>
    </w:lvl>
  </w:abstractNum>
  <w:abstractNum w:abstractNumId="2">
    <w:lvl w:ilvl="0">
      <w:start w:val="4"/>
      <w:numFmt w:val="bullet"/>
      <w:lvlText w:val="-"/>
      <w:lvlJc w:val="left"/>
      <w:pPr>
        <w:tabs>
          <w:tab w:val="num" w:pos="0"/>
        </w:tabs>
        <w:ind w:left="-207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513"/>
        </w:tabs>
        <w:ind w:left="51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233"/>
        </w:tabs>
        <w:ind w:left="123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1953"/>
        </w:tabs>
        <w:ind w:left="195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673"/>
        </w:tabs>
        <w:ind w:left="267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393"/>
        </w:tabs>
        <w:ind w:left="339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113"/>
        </w:tabs>
        <w:ind w:left="411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4833"/>
        </w:tabs>
        <w:ind w:left="483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553"/>
        </w:tabs>
        <w:ind w:left="5553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5038" w:hanging="360"/>
      </w:pPr>
      <w:rPr>
        <w:smallCaps w:val="false"/>
        <w:caps w:val="false"/>
        <w:dstrike w:val="false"/>
        <w:strike w:val="false"/>
        <w:vertAlign w:val="baseline"/>
        <w:position w:val="0"/>
        <w:sz w:val="22"/>
        <w:sz w:val="22"/>
        <w:spacing w:val="0"/>
        <w:i w:val="false"/>
        <w:u w:val="none"/>
        <w:b/>
        <w:kern w:val="0"/>
        <w:effect w:val="none"/>
        <w:szCs w:val="22"/>
        <w:iCs w:val="false"/>
        <w:bCs w:val="false"/>
        <w:em w:val="none"/>
        <w:vanish w:val="false"/>
        <w:rFonts w:ascii="Times New Roman" w:hAnsi="Times New Roman" w:cs="Times New Roman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sz w:val="24"/>
        <w:i w:val="false"/>
        <w:b/>
        <w:szCs w:val="24"/>
        <w:iCs/>
        <w:b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1134" w:hanging="1134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1134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134" w:hanging="1134"/>
      </w:pPr>
      <w:rPr/>
    </w:lvl>
    <w:lvl w:ilvl="3">
      <w:start w:val="1"/>
      <w:numFmt w:val="russianLower"/>
      <w:lvlText w:val="(%4)"/>
      <w:lvlJc w:val="left"/>
      <w:pPr>
        <w:tabs>
          <w:tab w:val="num" w:pos="0"/>
        </w:tabs>
        <w:ind w:left="1985" w:hanging="567"/>
      </w:pPr>
      <w:rPr/>
    </w:lvl>
    <w:lvl w:ilvl="4">
      <w:start w:val="1"/>
      <w:numFmt w:val="bullet"/>
      <w:lvlText w:val="–"/>
      <w:lvlJc w:val="left"/>
      <w:pPr>
        <w:tabs>
          <w:tab w:val="num" w:pos="0"/>
        </w:tabs>
        <w:ind w:left="2268" w:hanging="567"/>
      </w:pPr>
      <w:rPr>
        <w:rFonts w:ascii="Times New Roman" w:hAnsi="Times New Roman" w:cs="Times New Roman" w:hint="default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34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701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134" w:hanging="0"/>
      </w:pPr>
      <w:rPr/>
    </w:lvl>
  </w:abstractNum>
  <w:abstractNum w:abstractNumId="5">
    <w:lvl w:ilvl="0">
      <w:start w:val="1"/>
      <w:numFmt w:val="decimal"/>
      <w:lvlText w:val="1.%1"/>
      <w:lvlJc w:val="left"/>
      <w:pPr>
        <w:tabs>
          <w:tab w:val="num" w:pos="0"/>
        </w:tabs>
        <w:ind w:left="1429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9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9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9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9" w:hanging="180"/>
      </w:pPr>
      <w:rPr/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2"/>
        <w:b/>
        <w:szCs w:val="22"/>
        <w:bCs w:val="fals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858" w:hanging="432"/>
      </w:pPr>
      <w:rPr>
        <w:sz w:val="22"/>
        <w:b w:val="false"/>
        <w:szCs w:val="22"/>
        <w:b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8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uiPriority="99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iPriority="99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99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99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uiPriority="99" w:semiHidden="1" w:unhideWhenUsed="1"/>
    <w:lsdException w:name="HTML Top of Form" w:semiHidden="1" w:unhideWhenUsed="1"/>
    <w:lsdException w:name="HTML Bottom of Form" w:semiHidden="1" w:unhideWhenUsed="1"/>
    <w:lsdException w:name="Normal (Web)" w:uiPriority="99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uiPriority="99" w:semiHidden="1" w:unhideWhenUsed="1"/>
    <w:lsdException w:name="No List" w:uiPriority="99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 w:semiHidden="1" w:unhideWhenUsed="1"/>
    <w:lsdException w:name="Table Grid" w:uiPriority="39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166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8"/>
      <w:lang w:val="ru-RU" w:eastAsia="ru-RU" w:bidi="ar-SA"/>
    </w:rPr>
  </w:style>
  <w:style w:type="paragraph" w:styleId="Heading1">
    <w:name w:val="Heading 1"/>
    <w:basedOn w:val="Heading3"/>
    <w:next w:val="Normal"/>
    <w:link w:val="1"/>
    <w:qFormat/>
    <w:rsid w:val="00353a27"/>
    <w:pPr>
      <w:outlineLvl w:val="0"/>
    </w:pPr>
    <w:rPr>
      <w:sz w:val="28"/>
      <w:szCs w:val="28"/>
    </w:rPr>
  </w:style>
  <w:style w:type="paragraph" w:styleId="Heading2">
    <w:name w:val="Heading 2"/>
    <w:basedOn w:val="Heading4"/>
    <w:next w:val="Normal"/>
    <w:link w:val="2"/>
    <w:qFormat/>
    <w:rsid w:val="00ea61a8"/>
    <w:pPr>
      <w:outlineLvl w:val="1"/>
    </w:pPr>
    <w:rPr/>
  </w:style>
  <w:style w:type="paragraph" w:styleId="Heading3">
    <w:name w:val="Heading 3"/>
    <w:basedOn w:val="Normal"/>
    <w:next w:val="Normal"/>
    <w:link w:val="3"/>
    <w:autoRedefine/>
    <w:qFormat/>
    <w:rsid w:val="00035e96"/>
    <w:pPr>
      <w:keepNext w:val="true"/>
      <w:tabs>
        <w:tab w:val="clear" w:pos="708"/>
        <w:tab w:val="left" w:pos="0" w:leader="none"/>
      </w:tabs>
      <w:spacing w:before="120" w:after="60"/>
      <w:ind w:left="1224" w:hanging="504"/>
      <w:outlineLvl w:val="2"/>
    </w:pPr>
    <w:rPr>
      <w:rFonts w:eastAsia="Calibri"/>
      <w:b/>
      <w:sz w:val="24"/>
      <w:szCs w:val="24"/>
      <w:lang w:val="x-none" w:eastAsia="x-none"/>
    </w:rPr>
  </w:style>
  <w:style w:type="paragraph" w:styleId="Heading4">
    <w:name w:val="Heading 4"/>
    <w:basedOn w:val="Heading3"/>
    <w:next w:val="Normal"/>
    <w:link w:val="4"/>
    <w:qFormat/>
    <w:rsid w:val="006629c9"/>
    <w:pPr>
      <w:outlineLvl w:val="3"/>
    </w:pPr>
    <w:rPr>
      <w:bCs/>
    </w:rPr>
  </w:style>
  <w:style w:type="paragraph" w:styleId="Heading5">
    <w:name w:val="Heading 5"/>
    <w:basedOn w:val="Normal"/>
    <w:next w:val="Normal"/>
    <w:link w:val="5"/>
    <w:uiPriority w:val="9"/>
    <w:qFormat/>
    <w:rsid w:val="0076353a"/>
    <w:pPr>
      <w:spacing w:before="240" w:after="60"/>
      <w:outlineLvl w:val="4"/>
    </w:pPr>
    <w:rPr>
      <w:b/>
      <w:bCs/>
      <w:i/>
      <w:iCs/>
      <w:sz w:val="26"/>
      <w:szCs w:val="26"/>
      <w:lang w:val="x-none" w:eastAsia="x-none"/>
    </w:rPr>
  </w:style>
  <w:style w:type="paragraph" w:styleId="Heading6">
    <w:name w:val="Heading 6"/>
    <w:basedOn w:val="Normal"/>
    <w:next w:val="Normal"/>
    <w:link w:val="6"/>
    <w:uiPriority w:val="9"/>
    <w:qFormat/>
    <w:rsid w:val="00d22f6d"/>
    <w:pPr>
      <w:keepNext w:val="true"/>
      <w:keepLines/>
      <w:spacing w:before="200" w:after="0"/>
      <w:outlineLvl w:val="5"/>
    </w:pPr>
    <w:rPr>
      <w:rFonts w:ascii="Cambria" w:hAnsi="Cambria"/>
      <w:i/>
      <w:iCs/>
      <w:color w:val="243F60"/>
      <w:sz w:val="20"/>
      <w:szCs w:val="20"/>
      <w:lang w:val="x-none" w:eastAsia="x-none"/>
    </w:rPr>
  </w:style>
  <w:style w:type="paragraph" w:styleId="Heading7">
    <w:name w:val="Heading 7"/>
    <w:basedOn w:val="Normal"/>
    <w:next w:val="Normal"/>
    <w:link w:val="7"/>
    <w:uiPriority w:val="9"/>
    <w:qFormat/>
    <w:rsid w:val="00d22f6d"/>
    <w:pPr>
      <w:keepNext w:val="true"/>
      <w:keepLines/>
      <w:spacing w:before="200" w:after="0"/>
      <w:outlineLvl w:val="6"/>
    </w:pPr>
    <w:rPr>
      <w:rFonts w:ascii="Cambria" w:hAnsi="Cambria"/>
      <w:i/>
      <w:iCs/>
      <w:color w:val="404040"/>
      <w:sz w:val="20"/>
      <w:szCs w:val="20"/>
      <w:lang w:val="x-none" w:eastAsia="x-none"/>
    </w:rPr>
  </w:style>
  <w:style w:type="paragraph" w:styleId="Heading8">
    <w:name w:val="Heading 8"/>
    <w:basedOn w:val="Normal"/>
    <w:next w:val="Normal"/>
    <w:link w:val="8"/>
    <w:uiPriority w:val="9"/>
    <w:qFormat/>
    <w:rsid w:val="00d22f6d"/>
    <w:pPr>
      <w:keepNext w:val="true"/>
      <w:keepLines/>
      <w:spacing w:before="200" w:after="0"/>
      <w:outlineLvl w:val="7"/>
    </w:pPr>
    <w:rPr>
      <w:rFonts w:ascii="Cambria" w:hAnsi="Cambria"/>
      <w:color w:val="4F81BD"/>
      <w:sz w:val="20"/>
      <w:szCs w:val="20"/>
      <w:lang w:val="x-none" w:eastAsia="x-none"/>
    </w:rPr>
  </w:style>
  <w:style w:type="paragraph" w:styleId="Heading9">
    <w:name w:val="Heading 9"/>
    <w:basedOn w:val="Normal"/>
    <w:next w:val="Normal"/>
    <w:link w:val="9"/>
    <w:uiPriority w:val="9"/>
    <w:qFormat/>
    <w:rsid w:val="0076353a"/>
    <w:pPr>
      <w:spacing w:before="240" w:after="60"/>
      <w:outlineLvl w:val="8"/>
    </w:pPr>
    <w:rPr>
      <w:rFonts w:ascii="Arial" w:hAnsi="Arial"/>
      <w:sz w:val="22"/>
      <w:szCs w:val="22"/>
      <w:lang w:val="x-none" w:eastAsia="x-none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" w:customStyle="1">
    <w:name w:val="Символ сноски"/>
    <w:qFormat/>
    <w:rsid w:val="00d561d9"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Pagenumber">
    <w:name w:val="page number"/>
    <w:basedOn w:val="DefaultParagraphFont"/>
    <w:qFormat/>
    <w:rsid w:val="006c2f3f"/>
    <w:rPr/>
  </w:style>
  <w:style w:type="character" w:styleId="Hyperlink">
    <w:name w:val="Hyperlink"/>
    <w:uiPriority w:val="99"/>
    <w:rsid w:val="006c2f3f"/>
    <w:rPr>
      <w:color w:val="0000FF"/>
      <w:u w:val="single"/>
    </w:rPr>
  </w:style>
  <w:style w:type="character" w:styleId="Annotationreference">
    <w:name w:val="annotation reference"/>
    <w:qFormat/>
    <w:rPr>
      <w:sz w:val="16"/>
      <w:szCs w:val="16"/>
    </w:rPr>
  </w:style>
  <w:style w:type="character" w:styleId="Strong1" w:customStyle="1">
    <w:name w:val="Strong1"/>
    <w:qFormat/>
    <w:rsid w:val="00165965"/>
    <w:rPr>
      <w:b/>
      <w:bCs/>
    </w:rPr>
  </w:style>
  <w:style w:type="character" w:styleId="6" w:customStyle="1">
    <w:name w:val="Заголовок 6 Знак"/>
    <w:uiPriority w:val="9"/>
    <w:qFormat/>
    <w:rsid w:val="00d22f6d"/>
    <w:rPr>
      <w:rFonts w:ascii="Cambria" w:hAnsi="Cambria"/>
      <w:i/>
      <w:iCs/>
      <w:color w:val="243F60"/>
      <w:lang w:val="x-none" w:eastAsia="x-none"/>
    </w:rPr>
  </w:style>
  <w:style w:type="character" w:styleId="7" w:customStyle="1">
    <w:name w:val="Заголовок 7 Знак"/>
    <w:uiPriority w:val="9"/>
    <w:qFormat/>
    <w:rsid w:val="00d22f6d"/>
    <w:rPr>
      <w:rFonts w:ascii="Cambria" w:hAnsi="Cambria"/>
      <w:i/>
      <w:iCs/>
      <w:color w:val="404040"/>
      <w:lang w:val="x-none" w:eastAsia="x-none"/>
    </w:rPr>
  </w:style>
  <w:style w:type="character" w:styleId="8" w:customStyle="1">
    <w:name w:val="Заголовок 8 Знак"/>
    <w:uiPriority w:val="9"/>
    <w:qFormat/>
    <w:rsid w:val="00d22f6d"/>
    <w:rPr>
      <w:rFonts w:ascii="Cambria" w:hAnsi="Cambria"/>
      <w:color w:val="4F81BD"/>
      <w:lang w:val="x-none" w:eastAsia="x-none"/>
    </w:rPr>
  </w:style>
  <w:style w:type="character" w:styleId="1" w:customStyle="1">
    <w:name w:val="Заголовок 1 Знак"/>
    <w:qFormat/>
    <w:rsid w:val="00353a27"/>
    <w:rPr>
      <w:rFonts w:eastAsia="Calibri"/>
      <w:b/>
      <w:sz w:val="28"/>
      <w:szCs w:val="28"/>
      <w:lang w:val="x-none" w:eastAsia="x-none"/>
    </w:rPr>
  </w:style>
  <w:style w:type="character" w:styleId="2" w:customStyle="1">
    <w:name w:val="Заголовок 2 Знак"/>
    <w:qFormat/>
    <w:rsid w:val="00ea61a8"/>
    <w:rPr>
      <w:rFonts w:eastAsia="Calibri"/>
      <w:b/>
      <w:bCs/>
      <w:sz w:val="24"/>
      <w:szCs w:val="24"/>
      <w:lang w:val="x-none" w:eastAsia="x-none"/>
    </w:rPr>
  </w:style>
  <w:style w:type="character" w:styleId="3" w:customStyle="1">
    <w:name w:val="Заголовок 3 Знак"/>
    <w:qFormat/>
    <w:rsid w:val="00035e96"/>
    <w:rPr>
      <w:rFonts w:eastAsia="Calibri"/>
      <w:b/>
      <w:sz w:val="24"/>
      <w:szCs w:val="24"/>
      <w:lang w:val="x-none" w:eastAsia="x-none"/>
    </w:rPr>
  </w:style>
  <w:style w:type="character" w:styleId="4" w:customStyle="1">
    <w:name w:val="Заголовок 4 Знак"/>
    <w:qFormat/>
    <w:rsid w:val="006629c9"/>
    <w:rPr>
      <w:rFonts w:eastAsia="Calibri"/>
      <w:b/>
      <w:bCs/>
      <w:sz w:val="24"/>
      <w:szCs w:val="24"/>
      <w:lang w:val="x-none" w:eastAsia="x-none"/>
    </w:rPr>
  </w:style>
  <w:style w:type="character" w:styleId="5" w:customStyle="1">
    <w:name w:val="Заголовок 5 Знак"/>
    <w:uiPriority w:val="9"/>
    <w:qFormat/>
    <w:rsid w:val="00d22f6d"/>
    <w:rPr>
      <w:b/>
      <w:bCs/>
      <w:i/>
      <w:iCs/>
      <w:sz w:val="26"/>
      <w:szCs w:val="26"/>
    </w:rPr>
  </w:style>
  <w:style w:type="character" w:styleId="9" w:customStyle="1">
    <w:name w:val="Заголовок 9 Знак"/>
    <w:uiPriority w:val="9"/>
    <w:qFormat/>
    <w:rsid w:val="00d22f6d"/>
    <w:rPr>
      <w:rFonts w:ascii="Arial" w:hAnsi="Arial" w:cs="Arial"/>
      <w:sz w:val="22"/>
      <w:szCs w:val="22"/>
    </w:rPr>
  </w:style>
  <w:style w:type="character" w:styleId="Style1" w:customStyle="1">
    <w:name w:val="Название Знак"/>
    <w:link w:val="16"/>
    <w:uiPriority w:val="10"/>
    <w:qFormat/>
    <w:rsid w:val="00d22f6d"/>
    <w:rPr>
      <w:sz w:val="28"/>
    </w:rPr>
  </w:style>
  <w:style w:type="character" w:styleId="Style2" w:customStyle="1">
    <w:name w:val="Подзаголовок Знак"/>
    <w:uiPriority w:val="11"/>
    <w:qFormat/>
    <w:rsid w:val="00d22f6d"/>
    <w:rPr>
      <w:rFonts w:ascii="Cambria" w:hAnsi="Cambria"/>
      <w:i/>
      <w:iCs/>
      <w:color w:val="4F81BD"/>
      <w:spacing w:val="15"/>
      <w:sz w:val="24"/>
      <w:szCs w:val="24"/>
      <w:lang w:val="x-none" w:eastAsia="x-none"/>
    </w:rPr>
  </w:style>
  <w:style w:type="character" w:styleId="Emphasis">
    <w:name w:val="Emphasis"/>
    <w:uiPriority w:val="20"/>
    <w:qFormat/>
    <w:rsid w:val="00d22f6d"/>
    <w:rPr>
      <w:i/>
      <w:iCs/>
    </w:rPr>
  </w:style>
  <w:style w:type="character" w:styleId="21" w:customStyle="1">
    <w:name w:val="Цитата 2 Знак"/>
    <w:link w:val="Quote"/>
    <w:uiPriority w:val="29"/>
    <w:qFormat/>
    <w:rsid w:val="00d22f6d"/>
    <w:rPr>
      <w:rFonts w:ascii="Calibri" w:hAnsi="Calibri" w:eastAsia="Calibri"/>
      <w:i/>
      <w:iCs/>
      <w:color w:val="000000"/>
      <w:lang w:val="x-none" w:eastAsia="x-none"/>
    </w:rPr>
  </w:style>
  <w:style w:type="character" w:styleId="Style3" w:customStyle="1">
    <w:name w:val="Выделенная цитата Знак"/>
    <w:link w:val="IntenseQuote"/>
    <w:uiPriority w:val="30"/>
    <w:qFormat/>
    <w:rsid w:val="00d22f6d"/>
    <w:rPr>
      <w:rFonts w:ascii="Calibri" w:hAnsi="Calibri" w:eastAsia="Calibri"/>
      <w:b/>
      <w:bCs/>
      <w:i/>
      <w:iCs/>
      <w:color w:val="4F81BD"/>
      <w:lang w:val="x-none" w:eastAsia="x-none"/>
    </w:rPr>
  </w:style>
  <w:style w:type="character" w:styleId="SubtleEmphasis">
    <w:name w:val="Subtle Emphasis"/>
    <w:uiPriority w:val="19"/>
    <w:qFormat/>
    <w:rsid w:val="00d22f6d"/>
    <w:rPr>
      <w:i/>
      <w:iCs/>
      <w:color w:val="808080"/>
    </w:rPr>
  </w:style>
  <w:style w:type="character" w:styleId="IntenseEmphasis">
    <w:name w:val="Intense Emphasis"/>
    <w:uiPriority w:val="21"/>
    <w:qFormat/>
    <w:rsid w:val="00d22f6d"/>
    <w:rPr>
      <w:b/>
      <w:bCs/>
      <w:i/>
      <w:iCs/>
      <w:color w:val="4F81BD"/>
    </w:rPr>
  </w:style>
  <w:style w:type="character" w:styleId="SubtleReference">
    <w:name w:val="Subtle Reference"/>
    <w:uiPriority w:val="31"/>
    <w:qFormat/>
    <w:rsid w:val="00d22f6d"/>
    <w:rPr>
      <w:smallCaps/>
      <w:color w:val="C0504D"/>
      <w:u w:val="single"/>
    </w:rPr>
  </w:style>
  <w:style w:type="character" w:styleId="IntenseReference">
    <w:name w:val="Intense Reference"/>
    <w:uiPriority w:val="32"/>
    <w:qFormat/>
    <w:rsid w:val="00d22f6d"/>
    <w:rPr>
      <w:b/>
      <w:bCs/>
      <w:smallCaps/>
      <w:color w:val="C0504D"/>
      <w:spacing w:val="5"/>
      <w:u w:val="single"/>
    </w:rPr>
  </w:style>
  <w:style w:type="character" w:styleId="BookTitle">
    <w:name w:val="Book Title"/>
    <w:uiPriority w:val="33"/>
    <w:qFormat/>
    <w:rsid w:val="00d22f6d"/>
    <w:rPr>
      <w:b/>
      <w:bCs/>
      <w:smallCaps/>
      <w:spacing w:val="5"/>
    </w:rPr>
  </w:style>
  <w:style w:type="character" w:styleId="Style4" w:customStyle="1">
    <w:name w:val="Электронная подпись Знак"/>
    <w:link w:val="E-mailSignature"/>
    <w:uiPriority w:val="99"/>
    <w:qFormat/>
    <w:rsid w:val="00d22f6d"/>
    <w:rPr>
      <w:rFonts w:eastAsia="Calibri"/>
      <w:sz w:val="24"/>
      <w:szCs w:val="24"/>
    </w:rPr>
  </w:style>
  <w:style w:type="character" w:styleId="11" w:customStyle="1">
    <w:name w:val="Подпункт Знак1"/>
    <w:link w:val="Style25"/>
    <w:qFormat/>
    <w:locked/>
    <w:rsid w:val="00d22f6d"/>
    <w:rPr>
      <w:sz w:val="28"/>
    </w:rPr>
  </w:style>
  <w:style w:type="character" w:styleId="Style5" w:customStyle="1">
    <w:name w:val="Текст сноски Знак"/>
    <w:uiPriority w:val="99"/>
    <w:qFormat/>
    <w:rsid w:val="00d22f6d"/>
    <w:rPr/>
  </w:style>
  <w:style w:type="character" w:styleId="Style6" w:customStyle="1">
    <w:name w:val="Основной текст Знак"/>
    <w:uiPriority w:val="99"/>
    <w:qFormat/>
    <w:rsid w:val="004459a5"/>
    <w:rPr>
      <w:sz w:val="28"/>
      <w:szCs w:val="28"/>
    </w:rPr>
  </w:style>
  <w:style w:type="character" w:styleId="Blk" w:customStyle="1">
    <w:name w:val="blk"/>
    <w:qFormat/>
    <w:rsid w:val="00431ace"/>
    <w:rPr/>
  </w:style>
  <w:style w:type="character" w:styleId="Style7" w:customStyle="1">
    <w:name w:val="Абзац списка Знак"/>
    <w:link w:val="ListParagraph"/>
    <w:uiPriority w:val="34"/>
    <w:qFormat/>
    <w:locked/>
    <w:rsid w:val="00310eb4"/>
    <w:rPr>
      <w:rFonts w:eastAsia="Calibri"/>
      <w:sz w:val="24"/>
      <w:szCs w:val="24"/>
    </w:rPr>
  </w:style>
  <w:style w:type="character" w:styleId="Style8" w:customStyle="1">
    <w:name w:val="комментарий"/>
    <w:qFormat/>
    <w:rsid w:val="0025139e"/>
    <w:rPr>
      <w:b/>
      <w:i/>
      <w:shd w:fill="FFFF99" w:val="clear"/>
    </w:rPr>
  </w:style>
  <w:style w:type="character" w:styleId="Style9" w:customStyle="1">
    <w:name w:val="Подподпункт Знак"/>
    <w:link w:val="Style33"/>
    <w:qFormat/>
    <w:locked/>
    <w:rsid w:val="0025139e"/>
    <w:rPr>
      <w:sz w:val="26"/>
      <w:szCs w:val="26"/>
    </w:rPr>
  </w:style>
  <w:style w:type="character" w:styleId="31" w:customStyle="1">
    <w:name w:val="УРОВЕНЬ_Абзац_тип3 Знак"/>
    <w:link w:val="36"/>
    <w:qFormat/>
    <w:rsid w:val="00b56f46"/>
    <w:rPr>
      <w:rFonts w:eastAsia="Calibri"/>
      <w:sz w:val="26"/>
      <w:szCs w:val="28"/>
      <w:lang w:eastAsia="en-US"/>
    </w:rPr>
  </w:style>
  <w:style w:type="character" w:styleId="Style10" w:customStyle="1">
    <w:name w:val="Верхний колонтитул Знак"/>
    <w:uiPriority w:val="99"/>
    <w:qFormat/>
    <w:rsid w:val="002f31af"/>
    <w:rPr>
      <w:sz w:val="24"/>
      <w:szCs w:val="24"/>
    </w:rPr>
  </w:style>
  <w:style w:type="character" w:styleId="Style11" w:customStyle="1">
    <w:name w:val="Текст примечания Знак"/>
    <w:link w:val="Annotationtext"/>
    <w:uiPriority w:val="99"/>
    <w:semiHidden/>
    <w:qFormat/>
    <w:rsid w:val="00dc0f7d"/>
    <w:rPr/>
  </w:style>
  <w:style w:type="character" w:styleId="Style12" w:customStyle="1">
    <w:name w:val="Текст концевой сноски Знак"/>
    <w:basedOn w:val="DefaultParagraphFont"/>
    <w:qFormat/>
    <w:rsid w:val="003879d4"/>
    <w:rPr/>
  </w:style>
  <w:style w:type="character" w:styleId="Style13" w:customStyle="1">
    <w:name w:val="Символ концевой сноски"/>
    <w:qFormat/>
    <w:rsid w:val="003879d4"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22" w:customStyle="1">
    <w:name w:val="Пункт2 Знак"/>
    <w:link w:val="24"/>
    <w:qFormat/>
    <w:rsid w:val="00de52bc"/>
    <w:rPr>
      <w:b/>
      <w:sz w:val="28"/>
    </w:rPr>
  </w:style>
  <w:style w:type="character" w:styleId="12" w:customStyle="1">
    <w:name w:val="УРОВЕНЬ_1. Знак"/>
    <w:link w:val="110"/>
    <w:qFormat/>
    <w:rsid w:val="004a17ae"/>
    <w:rPr>
      <w:rFonts w:eastAsia="Calibri"/>
      <w:caps/>
      <w:sz w:val="28"/>
      <w:szCs w:val="28"/>
      <w:lang w:eastAsia="en-US"/>
    </w:rPr>
  </w:style>
  <w:style w:type="character" w:styleId="13" w:customStyle="1">
    <w:name w:val="Неразрешенное упоминание1"/>
    <w:basedOn w:val="DefaultParagraphFont"/>
    <w:uiPriority w:val="99"/>
    <w:semiHidden/>
    <w:unhideWhenUsed/>
    <w:qFormat/>
    <w:rsid w:val="00c36f30"/>
    <w:rPr>
      <w:color w:val="605E5C"/>
      <w:shd w:fill="E1DFDD" w:val="clear"/>
    </w:rPr>
  </w:style>
  <w:style w:type="character" w:styleId="32" w:customStyle="1">
    <w:name w:val="Основной текст с отступом 3 Знак"/>
    <w:link w:val="BodyTextIndent3"/>
    <w:qFormat/>
    <w:rsid w:val="00c36f30"/>
    <w:rPr>
      <w:sz w:val="16"/>
      <w:szCs w:val="16"/>
    </w:rPr>
  </w:style>
  <w:style w:type="character" w:styleId="Markedcontent" w:customStyle="1">
    <w:name w:val="markedcontent"/>
    <w:basedOn w:val="DefaultParagraphFont"/>
    <w:qFormat/>
    <w:rsid w:val="00a33766"/>
    <w:rPr/>
  </w:style>
  <w:style w:type="character" w:styleId="Style14" w:customStyle="1">
    <w:name w:val="Основной текст с отступом Знак"/>
    <w:basedOn w:val="DefaultParagraphFont"/>
    <w:qFormat/>
    <w:rsid w:val="00730aab"/>
    <w:rPr>
      <w:sz w:val="24"/>
      <w:szCs w:val="24"/>
    </w:rPr>
  </w:style>
  <w:style w:type="character" w:styleId="14" w:customStyle="1">
    <w:name w:val="Пункт Знак1"/>
    <w:link w:val="Style30"/>
    <w:qFormat/>
    <w:rsid w:val="000d70e6"/>
    <w:rPr>
      <w:rFonts w:ascii="Arial" w:hAnsi="Arial"/>
      <w:b/>
      <w:i/>
      <w:sz w:val="28"/>
    </w:rPr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0d70e6"/>
    <w:rPr>
      <w:rFonts w:ascii="Tahoma" w:hAnsi="Tahoma" w:cs="Tahoma"/>
      <w:sz w:val="16"/>
      <w:szCs w:val="16"/>
    </w:rPr>
  </w:style>
  <w:style w:type="character" w:styleId="Style16" w:customStyle="1">
    <w:name w:val="Тема примечания Знак"/>
    <w:basedOn w:val="Style11"/>
    <w:link w:val="Annotationsubject"/>
    <w:uiPriority w:val="99"/>
    <w:semiHidden/>
    <w:qFormat/>
    <w:rsid w:val="000d70e6"/>
    <w:rPr>
      <w:b/>
      <w:bCs/>
    </w:rPr>
  </w:style>
  <w:style w:type="character" w:styleId="Style17" w:customStyle="1">
    <w:name w:val="Символ нумерации"/>
    <w:qFormat/>
    <w:rPr/>
  </w:style>
  <w:style w:type="character" w:styleId="Linenumber">
    <w:name w:val="line number"/>
    <w:qFormat/>
    <w:rPr/>
  </w:style>
  <w:style w:type="character" w:styleId="Style18" w:customStyle="1">
    <w:name w:val="Маркеры"/>
    <w:qFormat/>
    <w:rPr>
      <w:rFonts w:ascii="OpenSymbol" w:hAnsi="OpenSymbol" w:eastAsia="OpenSymbol" w:cs="OpenSymbol"/>
    </w:rPr>
  </w:style>
  <w:style w:type="character" w:styleId="Strong">
    <w:name w:val="Strong"/>
    <w:qFormat/>
    <w:rPr>
      <w:b/>
      <w:bCs/>
    </w:rPr>
  </w:style>
  <w:style w:type="paragraph" w:styleId="Style19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link w:val="Style6"/>
    <w:uiPriority w:val="99"/>
    <w:rsid w:val="0076353a"/>
    <w:pPr>
      <w:spacing w:before="0" w:after="12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WenQuanYi Zen Hei Sharp" w:cs="Lohit Devanagari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heading1">
    <w:name w:val="index heading1"/>
    <w:basedOn w:val="Title"/>
    <w:qFormat/>
    <w:pPr/>
    <w:rPr/>
  </w:style>
  <w:style w:type="paragraph" w:styleId="Caption11" w:customStyle="1">
    <w:name w:val="caption1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heading11" w:customStyle="1">
    <w:name w:val="index heading11"/>
    <w:basedOn w:val="Title"/>
    <w:qFormat/>
    <w:pPr/>
    <w:rPr/>
  </w:style>
  <w:style w:type="paragraph" w:styleId="Style21" w:customStyle="1">
    <w:name w:val="Название раздела инструкции"/>
    <w:basedOn w:val="Normal"/>
    <w:autoRedefine/>
    <w:qFormat/>
    <w:rsid w:val="00275328"/>
    <w:pPr>
      <w:jc w:val="center"/>
    </w:pPr>
    <w:rPr>
      <w:b/>
    </w:rPr>
  </w:style>
  <w:style w:type="paragraph" w:styleId="Style22" w:customStyle="1">
    <w:name w:val="Раздел положения"/>
    <w:basedOn w:val="Normal"/>
    <w:autoRedefine/>
    <w:qFormat/>
    <w:rsid w:val="007475ee"/>
    <w:pPr>
      <w:numPr>
        <w:ilvl w:val="0"/>
        <w:numId w:val="1"/>
      </w:numPr>
      <w:spacing w:before="80" w:after="80"/>
      <w:jc w:val="center"/>
    </w:pPr>
    <w:rPr>
      <w:b/>
      <w:sz w:val="32"/>
      <w:szCs w:val="32"/>
    </w:rPr>
  </w:style>
  <w:style w:type="paragraph" w:styleId="Style23" w:customStyle="1">
    <w:name w:val="Подраздел раздела положения"/>
    <w:basedOn w:val="Normal"/>
    <w:autoRedefine/>
    <w:qFormat/>
    <w:rsid w:val="007475ee"/>
    <w:pPr>
      <w:numPr>
        <w:ilvl w:val="1"/>
        <w:numId w:val="1"/>
      </w:numPr>
      <w:spacing w:before="80" w:after="80"/>
      <w:jc w:val="both"/>
    </w:pPr>
    <w:rPr/>
  </w:style>
  <w:style w:type="paragraph" w:styleId="FootnoteText">
    <w:name w:val="Footnote Text"/>
    <w:basedOn w:val="Normal"/>
    <w:link w:val="Style5"/>
    <w:rsid w:val="00d561d9"/>
    <w:pPr/>
    <w:rPr>
      <w:sz w:val="20"/>
      <w:szCs w:val="20"/>
    </w:rPr>
  </w:style>
  <w:style w:type="paragraph" w:styleId="15" w:customStyle="1">
    <w:name w:val="Шапка 1"/>
    <w:basedOn w:val="Normal"/>
    <w:qFormat/>
    <w:rsid w:val="00d561d9"/>
    <w:pPr>
      <w:pBdr>
        <w:bottom w:val="thickThinSmallGap" w:sz="24" w:space="1" w:color="000000"/>
      </w:pBdr>
      <w:spacing w:before="0" w:after="240"/>
      <w:jc w:val="center"/>
    </w:pPr>
    <w:rPr>
      <w:sz w:val="22"/>
      <w:szCs w:val="22"/>
    </w:rPr>
  </w:style>
  <w:style w:type="paragraph" w:styleId="23" w:customStyle="1">
    <w:name w:val="Шапка 2"/>
    <w:basedOn w:val="Normal"/>
    <w:qFormat/>
    <w:rsid w:val="00d561d9"/>
    <w:pPr>
      <w:pBdr>
        <w:bottom w:val="thickThinSmallGap" w:sz="24" w:space="1" w:color="000000"/>
      </w:pBdr>
      <w:spacing w:before="0" w:after="120"/>
      <w:jc w:val="center"/>
    </w:pPr>
    <w:rPr>
      <w:b/>
      <w:sz w:val="22"/>
      <w:szCs w:val="22"/>
    </w:rPr>
  </w:style>
  <w:style w:type="paragraph" w:styleId="33" w:customStyle="1">
    <w:name w:val="Шапка 3"/>
    <w:basedOn w:val="Normal"/>
    <w:qFormat/>
    <w:rsid w:val="00d561d9"/>
    <w:pPr>
      <w:pBdr>
        <w:bottom w:val="thickThinSmallGap" w:sz="24" w:space="1" w:color="000000"/>
      </w:pBdr>
      <w:spacing w:before="240" w:after="360"/>
      <w:jc w:val="center"/>
    </w:pPr>
    <w:rPr>
      <w:b/>
      <w:sz w:val="24"/>
      <w:szCs w:val="24"/>
    </w:rPr>
  </w:style>
  <w:style w:type="paragraph" w:styleId="16" w:customStyle="1">
    <w:name w:val="Название1"/>
    <w:basedOn w:val="Normal"/>
    <w:link w:val="Style1"/>
    <w:uiPriority w:val="10"/>
    <w:qFormat/>
    <w:rsid w:val="00bd4014"/>
    <w:pPr>
      <w:jc w:val="center"/>
    </w:pPr>
    <w:rPr>
      <w:szCs w:val="20"/>
      <w:lang w:val="x-none" w:eastAsia="x-none"/>
    </w:rPr>
  </w:style>
  <w:style w:type="paragraph" w:styleId="Style24" w:customStyle="1">
    <w:name w:val="Колонтитул"/>
    <w:basedOn w:val="Normal"/>
    <w:qFormat/>
    <w:pPr/>
    <w:rPr/>
  </w:style>
  <w:style w:type="paragraph" w:styleId="Header">
    <w:name w:val="Header"/>
    <w:basedOn w:val="Normal"/>
    <w:link w:val="Style10"/>
    <w:rsid w:val="0076353a"/>
    <w:pPr>
      <w:tabs>
        <w:tab w:val="clear" w:pos="708"/>
        <w:tab w:val="center" w:pos="4677" w:leader="none"/>
        <w:tab w:val="right" w:pos="9355" w:leader="none"/>
      </w:tabs>
    </w:pPr>
    <w:rPr>
      <w:sz w:val="24"/>
      <w:szCs w:val="24"/>
    </w:rPr>
  </w:style>
  <w:style w:type="paragraph" w:styleId="BodyTextIndent">
    <w:name w:val="Body Text Indent"/>
    <w:basedOn w:val="Normal"/>
    <w:link w:val="Style14"/>
    <w:rsid w:val="0076353a"/>
    <w:pPr>
      <w:ind w:left="360" w:hanging="0"/>
    </w:pPr>
    <w:rPr>
      <w:sz w:val="24"/>
      <w:szCs w:val="24"/>
    </w:rPr>
  </w:style>
  <w:style w:type="paragraph" w:styleId="Footer">
    <w:name w:val="Footer"/>
    <w:basedOn w:val="Normal"/>
    <w:rsid w:val="0076353a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odyTextIndent2">
    <w:name w:val="Body Text Indent 2"/>
    <w:basedOn w:val="Normal"/>
    <w:qFormat/>
    <w:rsid w:val="0076353a"/>
    <w:pPr>
      <w:spacing w:lineRule="auto" w:line="480" w:before="0" w:after="120"/>
      <w:ind w:left="283" w:hanging="0"/>
    </w:pPr>
    <w:rPr/>
  </w:style>
  <w:style w:type="paragraph" w:styleId="BodyText3">
    <w:name w:val="Body Text 3"/>
    <w:basedOn w:val="Normal"/>
    <w:qFormat/>
    <w:rsid w:val="0076353a"/>
    <w:pPr>
      <w:spacing w:before="0" w:after="120"/>
    </w:pPr>
    <w:rPr>
      <w:sz w:val="16"/>
      <w:szCs w:val="16"/>
    </w:rPr>
  </w:style>
  <w:style w:type="paragraph" w:styleId="BodyTextIndent3">
    <w:name w:val="Body Text Indent 3"/>
    <w:basedOn w:val="Normal"/>
    <w:link w:val="32"/>
    <w:qFormat/>
    <w:rsid w:val="0076353a"/>
    <w:pPr>
      <w:spacing w:before="0" w:after="120"/>
      <w:ind w:left="283" w:hanging="0"/>
    </w:pPr>
    <w:rPr>
      <w:sz w:val="16"/>
      <w:szCs w:val="16"/>
    </w:rPr>
  </w:style>
  <w:style w:type="paragraph" w:styleId="BodyText2">
    <w:name w:val="Body Text 2"/>
    <w:basedOn w:val="Normal"/>
    <w:qFormat/>
    <w:rsid w:val="0076353a"/>
    <w:pPr>
      <w:spacing w:lineRule="auto" w:line="480" w:before="0" w:after="120"/>
    </w:pPr>
    <w:rPr/>
  </w:style>
  <w:style w:type="paragraph" w:styleId="BlockText">
    <w:name w:val="Block Text"/>
    <w:basedOn w:val="Normal"/>
    <w:qFormat/>
    <w:rsid w:val="0076353a"/>
    <w:pPr>
      <w:ind w:left="-567" w:right="-766" w:hanging="0"/>
      <w:jc w:val="center"/>
    </w:pPr>
    <w:rPr>
      <w:b/>
      <w:bCs/>
      <w:sz w:val="24"/>
      <w:szCs w:val="20"/>
    </w:rPr>
  </w:style>
  <w:style w:type="paragraph" w:styleId="Style25" w:customStyle="1">
    <w:name w:val="Подпункт"/>
    <w:basedOn w:val="Normal"/>
    <w:link w:val="11"/>
    <w:qFormat/>
    <w:rsid w:val="0076353a"/>
    <w:pPr>
      <w:tabs>
        <w:tab w:val="clear" w:pos="708"/>
        <w:tab w:val="left" w:pos="1134" w:leader="none"/>
      </w:tabs>
      <w:snapToGrid w:val="false"/>
      <w:spacing w:lineRule="auto" w:line="360"/>
      <w:ind w:left="1134" w:hanging="1134"/>
      <w:jc w:val="both"/>
    </w:pPr>
    <w:rPr>
      <w:szCs w:val="20"/>
      <w:lang w:val="x-none" w:eastAsia="x-none"/>
    </w:rPr>
  </w:style>
  <w:style w:type="paragraph" w:styleId="24" w:customStyle="1">
    <w:name w:val="Пункт2"/>
    <w:basedOn w:val="Normal"/>
    <w:link w:val="22"/>
    <w:qFormat/>
    <w:rsid w:val="0076353a"/>
    <w:pPr>
      <w:keepNext w:val="true"/>
      <w:tabs>
        <w:tab w:val="clear" w:pos="708"/>
        <w:tab w:val="left" w:pos="1134" w:leader="none"/>
      </w:tabs>
      <w:snapToGrid w:val="false"/>
      <w:spacing w:before="240" w:after="120"/>
      <w:ind w:left="1134" w:hanging="1134"/>
      <w:outlineLvl w:val="2"/>
    </w:pPr>
    <w:rPr>
      <w:b/>
      <w:szCs w:val="20"/>
    </w:rPr>
  </w:style>
  <w:style w:type="paragraph" w:styleId="TOC1">
    <w:name w:val="TOC 1"/>
    <w:basedOn w:val="Normal"/>
    <w:next w:val="Normal"/>
    <w:autoRedefine/>
    <w:uiPriority w:val="39"/>
    <w:rsid w:val="00421b6b"/>
    <w:pPr>
      <w:spacing w:before="120" w:after="0"/>
    </w:pPr>
    <w:rPr>
      <w:rFonts w:cs="Calibri Light (Заголовки)"/>
      <w:b/>
      <w:bCs/>
      <w:sz w:val="24"/>
      <w:szCs w:val="24"/>
    </w:rPr>
  </w:style>
  <w:style w:type="paragraph" w:styleId="TOC3">
    <w:name w:val="TOC 3"/>
    <w:basedOn w:val="Normal"/>
    <w:next w:val="Normal"/>
    <w:autoRedefine/>
    <w:uiPriority w:val="39"/>
    <w:rsid w:val="00c01756"/>
    <w:pPr>
      <w:ind w:left="280" w:hanging="0"/>
    </w:pPr>
    <w:rPr>
      <w:rFonts w:cs="Calibri" w:cstheme="minorHAnsi"/>
      <w:sz w:val="20"/>
      <w:szCs w:val="20"/>
    </w:rPr>
  </w:style>
  <w:style w:type="paragraph" w:styleId="Style26" w:customStyle="1">
    <w:name w:val="Раздел регламента"/>
    <w:basedOn w:val="Normal"/>
    <w:qFormat/>
    <w:rsid w:val="00e228fa"/>
    <w:pPr/>
    <w:rPr/>
  </w:style>
  <w:style w:type="paragraph" w:styleId="Style27" w:customStyle="1">
    <w:name w:val="Приложение к регламенту"/>
    <w:basedOn w:val="Normal"/>
    <w:qFormat/>
    <w:rsid w:val="00e228fa"/>
    <w:pPr>
      <w:jc w:val="right"/>
    </w:pPr>
    <w:rPr/>
  </w:style>
  <w:style w:type="paragraph" w:styleId="TOC2">
    <w:name w:val="TOC 2"/>
    <w:basedOn w:val="Normal"/>
    <w:next w:val="Normal"/>
    <w:autoRedefine/>
    <w:uiPriority w:val="39"/>
    <w:rsid w:val="00c01756"/>
    <w:pPr>
      <w:spacing w:before="240" w:after="0"/>
    </w:pPr>
    <w:rPr>
      <w:rFonts w:cs="Calibri" w:cstheme="minorHAnsi"/>
      <w:b/>
      <w:bCs/>
      <w:sz w:val="20"/>
      <w:szCs w:val="20"/>
    </w:rPr>
  </w:style>
  <w:style w:type="paragraph" w:styleId="BalloonText">
    <w:name w:val="Balloon Text"/>
    <w:basedOn w:val="Normal"/>
    <w:link w:val="Style15"/>
    <w:uiPriority w:val="99"/>
    <w:semiHidden/>
    <w:qFormat/>
    <w:rsid w:val="00197c91"/>
    <w:pPr/>
    <w:rPr>
      <w:rFonts w:ascii="Tahoma" w:hAnsi="Tahoma" w:cs="Tahoma"/>
      <w:sz w:val="16"/>
      <w:szCs w:val="16"/>
    </w:rPr>
  </w:style>
  <w:style w:type="paragraph" w:styleId="Annotationtext">
    <w:name w:val="annotation text"/>
    <w:basedOn w:val="Normal"/>
    <w:link w:val="Style11"/>
    <w:uiPriority w:val="99"/>
    <w:semiHidden/>
    <w:qFormat/>
    <w:rsid w:val="00b714b0"/>
    <w:pPr/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Style16"/>
    <w:uiPriority w:val="99"/>
    <w:semiHidden/>
    <w:qFormat/>
    <w:rsid w:val="00b714b0"/>
    <w:pPr/>
    <w:rPr>
      <w:b/>
      <w:bCs/>
    </w:rPr>
  </w:style>
  <w:style w:type="paragraph" w:styleId="17" w:customStyle="1">
    <w:name w:val="Обычный (веб)1"/>
    <w:basedOn w:val="Normal"/>
    <w:uiPriority w:val="99"/>
    <w:qFormat/>
    <w:rsid w:val="002f559a"/>
    <w:pPr>
      <w:spacing w:beforeAutospacing="1" w:afterAutospacing="1"/>
    </w:pPr>
    <w:rPr>
      <w:rFonts w:ascii="Arial Unicode MS" w:hAnsi="Arial Unicode MS" w:eastAsia="Arial Unicode MS" w:cs="Arial Unicode MS"/>
      <w:sz w:val="24"/>
      <w:szCs w:val="24"/>
    </w:rPr>
  </w:style>
  <w:style w:type="paragraph" w:styleId="TOC9">
    <w:name w:val="TOC 9"/>
    <w:basedOn w:val="Normal"/>
    <w:next w:val="Normal"/>
    <w:autoRedefine/>
    <w:semiHidden/>
    <w:rsid w:val="00f57628"/>
    <w:pPr>
      <w:ind w:left="1960" w:hanging="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TOC5">
    <w:name w:val="TOC 5"/>
    <w:basedOn w:val="Normal"/>
    <w:next w:val="Normal"/>
    <w:autoRedefine/>
    <w:semiHidden/>
    <w:rsid w:val="00f57628"/>
    <w:pPr>
      <w:ind w:left="840" w:hanging="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rsid w:val="00c01756"/>
    <w:pPr>
      <w:ind w:left="560" w:hanging="0"/>
    </w:pPr>
    <w:rPr>
      <w:rFonts w:cs="Calibri" w:cstheme="minorHAnsi"/>
      <w:sz w:val="20"/>
      <w:szCs w:val="20"/>
    </w:rPr>
  </w:style>
  <w:style w:type="paragraph" w:styleId="25" w:customStyle="1">
    <w:name w:val="Раздел положения 2"/>
    <w:basedOn w:val="Normal"/>
    <w:qFormat/>
    <w:rsid w:val="002c1e0e"/>
    <w:pPr>
      <w:pageBreakBefore/>
      <w:jc w:val="both"/>
      <w:outlineLvl w:val="0"/>
    </w:pPr>
    <w:rPr>
      <w:b/>
    </w:rPr>
  </w:style>
  <w:style w:type="paragraph" w:styleId="Style28" w:customStyle="1">
    <w:name w:val="Знак Знак Знак Знак Знак Знак Знак Знак Знак"/>
    <w:basedOn w:val="Normal"/>
    <w:qFormat/>
    <w:rsid w:val="00d22f6d"/>
    <w:pPr>
      <w:spacing w:lineRule="exact" w:line="240" w:before="0" w:after="160"/>
      <w:jc w:val="both"/>
    </w:pPr>
    <w:rPr>
      <w:rFonts w:ascii="Verdana" w:hAnsi="Verdana" w:cs="Verdana"/>
      <w:sz w:val="22"/>
      <w:szCs w:val="22"/>
      <w:lang w:val="en-US" w:eastAsia="en-US"/>
    </w:rPr>
  </w:style>
  <w:style w:type="paragraph" w:styleId="NoSpacing">
    <w:name w:val="No Spacing"/>
    <w:basedOn w:val="Normal"/>
    <w:uiPriority w:val="1"/>
    <w:qFormat/>
    <w:rsid w:val="00d22f6d"/>
    <w:pPr>
      <w:spacing w:lineRule="auto" w:line="360"/>
    </w:pPr>
    <w:rPr>
      <w:rFonts w:eastAsia="Calibri"/>
      <w:sz w:val="24"/>
      <w:szCs w:val="24"/>
    </w:rPr>
  </w:style>
  <w:style w:type="paragraph" w:styleId="Caption111" w:customStyle="1">
    <w:name w:val="caption111"/>
    <w:basedOn w:val="Normal"/>
    <w:next w:val="Normal"/>
    <w:uiPriority w:val="35"/>
    <w:qFormat/>
    <w:rsid w:val="00d22f6d"/>
    <w:pPr/>
    <w:rPr>
      <w:rFonts w:eastAsia="Calibri"/>
      <w:b/>
      <w:bCs/>
      <w:color w:val="4F81BD"/>
      <w:sz w:val="18"/>
      <w:szCs w:val="18"/>
    </w:rPr>
  </w:style>
  <w:style w:type="paragraph" w:styleId="Subtitle">
    <w:name w:val="Subtitle"/>
    <w:basedOn w:val="Normal"/>
    <w:next w:val="Normal"/>
    <w:link w:val="Style2"/>
    <w:uiPriority w:val="11"/>
    <w:qFormat/>
    <w:rsid w:val="00d22f6d"/>
    <w:pPr>
      <w:ind w:left="1066" w:firstLine="709"/>
    </w:pPr>
    <w:rPr>
      <w:rFonts w:ascii="Cambria" w:hAnsi="Cambria"/>
      <w:i/>
      <w:iCs/>
      <w:color w:val="4F81BD"/>
      <w:spacing w:val="15"/>
      <w:sz w:val="24"/>
      <w:szCs w:val="24"/>
      <w:lang w:val="x-none" w:eastAsia="x-none"/>
    </w:rPr>
  </w:style>
  <w:style w:type="paragraph" w:styleId="ListParagraph">
    <w:name w:val="List Paragraph"/>
    <w:basedOn w:val="Normal"/>
    <w:link w:val="Style7"/>
    <w:uiPriority w:val="34"/>
    <w:qFormat/>
    <w:rsid w:val="00d22f6d"/>
    <w:pPr>
      <w:spacing w:before="0" w:after="0"/>
      <w:ind w:left="720" w:hanging="0"/>
      <w:contextualSpacing/>
    </w:pPr>
    <w:rPr>
      <w:rFonts w:eastAsia="Calibri"/>
      <w:sz w:val="24"/>
      <w:szCs w:val="24"/>
    </w:rPr>
  </w:style>
  <w:style w:type="paragraph" w:styleId="Quote">
    <w:name w:val="Quote"/>
    <w:basedOn w:val="Normal"/>
    <w:next w:val="Normal"/>
    <w:link w:val="21"/>
    <w:uiPriority w:val="29"/>
    <w:qFormat/>
    <w:rsid w:val="00d22f6d"/>
    <w:pPr/>
    <w:rPr>
      <w:rFonts w:ascii="Calibri" w:hAnsi="Calibri" w:eastAsia="Calibri"/>
      <w:i/>
      <w:iCs/>
      <w:color w:val="000000"/>
      <w:sz w:val="20"/>
      <w:szCs w:val="20"/>
      <w:lang w:val="x-none" w:eastAsia="x-none"/>
    </w:rPr>
  </w:style>
  <w:style w:type="paragraph" w:styleId="IntenseQuote">
    <w:name w:val="Intense Quote"/>
    <w:basedOn w:val="Normal"/>
    <w:next w:val="Normal"/>
    <w:link w:val="Style3"/>
    <w:uiPriority w:val="30"/>
    <w:qFormat/>
    <w:rsid w:val="00d22f6d"/>
    <w:pPr>
      <w:pBdr>
        <w:bottom w:val="single" w:sz="4" w:space="4" w:color="4F81BD"/>
      </w:pBdr>
      <w:spacing w:before="200" w:after="280"/>
      <w:ind w:left="936" w:right="936" w:hanging="0"/>
    </w:pPr>
    <w:rPr>
      <w:rFonts w:ascii="Calibri" w:hAnsi="Calibri" w:eastAsia="Calibri"/>
      <w:b/>
      <w:bCs/>
      <w:i/>
      <w:iCs/>
      <w:color w:val="4F81BD"/>
      <w:sz w:val="20"/>
      <w:szCs w:val="20"/>
      <w:lang w:val="x-none" w:eastAsia="x-none"/>
    </w:rPr>
  </w:style>
  <w:style w:type="paragraph" w:styleId="IndexHeading">
    <w:name w:val="Index Heading"/>
    <w:basedOn w:val="Style19"/>
    <w:pPr/>
    <w:rPr/>
  </w:style>
  <w:style w:type="paragraph" w:styleId="TOCHeading">
    <w:name w:val="TOC Heading"/>
    <w:basedOn w:val="Heading1"/>
    <w:next w:val="Normal"/>
    <w:uiPriority w:val="39"/>
    <w:qFormat/>
    <w:rsid w:val="00d22f6d"/>
    <w:pPr>
      <w:keepLines/>
      <w:spacing w:before="480" w:after="60"/>
      <w:outlineLvl w:val="9"/>
    </w:pPr>
    <w:rPr>
      <w:rFonts w:ascii="Cambria" w:hAnsi="Cambria"/>
      <w:bCs/>
      <w:color w:val="365F91"/>
    </w:rPr>
  </w:style>
  <w:style w:type="paragraph" w:styleId="E-mailSignature">
    <w:name w:val="E-mail Signature"/>
    <w:basedOn w:val="Normal"/>
    <w:link w:val="Style4"/>
    <w:uiPriority w:val="99"/>
    <w:unhideWhenUsed/>
    <w:qFormat/>
    <w:rsid w:val="00d22f6d"/>
    <w:pPr/>
    <w:rPr>
      <w:rFonts w:eastAsia="Calibri"/>
      <w:sz w:val="24"/>
      <w:szCs w:val="24"/>
      <w:lang w:val="x-none" w:eastAsia="x-none"/>
    </w:rPr>
  </w:style>
  <w:style w:type="paragraph" w:styleId="Style29" w:customStyle="1">
    <w:name w:val="Знак"/>
    <w:basedOn w:val="Normal"/>
    <w:qFormat/>
    <w:rsid w:val="00d22f6d"/>
    <w:pPr>
      <w:spacing w:lineRule="exact" w:line="240" w:before="0" w:after="160"/>
    </w:pPr>
    <w:rPr>
      <w:rFonts w:ascii="Verdana" w:hAnsi="Verdana" w:cs="Verdana"/>
      <w:sz w:val="20"/>
      <w:szCs w:val="20"/>
      <w:lang w:val="en-US" w:eastAsia="en-US"/>
    </w:rPr>
  </w:style>
  <w:style w:type="paragraph" w:styleId="34" w:customStyle="1">
    <w:name w:val="Нумерованный список ур3"/>
    <w:basedOn w:val="Normal"/>
    <w:qFormat/>
    <w:rsid w:val="00d22f6d"/>
    <w:pPr>
      <w:numPr>
        <w:ilvl w:val="2"/>
        <w:numId w:val="2"/>
      </w:numPr>
      <w:jc w:val="both"/>
    </w:pPr>
    <w:rPr>
      <w:rFonts w:ascii="Garamond" w:hAnsi="Garamond"/>
      <w:sz w:val="24"/>
      <w:szCs w:val="20"/>
    </w:rPr>
  </w:style>
  <w:style w:type="paragraph" w:styleId="41" w:customStyle="1">
    <w:name w:val="Маркированный список 41"/>
    <w:basedOn w:val="Normal"/>
    <w:qFormat/>
    <w:rsid w:val="00d22f6d"/>
    <w:pPr>
      <w:numPr>
        <w:ilvl w:val="0"/>
        <w:numId w:val="2"/>
      </w:numPr>
      <w:spacing w:before="120" w:after="0"/>
      <w:jc w:val="both"/>
    </w:pPr>
    <w:rPr>
      <w:rFonts w:ascii="Garamond" w:hAnsi="Garamond"/>
      <w:sz w:val="24"/>
      <w:szCs w:val="20"/>
    </w:rPr>
  </w:style>
  <w:style w:type="paragraph" w:styleId="26" w:customStyle="1">
    <w:name w:val="Нумерованный список ур2"/>
    <w:basedOn w:val="Normal"/>
    <w:qFormat/>
    <w:rsid w:val="00d22f6d"/>
    <w:pPr>
      <w:numPr>
        <w:ilvl w:val="1"/>
        <w:numId w:val="2"/>
      </w:numPr>
      <w:spacing w:before="120" w:after="0"/>
      <w:jc w:val="both"/>
    </w:pPr>
    <w:rPr>
      <w:rFonts w:ascii="Garamond" w:hAnsi="Garamond"/>
      <w:sz w:val="24"/>
      <w:szCs w:val="20"/>
    </w:rPr>
  </w:style>
  <w:style w:type="paragraph" w:styleId="Revision">
    <w:name w:val="Revision"/>
    <w:uiPriority w:val="99"/>
    <w:semiHidden/>
    <w:qFormat/>
    <w:rsid w:val="00d22f6d"/>
    <w:pPr>
      <w:widowControl/>
      <w:suppressAutoHyphens w:val="true"/>
      <w:bidi w:val="0"/>
      <w:spacing w:before="0" w:after="0"/>
      <w:jc w:val="left"/>
    </w:pPr>
    <w:rPr>
      <w:rFonts w:eastAsia="Calibri" w:ascii="Times New Roman" w:hAnsi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ConsPlusNormal" w:customStyle="1">
    <w:name w:val="ConsPlusNormal"/>
    <w:qFormat/>
    <w:rsid w:val="00d22f6d"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cs="Arial" w:eastAsia="Times New Roman"/>
      <w:color w:val="auto"/>
      <w:kern w:val="0"/>
      <w:sz w:val="20"/>
      <w:szCs w:val="20"/>
      <w:lang w:val="ru-RU" w:eastAsia="ru-RU" w:bidi="ar-SA"/>
    </w:rPr>
  </w:style>
  <w:style w:type="paragraph" w:styleId="35" w:customStyle="1">
    <w:name w:val="Знак Знак3 Знак Знак"/>
    <w:basedOn w:val="Normal"/>
    <w:qFormat/>
    <w:rsid w:val="00d22f6d"/>
    <w:pPr>
      <w:spacing w:lineRule="exact" w:line="240" w:before="0" w:after="160"/>
      <w:jc w:val="both"/>
    </w:pPr>
    <w:rPr>
      <w:rFonts w:ascii="Verdana" w:hAnsi="Verdana" w:cs="Verdana"/>
      <w:sz w:val="22"/>
      <w:szCs w:val="22"/>
      <w:lang w:val="en-US" w:eastAsia="en-US"/>
    </w:rPr>
  </w:style>
  <w:style w:type="paragraph" w:styleId="Style30" w:customStyle="1">
    <w:name w:val="Пункт"/>
    <w:basedOn w:val="Normal"/>
    <w:link w:val="14"/>
    <w:qFormat/>
    <w:rsid w:val="00d22f6d"/>
    <w:pPr>
      <w:widowControl w:val="false"/>
      <w:tabs>
        <w:tab w:val="clear" w:pos="708"/>
        <w:tab w:val="left" w:pos="1134" w:leader="none"/>
      </w:tabs>
      <w:spacing w:lineRule="auto" w:line="360" w:before="120" w:after="0"/>
      <w:ind w:left="1134" w:right="800" w:hanging="1134"/>
      <w:jc w:val="both"/>
    </w:pPr>
    <w:rPr>
      <w:rFonts w:ascii="Arial" w:hAnsi="Arial"/>
      <w:b/>
      <w:i/>
      <w:szCs w:val="20"/>
    </w:rPr>
  </w:style>
  <w:style w:type="paragraph" w:styleId="18" w:customStyle="1">
    <w:name w:val="Абзац списка1"/>
    <w:basedOn w:val="Normal"/>
    <w:qFormat/>
    <w:rsid w:val="00d22f6d"/>
    <w:pPr>
      <w:spacing w:lineRule="auto" w:line="276" w:before="0" w:after="200"/>
      <w:ind w:left="720" w:hanging="0"/>
      <w:contextualSpacing/>
    </w:pPr>
    <w:rPr>
      <w:rFonts w:ascii="Calibri" w:hAnsi="Calibri"/>
      <w:sz w:val="22"/>
      <w:szCs w:val="22"/>
      <w:lang w:eastAsia="en-US"/>
    </w:rPr>
  </w:style>
  <w:style w:type="paragraph" w:styleId="Style31" w:customStyle="1">
    <w:name w:val="Таблица"/>
    <w:basedOn w:val="Normal"/>
    <w:qFormat/>
    <w:rsid w:val="0041356c"/>
    <w:pPr>
      <w:keepNext w:val="true"/>
      <w:spacing w:before="60" w:after="60"/>
      <w:jc w:val="center"/>
    </w:pPr>
    <w:rPr>
      <w:rFonts w:eastAsia="Calibri"/>
      <w:b/>
      <w:sz w:val="24"/>
      <w:szCs w:val="24"/>
      <w:lang w:val="x-none" w:eastAsia="x-none"/>
    </w:rPr>
  </w:style>
  <w:style w:type="paragraph" w:styleId="Style32" w:customStyle="1">
    <w:name w:val="Таблица шапка"/>
    <w:basedOn w:val="Normal"/>
    <w:qFormat/>
    <w:rsid w:val="00f64089"/>
    <w:pPr>
      <w:keepNext w:val="true"/>
      <w:spacing w:before="40" w:after="40"/>
      <w:ind w:left="57" w:right="57" w:hanging="0"/>
    </w:pPr>
    <w:rPr>
      <w:sz w:val="22"/>
      <w:szCs w:val="26"/>
    </w:rPr>
  </w:style>
  <w:style w:type="paragraph" w:styleId="Style33" w:customStyle="1">
    <w:name w:val="Подподпункт"/>
    <w:basedOn w:val="Style25"/>
    <w:link w:val="Style9"/>
    <w:qFormat/>
    <w:rsid w:val="0025139e"/>
    <w:pPr>
      <w:tabs>
        <w:tab w:val="clear" w:pos="1134"/>
        <w:tab w:val="left" w:pos="5104" w:leader="none"/>
      </w:tabs>
      <w:snapToGrid w:val="true"/>
      <w:spacing w:lineRule="auto" w:line="240" w:before="120" w:after="0"/>
      <w:ind w:left="5104" w:hanging="567"/>
    </w:pPr>
    <w:rPr>
      <w:sz w:val="26"/>
      <w:szCs w:val="26"/>
      <w:lang w:val="ru-RU" w:eastAsia="ru-RU"/>
    </w:rPr>
  </w:style>
  <w:style w:type="paragraph" w:styleId="Style34" w:customStyle="1">
    <w:name w:val="УРОВЕНЬ_(а)"/>
    <w:basedOn w:val="ListParagraph"/>
    <w:qFormat/>
    <w:rsid w:val="00b56f46"/>
    <w:pPr>
      <w:numPr>
        <w:ilvl w:val="3"/>
        <w:numId w:val="4"/>
      </w:numPr>
      <w:spacing w:lineRule="exact" w:line="360" w:before="120" w:after="0"/>
      <w:contextualSpacing w:val="false"/>
      <w:jc w:val="both"/>
      <w:outlineLvl w:val="3"/>
    </w:pPr>
    <w:rPr>
      <w:sz w:val="26"/>
      <w:szCs w:val="28"/>
      <w:lang w:eastAsia="en-US"/>
    </w:rPr>
  </w:style>
  <w:style w:type="paragraph" w:styleId="-" w:customStyle="1">
    <w:name w:val="УРОВЕНЬ_-"/>
    <w:basedOn w:val="ListParagraph"/>
    <w:qFormat/>
    <w:rsid w:val="00b56f46"/>
    <w:pPr>
      <w:numPr>
        <w:ilvl w:val="4"/>
        <w:numId w:val="4"/>
      </w:numPr>
      <w:spacing w:lineRule="exact" w:line="360" w:before="120" w:after="0"/>
      <w:contextualSpacing w:val="false"/>
      <w:jc w:val="both"/>
      <w:outlineLvl w:val="4"/>
    </w:pPr>
    <w:rPr>
      <w:sz w:val="26"/>
      <w:szCs w:val="28"/>
      <w:lang w:eastAsia="en-US"/>
    </w:rPr>
  </w:style>
  <w:style w:type="paragraph" w:styleId="27" w:customStyle="1">
    <w:name w:val="УРОВЕНЬ_Абзац_тип2"/>
    <w:basedOn w:val="ListParagraph"/>
    <w:qFormat/>
    <w:rsid w:val="00b56f46"/>
    <w:pPr>
      <w:numPr>
        <w:ilvl w:val="6"/>
        <w:numId w:val="4"/>
      </w:numPr>
      <w:spacing w:lineRule="exact" w:line="360" w:before="120" w:after="0"/>
      <w:contextualSpacing w:val="false"/>
      <w:jc w:val="both"/>
    </w:pPr>
    <w:rPr>
      <w:sz w:val="26"/>
      <w:szCs w:val="28"/>
      <w:lang w:eastAsia="en-US"/>
    </w:rPr>
  </w:style>
  <w:style w:type="paragraph" w:styleId="36" w:customStyle="1">
    <w:name w:val="УРОВЕНЬ_Абзац_тип3"/>
    <w:basedOn w:val="ListParagraph"/>
    <w:link w:val="31"/>
    <w:qFormat/>
    <w:rsid w:val="00b56f46"/>
    <w:pPr>
      <w:numPr>
        <w:ilvl w:val="7"/>
        <w:numId w:val="4"/>
      </w:numPr>
      <w:spacing w:lineRule="exact" w:line="360" w:before="120" w:after="0"/>
      <w:contextualSpacing w:val="false"/>
      <w:jc w:val="both"/>
    </w:pPr>
    <w:rPr>
      <w:sz w:val="26"/>
      <w:szCs w:val="28"/>
      <w:lang w:eastAsia="en-US"/>
    </w:rPr>
  </w:style>
  <w:style w:type="paragraph" w:styleId="Style35" w:customStyle="1">
    <w:name w:val="УРОВЕНЬ_Подпись"/>
    <w:basedOn w:val="ListParagraph"/>
    <w:qFormat/>
    <w:rsid w:val="00b56f46"/>
    <w:pPr>
      <w:keepNext w:val="true"/>
      <w:numPr>
        <w:ilvl w:val="5"/>
        <w:numId w:val="4"/>
      </w:numPr>
      <w:spacing w:lineRule="exact" w:line="360" w:before="120" w:after="120"/>
      <w:contextualSpacing w:val="false"/>
      <w:jc w:val="right"/>
      <w:outlineLvl w:val="3"/>
    </w:pPr>
    <w:rPr>
      <w:sz w:val="26"/>
      <w:szCs w:val="28"/>
      <w:lang w:eastAsia="en-US"/>
    </w:rPr>
  </w:style>
  <w:style w:type="paragraph" w:styleId="19" w:customStyle="1">
    <w:name w:val="Стиль Заголовок 1 + по ширине"/>
    <w:basedOn w:val="Heading1"/>
    <w:qFormat/>
    <w:rsid w:val="005773b2"/>
    <w:pPr>
      <w:keepLines/>
      <w:tabs>
        <w:tab w:val="clear" w:pos="0"/>
        <w:tab w:val="left" w:pos="567" w:leader="none"/>
      </w:tabs>
      <w:spacing w:before="480" w:after="240"/>
      <w:ind w:left="567" w:hanging="567"/>
      <w:jc w:val="both"/>
    </w:pPr>
    <w:rPr>
      <w:rFonts w:ascii="Arial" w:hAnsi="Arial" w:eastAsia="Times New Roman"/>
      <w:bCs/>
      <w:kern w:val="2"/>
      <w:sz w:val="40"/>
      <w:szCs w:val="20"/>
      <w:lang w:val="ru-RU" w:eastAsia="ru-RU"/>
    </w:rPr>
  </w:style>
  <w:style w:type="paragraph" w:styleId="EndnoteText">
    <w:name w:val="Endnote Text"/>
    <w:basedOn w:val="Normal"/>
    <w:link w:val="Style12"/>
    <w:rsid w:val="003879d4"/>
    <w:pPr/>
    <w:rPr>
      <w:sz w:val="20"/>
      <w:szCs w:val="20"/>
    </w:rPr>
  </w:style>
  <w:style w:type="paragraph" w:styleId="28" w:customStyle="1">
    <w:name w:val="Заголовок 2 КВВ"/>
    <w:basedOn w:val="Normal"/>
    <w:qFormat/>
    <w:rsid w:val="00cb35e8"/>
    <w:pPr>
      <w:keepNext w:val="true"/>
      <w:numPr>
        <w:ilvl w:val="0"/>
        <w:numId w:val="5"/>
      </w:numPr>
      <w:spacing w:before="120" w:after="120"/>
      <w:jc w:val="both"/>
      <w:outlineLvl w:val="0"/>
    </w:pPr>
    <w:rPr>
      <w:b/>
      <w:kern w:val="2"/>
      <w:sz w:val="24"/>
      <w:szCs w:val="20"/>
      <w:lang w:eastAsia="x-none"/>
    </w:rPr>
  </w:style>
  <w:style w:type="paragraph" w:styleId="Style36" w:customStyle="1">
    <w:name w:val="Таблица текст"/>
    <w:basedOn w:val="Normal"/>
    <w:qFormat/>
    <w:rsid w:val="00343e95"/>
    <w:pPr>
      <w:spacing w:before="40" w:after="40"/>
      <w:ind w:left="57" w:right="57" w:hanging="0"/>
    </w:pPr>
    <w:rPr>
      <w:sz w:val="24"/>
      <w:szCs w:val="26"/>
    </w:rPr>
  </w:style>
  <w:style w:type="paragraph" w:styleId="NormalWeb">
    <w:name w:val="Normal (Web)"/>
    <w:basedOn w:val="Normal"/>
    <w:uiPriority w:val="99"/>
    <w:unhideWhenUsed/>
    <w:qFormat/>
    <w:rsid w:val="00265d9f"/>
    <w:pPr>
      <w:spacing w:beforeAutospacing="1" w:afterAutospacing="1"/>
    </w:pPr>
    <w:rPr>
      <w:sz w:val="24"/>
      <w:szCs w:val="24"/>
    </w:rPr>
  </w:style>
  <w:style w:type="paragraph" w:styleId="110" w:customStyle="1">
    <w:name w:val="УРОВЕНЬ_1."/>
    <w:basedOn w:val="ListParagraph"/>
    <w:link w:val="12"/>
    <w:qFormat/>
    <w:rsid w:val="004a17ae"/>
    <w:pPr>
      <w:keepNext w:val="true"/>
      <w:keepLines/>
      <w:spacing w:lineRule="auto" w:line="276" w:before="240" w:after="120"/>
      <w:ind w:left="0" w:hanging="0"/>
      <w:contextualSpacing w:val="false"/>
      <w:jc w:val="both"/>
      <w:outlineLvl w:val="0"/>
    </w:pPr>
    <w:rPr>
      <w:caps/>
      <w:sz w:val="28"/>
      <w:szCs w:val="28"/>
      <w:lang w:eastAsia="en-US"/>
    </w:rPr>
  </w:style>
  <w:style w:type="paragraph" w:styleId="TOC6">
    <w:name w:val="TOC 6"/>
    <w:basedOn w:val="Normal"/>
    <w:next w:val="Normal"/>
    <w:autoRedefine/>
    <w:unhideWhenUsed/>
    <w:rsid w:val="00d849aa"/>
    <w:pPr>
      <w:ind w:left="1120" w:hanging="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TOC7">
    <w:name w:val="TOC 7"/>
    <w:basedOn w:val="Normal"/>
    <w:next w:val="Normal"/>
    <w:autoRedefine/>
    <w:unhideWhenUsed/>
    <w:rsid w:val="00d849aa"/>
    <w:pPr>
      <w:ind w:left="1400" w:hanging="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TOC8">
    <w:name w:val="TOC 8"/>
    <w:basedOn w:val="Normal"/>
    <w:next w:val="Normal"/>
    <w:autoRedefine/>
    <w:unhideWhenUsed/>
    <w:rsid w:val="00d849aa"/>
    <w:pPr>
      <w:ind w:left="1680" w:hanging="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Style37" w:customStyle="1">
    <w:name w:val="Содержимое врезки"/>
    <w:basedOn w:val="Normal"/>
    <w:qFormat/>
    <w:pPr/>
    <w:rPr/>
  </w:style>
  <w:style w:type="paragraph" w:styleId="Style38" w:customStyle="1">
    <w:name w:val="Содержимое таблицы"/>
    <w:basedOn w:val="Normal"/>
    <w:qFormat/>
    <w:pPr>
      <w:widowControl w:val="false"/>
      <w:suppressLineNumbers/>
    </w:pPr>
    <w:rPr/>
  </w:style>
  <w:style w:type="paragraph" w:styleId="Style39" w:customStyle="1">
    <w:name w:val="Заголовок таблицы"/>
    <w:basedOn w:val="Style38"/>
    <w:qFormat/>
    <w:pPr>
      <w:jc w:val="center"/>
    </w:pPr>
    <w:rPr>
      <w:b/>
      <w:bCs/>
    </w:rPr>
  </w:style>
  <w:style w:type="paragraph" w:styleId="CENTERTEXT" w:customStyle="1">
    <w:name w:val=".CENTERTEXT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Lohit Devanagari" w:cs="Liberation Serif"/>
      <w:color w:val="000000"/>
      <w:kern w:val="2"/>
      <w:sz w:val="24"/>
      <w:szCs w:val="24"/>
      <w:lang w:eastAsia="hi-IN" w:val="ru-RU" w:bidi="ar-SA"/>
    </w:rPr>
  </w:style>
  <w:style w:type="paragraph" w:styleId="EMPTYLINE" w:customStyle="1">
    <w:name w:val=".EMPTY_LINE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Lohit Devanagari" w:cs="Liberation Serif"/>
      <w:color w:val="000000"/>
      <w:kern w:val="2"/>
      <w:sz w:val="24"/>
      <w:szCs w:val="24"/>
      <w:lang w:eastAsia="hi-IN" w:val="ru-RU" w:bidi="ar-SA"/>
    </w:rPr>
  </w:style>
  <w:style w:type="paragraph" w:styleId="TOPLEVELTEXT" w:customStyle="1">
    <w:name w:val=".TOPLEVELTEXT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Lohit Devanagari" w:cs="Liberation Serif"/>
      <w:color w:val="000000"/>
      <w:kern w:val="2"/>
      <w:sz w:val="24"/>
      <w:szCs w:val="24"/>
      <w:lang w:eastAsia="hi-IN" w:val="ru-RU" w:bidi="ar-SA"/>
    </w:rPr>
  </w:style>
  <w:style w:type="paragraph" w:styleId="TABLE" w:customStyle="1">
    <w:name w:val="TABLE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Lohit Devanagari" w:cs="Liberation Serif"/>
      <w:color w:val="000000"/>
      <w:kern w:val="2"/>
      <w:sz w:val="24"/>
      <w:szCs w:val="24"/>
      <w:lang w:eastAsia="hi-IN" w:val="ru-RU" w:bidi="ar-SA"/>
    </w:rPr>
  </w:style>
  <w:style w:type="paragraph" w:styleId="HTML" w:customStyle="1">
    <w:name w:val="HTML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Lohit Devanagari" w:cs="Liberation Serif"/>
      <w:color w:val="000000"/>
      <w:kern w:val="2"/>
      <w:sz w:val="24"/>
      <w:szCs w:val="24"/>
      <w:lang w:eastAsia="hi-IN" w:val="ru-RU" w:bidi="ar-SA"/>
    </w:rPr>
  </w:style>
  <w:style w:type="paragraph" w:styleId="BODY" w:customStyle="1">
    <w:name w:val="BODY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Lohit Devanagari" w:cs="Liberation Serif"/>
      <w:color w:val="000000"/>
      <w:kern w:val="2"/>
      <w:sz w:val="20"/>
      <w:szCs w:val="24"/>
      <w:lang w:eastAsia="hi-IN" w:val="ru-RU" w:bidi="ar-SA"/>
    </w:rPr>
  </w:style>
  <w:style w:type="paragraph" w:styleId="UNFORMATTEXT" w:customStyle="1">
    <w:name w:val=".UNFORMATTEXT"/>
    <w:qFormat/>
    <w:pPr>
      <w:widowControl/>
      <w:suppressAutoHyphens w:val="true"/>
      <w:bidi w:val="0"/>
      <w:spacing w:before="0" w:after="0"/>
      <w:jc w:val="left"/>
    </w:pPr>
    <w:rPr>
      <w:rFonts w:ascii="Courier New" w:hAnsi="Courier New" w:eastAsia="Lohit Devanagari" w:cs="Liberation Serif"/>
      <w:color w:val="000000"/>
      <w:kern w:val="2"/>
      <w:sz w:val="20"/>
      <w:szCs w:val="24"/>
      <w:lang w:eastAsia="hi-IN" w:val="ru-RU" w:bidi="ar-SA"/>
    </w:rPr>
  </w:style>
  <w:style w:type="paragraph" w:styleId="MIDDLEPICT" w:customStyle="1">
    <w:name w:val=".MIDDLEPICT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Lohit Devanagari" w:cs="Liberation Serif"/>
      <w:color w:val="000000"/>
      <w:kern w:val="2"/>
      <w:sz w:val="24"/>
      <w:szCs w:val="24"/>
      <w:lang w:eastAsia="hi-IN" w:val="ru-RU" w:bidi="ar-SA"/>
    </w:rPr>
  </w:style>
  <w:style w:type="paragraph" w:styleId="HORIZLINE" w:customStyle="1">
    <w:name w:val=".HORIZLINE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Lohit Devanagari" w:cs="Liberation Serif"/>
      <w:color w:val="000000"/>
      <w:kern w:val="2"/>
      <w:sz w:val="24"/>
      <w:szCs w:val="24"/>
      <w:lang w:eastAsia="hi-IN" w:val="ru-RU" w:bidi="ar-SA"/>
    </w:rPr>
  </w:style>
  <w:style w:type="paragraph" w:styleId="DJVU" w:customStyle="1">
    <w:name w:val=".DJVU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Lohit Devanagari" w:cs="Liberation Serif"/>
      <w:color w:val="000000"/>
      <w:kern w:val="2"/>
      <w:sz w:val="24"/>
      <w:szCs w:val="24"/>
      <w:lang w:eastAsia="hi-IN" w:val="ru-RU" w:bidi="ar-SA"/>
    </w:rPr>
  </w:style>
  <w:style w:type="paragraph" w:styleId="PRINTSECTION" w:customStyle="1">
    <w:name w:val="#PRINT_SECTION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Lohit Devanagari" w:cs="Liberation Serif"/>
      <w:color w:val="000000"/>
      <w:kern w:val="2"/>
      <w:sz w:val="16"/>
      <w:szCs w:val="24"/>
      <w:lang w:eastAsia="hi-IN" w:val="ru-RU" w:bidi="ar-SA"/>
    </w:rPr>
  </w:style>
  <w:style w:type="paragraph" w:styleId="COLTOP" w:customStyle="1">
    <w:name w:val="#COL_TOP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Lohit Devanagari" w:cs="Liberation Serif"/>
      <w:color w:val="000000"/>
      <w:kern w:val="2"/>
      <w:sz w:val="16"/>
      <w:szCs w:val="24"/>
      <w:lang w:eastAsia="hi-IN" w:val="ru-RU" w:bidi="ar-SA"/>
    </w:rPr>
  </w:style>
  <w:style w:type="paragraph" w:styleId="COLBOTTOM" w:customStyle="1">
    <w:name w:val="#COL_BOTTOM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Lohit Devanagari" w:cs="Liberation Serif"/>
      <w:color w:val="000000"/>
      <w:kern w:val="2"/>
      <w:sz w:val="16"/>
      <w:szCs w:val="24"/>
      <w:lang w:eastAsia="hi-IN" w:val="ru-RU" w:bidi="ar-SA"/>
    </w:rPr>
  </w:style>
  <w:style w:type="paragraph" w:styleId="TradeMark" w:customStyle="1">
    <w:name w:val=".TradeMark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Lohit Devanagari" w:cs="Liberation Serif"/>
      <w:color w:val="000000"/>
      <w:kern w:val="2"/>
      <w:sz w:val="16"/>
      <w:szCs w:val="24"/>
      <w:lang w:eastAsia="hi-IN" w:val="ru-RU" w:bidi="ar-SA"/>
    </w:rPr>
  </w:style>
  <w:style w:type="paragraph" w:styleId="FORMATTEXT" w:customStyle="1">
    <w:name w:val=".FORMATTEXT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Lohit Devanagari" w:cs="Liberation Serif"/>
      <w:color w:val="000000"/>
      <w:kern w:val="2"/>
      <w:sz w:val="20"/>
      <w:szCs w:val="24"/>
      <w:lang w:eastAsia="hi-IN" w:val="ru-RU" w:bidi="ar-SA"/>
    </w:rPr>
  </w:style>
  <w:style w:type="paragraph" w:styleId="HEADERTEXT" w:customStyle="1">
    <w:name w:val=".HEADERTEXT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Lohit Devanagari" w:cs="Liberation Serif"/>
      <w:color w:val="2B4279"/>
      <w:kern w:val="2"/>
      <w:sz w:val="20"/>
      <w:szCs w:val="24"/>
      <w:lang w:eastAsia="hi-IN" w:val="ru-RU" w:bidi="ar-SA"/>
    </w:rPr>
  </w:style>
  <w:style w:type="numbering" w:styleId="NoList" w:default="1">
    <w:name w:val="No List"/>
    <w:uiPriority w:val="99"/>
    <w:semiHidden/>
    <w:unhideWhenUsed/>
    <w:qFormat/>
  </w:style>
  <w:style w:type="numbering" w:styleId="111" w:customStyle="1">
    <w:name w:val="Стиль1"/>
    <w:uiPriority w:val="99"/>
    <w:qFormat/>
    <w:rsid w:val="00f001e4"/>
  </w:style>
  <w:style w:type="numbering" w:styleId="29" w:customStyle="1">
    <w:name w:val="Стиль2"/>
    <w:uiPriority w:val="99"/>
    <w:qFormat/>
    <w:rsid w:val="006629c9"/>
  </w:style>
  <w:style w:type="numbering" w:styleId="23355510581" w:customStyle="1">
    <w:name w:val="23355510581"/>
    <w:qFormat/>
  </w:style>
  <w:style w:type="numbering" w:styleId="29278575231" w:customStyle="1">
    <w:name w:val="29278575231"/>
    <w:qFormat/>
  </w:style>
  <w:style w:type="numbering" w:styleId="23515376181" w:customStyle="1">
    <w:name w:val="23515376181"/>
    <w:qFormat/>
  </w:style>
  <w:style w:type="numbering" w:styleId="1111204011" w:customStyle="1">
    <w:name w:val="1111204011"/>
    <w:qFormat/>
  </w:style>
  <w:style w:type="table" w:default="1" w:styleId="a5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fffc">
    <w:name w:val="Table Grid"/>
    <w:basedOn w:val="a5"/>
    <w:uiPriority w:val="39"/>
    <w:rsid w:val="0076353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d">
    <w:name w:val="Сетка таблицы1"/>
    <w:basedOn w:val="a5"/>
    <w:uiPriority w:val="39"/>
    <w:rsid w:val="00214b9f"/>
    <w:rPr>
      <w:rFonts w:asciiTheme="minorHAnsi" w:hAnsiTheme="minorHAnsi" w:eastAsiaTheme="minorHAnsi" w:cstheme="minorBidi"/>
      <w:lang w:eastAsia="en-US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5631C0-9340-4AAC-83CE-33D547E0C8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1264</TotalTime>
  <Application>AlterOffice/3.4.0.8$Windows_X86_64 LibreOffice_project/8f3f3c847f0b8d6fea24e251d3d8ed4f23cbe23c</Application>
  <AppVersion>15.0000</AppVersion>
  <Pages>4</Pages>
  <Words>538</Words>
  <Characters>3579</Characters>
  <CharactersWithSpaces>4152</CharactersWithSpaces>
  <Paragraphs>106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2024-08-14T01:34:00Z</dcterms:created>
  <dc:creator>Быстров Олег Геннадьевич</dc:creator>
  <dc:description/>
  <dc:language>ru-RU</dc:language>
  <cp:lastModifiedBy>Алексей Евгеньевич Клименко</cp:lastModifiedBy>
  <cp:lastPrinted>2006-07-26T14:04:00Z</cp:lastPrinted>
  <dcterms:modified xsi:type="dcterms:W3CDTF">2026-09-04T13:56:47Z</dcterms:modified>
  <cp:revision>211</cp:revision>
  <dc:subject/>
  <dc:title>Российское открытое акционерное общество энергетики и электрификации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