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8935" w:type="dxa"/>
        <w:tblInd w:w="142" w:type="dxa"/>
        <w:tblLook w:val="04A0" w:firstRow="1" w:lastRow="0" w:firstColumn="1" w:lastColumn="0" w:noHBand="0" w:noVBand="1"/>
      </w:tblPr>
      <w:tblGrid>
        <w:gridCol w:w="4253"/>
        <w:gridCol w:w="708"/>
        <w:gridCol w:w="3974"/>
      </w:tblGrid>
      <w:tr>
        <w:tblPrEx/>
        <w:trPr/>
        <w:tc>
          <w:tcPr>
            <w:tcW w:w="4253" w:type="dxa"/>
            <w:textDirection w:val="lrTb"/>
            <w:noWrap w:val="false"/>
          </w:tcPr>
          <w:p>
            <w:pPr>
              <w:ind w:left="-426"/>
              <w:jc w:val="both"/>
              <w:keepLines/>
              <w:keepNext/>
              <w:spacing w:line="256" w:lineRule="auto"/>
              <w:widowControl w:val="off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</w:r>
            <w:r>
              <w:rPr>
                <w:rFonts w:eastAsia="Calibri"/>
                <w:sz w:val="28"/>
                <w:szCs w:val="28"/>
              </w:rPr>
            </w:r>
            <w:r>
              <w:rPr>
                <w:rFonts w:eastAsia="Calibri"/>
                <w:sz w:val="28"/>
                <w:szCs w:val="2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ind w:left="-426"/>
              <w:jc w:val="both"/>
              <w:keepLines/>
              <w:keepNext/>
              <w:spacing w:line="256" w:lineRule="auto"/>
              <w:widowControl w:val="off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</w:r>
            <w:r>
              <w:rPr>
                <w:rFonts w:eastAsia="Calibri"/>
                <w:b/>
                <w:sz w:val="28"/>
                <w:szCs w:val="28"/>
              </w:rPr>
            </w:r>
            <w:r>
              <w:rPr>
                <w:rFonts w:eastAsia="Calibri"/>
                <w:b/>
                <w:sz w:val="28"/>
                <w:szCs w:val="28"/>
              </w:rPr>
            </w:r>
          </w:p>
        </w:tc>
        <w:tc>
          <w:tcPr>
            <w:tcW w:w="3974" w:type="dxa"/>
            <w:textDirection w:val="lrTb"/>
            <w:noWrap w:val="false"/>
          </w:tcPr>
          <w:p>
            <w:pPr>
              <w:ind w:left="34"/>
              <w:jc w:val="both"/>
              <w:keepLines/>
              <w:keepNext/>
              <w:spacing w:line="256" w:lineRule="auto"/>
              <w:widowControl w:val="off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</w:r>
            <w:r>
              <w:rPr>
                <w:rFonts w:eastAsia="Calibri"/>
                <w:b/>
                <w:sz w:val="28"/>
                <w:szCs w:val="28"/>
              </w:rPr>
            </w:r>
            <w:r>
              <w:rPr>
                <w:rFonts w:eastAsia="Calibri"/>
                <w:b/>
                <w:sz w:val="28"/>
                <w:szCs w:val="28"/>
              </w:rPr>
            </w:r>
          </w:p>
          <w:p>
            <w:pPr>
              <w:ind w:left="34"/>
              <w:jc w:val="both"/>
              <w:keepLines/>
              <w:keepNext/>
              <w:spacing w:line="256" w:lineRule="auto"/>
              <w:widowControl w:val="off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 xml:space="preserve">УТВЕРЖДАЮ</w:t>
            </w:r>
            <w:r>
              <w:rPr>
                <w:rFonts w:eastAsia="Calibri"/>
                <w:b/>
                <w:sz w:val="28"/>
                <w:szCs w:val="28"/>
              </w:rPr>
            </w:r>
            <w:r>
              <w:rPr>
                <w:rFonts w:eastAsia="Calibri"/>
                <w:b/>
                <w:sz w:val="28"/>
                <w:szCs w:val="28"/>
              </w:rPr>
            </w:r>
          </w:p>
          <w:p>
            <w:pPr>
              <w:ind w:left="-426" w:firstLine="720"/>
              <w:jc w:val="both"/>
              <w:keepLines/>
              <w:keepNext/>
              <w:spacing w:line="256" w:lineRule="auto"/>
              <w:widowControl w:val="off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</w:r>
            <w:r>
              <w:rPr>
                <w:rFonts w:eastAsia="Calibri"/>
                <w:sz w:val="28"/>
                <w:szCs w:val="28"/>
              </w:rPr>
            </w:r>
            <w:r>
              <w:rPr>
                <w:rFonts w:eastAsia="Calibri"/>
                <w:sz w:val="28"/>
                <w:szCs w:val="28"/>
              </w:rPr>
            </w:r>
          </w:p>
          <w:p>
            <w:pPr>
              <w:jc w:val="both"/>
              <w:keepLines/>
              <w:keepNext/>
              <w:spacing w:line="256" w:lineRule="auto"/>
              <w:widowControl w:val="off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Директор по цифровизации - начальник</w:t>
            </w:r>
            <w:r>
              <w:rPr>
                <w:rFonts w:eastAsia="Calibri"/>
                <w:sz w:val="28"/>
                <w:szCs w:val="28"/>
              </w:rPr>
              <w:t xml:space="preserve"> департамента цифровой трансформации и  информационных технологий</w:t>
            </w:r>
            <w:r>
              <w:rPr>
                <w:rFonts w:eastAsia="Calibri"/>
                <w:sz w:val="28"/>
                <w:szCs w:val="28"/>
              </w:rPr>
            </w:r>
            <w:r>
              <w:rPr>
                <w:rFonts w:eastAsia="Calibri"/>
                <w:sz w:val="28"/>
                <w:szCs w:val="28"/>
              </w:rPr>
            </w:r>
          </w:p>
          <w:p>
            <w:pPr>
              <w:jc w:val="both"/>
              <w:keepLines/>
              <w:keepNext/>
              <w:spacing w:line="256" w:lineRule="auto"/>
              <w:widowControl w:val="off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</w:r>
            <w:r>
              <w:rPr>
                <w:rFonts w:eastAsia="Calibri"/>
                <w:sz w:val="28"/>
                <w:szCs w:val="28"/>
              </w:rPr>
            </w:r>
            <w:r>
              <w:rPr>
                <w:rFonts w:eastAsia="Calibri"/>
                <w:sz w:val="28"/>
                <w:szCs w:val="28"/>
              </w:rPr>
            </w:r>
          </w:p>
          <w:p>
            <w:pPr>
              <w:jc w:val="both"/>
              <w:keepLines/>
              <w:keepNext/>
              <w:spacing w:line="256" w:lineRule="auto"/>
              <w:widowControl w:val="off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____________/Р.М. Сагдуллин</w:t>
            </w:r>
            <w:r>
              <w:rPr>
                <w:rFonts w:eastAsia="Calibri"/>
                <w:sz w:val="28"/>
                <w:szCs w:val="28"/>
              </w:rPr>
              <w:t xml:space="preserve">/</w:t>
            </w:r>
            <w:r>
              <w:rPr>
                <w:rFonts w:eastAsia="Calibri"/>
                <w:sz w:val="28"/>
                <w:szCs w:val="28"/>
              </w:rPr>
            </w:r>
            <w:r>
              <w:rPr>
                <w:rFonts w:eastAsia="Calibri"/>
                <w:sz w:val="28"/>
                <w:szCs w:val="28"/>
              </w:rPr>
            </w:r>
          </w:p>
          <w:p>
            <w:pPr>
              <w:jc w:val="both"/>
              <w:keepLines/>
              <w:keepNext/>
              <w:spacing w:line="256" w:lineRule="auto"/>
              <w:widowControl w:val="off"/>
              <w:rPr>
                <w:rFonts w:eastAsia="Calibri"/>
              </w:rPr>
            </w:pPr>
            <w:r>
              <w:rPr>
                <w:rFonts w:eastAsia="Calibri"/>
              </w:rPr>
              <w:t xml:space="preserve">(подпись)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  <w:p>
            <w:pPr>
              <w:jc w:val="both"/>
              <w:keepLines/>
              <w:keepNext/>
              <w:spacing w:line="25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«___»______________</w:t>
            </w:r>
            <w:r>
              <w:rPr>
                <w:rFonts w:eastAsia="Calibri"/>
                <w:sz w:val="28"/>
                <w:szCs w:val="28"/>
              </w:rPr>
              <w:t xml:space="preserve"> 2026</w:t>
            </w:r>
            <w:r>
              <w:rPr>
                <w:rFonts w:eastAsia="Calibri"/>
                <w:sz w:val="28"/>
                <w:szCs w:val="28"/>
              </w:rPr>
              <w:t xml:space="preserve"> г.</w:t>
            </w:r>
            <w:r>
              <w:rPr>
                <w:rFonts w:eastAsia="Calibri"/>
                <w:sz w:val="28"/>
                <w:szCs w:val="28"/>
              </w:rPr>
            </w:r>
            <w:r>
              <w:rPr>
                <w:rFonts w:eastAsia="Calibri"/>
                <w:sz w:val="28"/>
                <w:szCs w:val="28"/>
              </w:rPr>
            </w:r>
          </w:p>
        </w:tc>
      </w:tr>
    </w:tbl>
    <w:p>
      <w:pPr>
        <w:ind w:left="-426"/>
        <w:jc w:val="both"/>
        <w:keepLines/>
        <w:keepNext/>
        <w:spacing w:line="256" w:lineRule="auto"/>
        <w:rPr>
          <w:rFonts w:eastAsia="Calibri"/>
        </w:rPr>
      </w:pPr>
      <w:r>
        <w:rPr>
          <w:rFonts w:eastAsia="Calibri"/>
        </w:rPr>
      </w:r>
      <w:r>
        <w:rPr>
          <w:rFonts w:eastAsia="Calibri"/>
        </w:rPr>
      </w:r>
      <w:r>
        <w:rPr>
          <w:rFonts w:eastAsia="Calibri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/>
        <w:jc w:val="center"/>
        <w:spacing w:line="256" w:lineRule="auto"/>
        <w:widowControl w:val="off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ТЕХНИЧЕСКОЕ ЗАДАНИЕ</w:t>
      </w:r>
      <w:r>
        <w:rPr>
          <w:rFonts w:eastAsia="Calibri"/>
          <w:b/>
          <w:sz w:val="28"/>
          <w:szCs w:val="28"/>
        </w:rPr>
      </w:r>
      <w:r>
        <w:rPr>
          <w:rFonts w:eastAsia="Calibri"/>
          <w:b/>
          <w:sz w:val="28"/>
          <w:szCs w:val="28"/>
        </w:rPr>
      </w:r>
    </w:p>
    <w:p>
      <w:pPr>
        <w:jc w:val="center"/>
        <w:rPr>
          <w:b/>
          <w:sz w:val="28"/>
          <w:lang w:eastAsia="en-US"/>
        </w:rPr>
      </w:pPr>
      <w:r>
        <w:rPr>
          <w:rFonts w:eastAsia="Calibri"/>
          <w:b/>
          <w:sz w:val="28"/>
          <w:szCs w:val="28"/>
        </w:rPr>
        <w:t xml:space="preserve">на приобретение </w:t>
      </w:r>
      <w:r>
        <w:rPr>
          <w:b/>
          <w:sz w:val="28"/>
          <w:lang w:eastAsia="en-US"/>
        </w:rPr>
        <w:t xml:space="preserve">права на использование информационно-технического сопровождения информационной системы видеоконференцсвязи</w:t>
      </w:r>
      <w:r>
        <w:rPr>
          <w:b/>
          <w:sz w:val="28"/>
          <w:lang w:eastAsia="en-US"/>
        </w:rPr>
        <w:t xml:space="preserve"> </w:t>
      </w:r>
      <w:r>
        <w:rPr>
          <w:b/>
          <w:sz w:val="28"/>
          <w:lang w:eastAsia="en-US"/>
        </w:rPr>
        <w:t xml:space="preserve">для нужд ПАО «Россети Северо-Запад»</w:t>
      </w:r>
      <w:r>
        <w:rPr>
          <w:b/>
          <w:sz w:val="28"/>
          <w:lang w:eastAsia="en-US"/>
        </w:rPr>
      </w:r>
      <w:r>
        <w:rPr>
          <w:b/>
          <w:sz w:val="28"/>
          <w:lang w:eastAsia="en-US"/>
        </w:rPr>
      </w:r>
    </w:p>
    <w:p>
      <w:pPr>
        <w:ind w:left="-425"/>
        <w:jc w:val="center"/>
        <w:widowControl w:val="off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</w:r>
      <w:r>
        <w:rPr>
          <w:rFonts w:eastAsia="Calibri"/>
          <w:b/>
          <w:sz w:val="28"/>
          <w:szCs w:val="28"/>
        </w:rPr>
      </w:r>
      <w:r>
        <w:rPr>
          <w:rFonts w:eastAsia="Calibri"/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tbl>
      <w:tblPr>
        <w:tblStyle w:val="1041"/>
        <w:tblW w:w="0" w:type="auto"/>
        <w:tblInd w:w="-42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7336"/>
        <w:gridCol w:w="2445"/>
      </w:tblGrid>
      <w:tr>
        <w:tblPrEx/>
        <w:trPr/>
        <w:tc>
          <w:tcPr>
            <w:tcW w:w="7651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544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ind w:left="-426" w:firstLine="709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г. Санкт-Петербург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-426"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202</w:t>
      </w:r>
      <w:r>
        <w:rPr>
          <w:sz w:val="28"/>
          <w:szCs w:val="28"/>
        </w:rPr>
        <w:t xml:space="preserve">6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-426" w:firstLine="709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-426" w:firstLine="709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jc w:val="both"/>
        <w:rPr>
          <w:sz w:val="28"/>
          <w:lang w:eastAsia="en-US"/>
        </w:rPr>
      </w:pPr>
      <w:r>
        <w:rPr>
          <w:sz w:val="28"/>
          <w:lang w:eastAsia="en-US"/>
        </w:rPr>
      </w:r>
      <w:r>
        <w:rPr>
          <w:sz w:val="28"/>
          <w:lang w:eastAsia="en-US"/>
        </w:rPr>
      </w:r>
      <w:r>
        <w:rPr>
          <w:sz w:val="28"/>
          <w:lang w:eastAsia="en-US"/>
        </w:rPr>
      </w:r>
    </w:p>
    <w:p>
      <w:pPr>
        <w:pStyle w:val="1025"/>
        <w:rPr>
          <w:b/>
        </w:rPr>
      </w:pPr>
      <w:r/>
      <w:bookmarkStart w:id="4" w:name="_Toc144739498"/>
      <w:r/>
      <w:bookmarkStart w:id="5" w:name="_Toc168330310"/>
      <w:r>
        <w:rPr>
          <w:b/>
        </w:rPr>
        <w:t xml:space="preserve">Общие </w:t>
      </w:r>
      <w:r>
        <w:rPr>
          <w:b/>
        </w:rPr>
        <w:t xml:space="preserve">сведения</w:t>
      </w:r>
      <w:bookmarkEnd w:id="4"/>
      <w:r/>
      <w:bookmarkEnd w:id="5"/>
      <w:r>
        <w:rPr>
          <w:b/>
        </w:rPr>
      </w:r>
      <w:r>
        <w:rPr>
          <w:b/>
        </w:rPr>
      </w:r>
    </w:p>
    <w:p>
      <w:pPr>
        <w:pStyle w:val="1048"/>
        <w:numPr>
          <w:ilvl w:val="1"/>
          <w:numId w:val="15"/>
        </w:numPr>
        <w:jc w:val="both"/>
        <w:spacing w:before="60"/>
        <w:rPr>
          <w:sz w:val="28"/>
          <w:lang w:eastAsia="en-US"/>
        </w:rPr>
      </w:pPr>
      <w:r>
        <w:rPr>
          <w:sz w:val="28"/>
          <w:lang w:eastAsia="en-US"/>
        </w:rPr>
        <w:t xml:space="preserve">В настоящем документе представлено Техническое задание на </w:t>
      </w:r>
      <w:r>
        <w:rPr>
          <w:sz w:val="28"/>
          <w:lang w:eastAsia="en-US"/>
        </w:rPr>
        <w:t xml:space="preserve">приобретение</w:t>
      </w:r>
      <w:r>
        <w:rPr>
          <w:sz w:val="28"/>
          <w:lang w:eastAsia="en-US"/>
        </w:rPr>
        <w:t xml:space="preserve"> </w:t>
      </w:r>
      <w:r>
        <w:rPr>
          <w:sz w:val="28"/>
          <w:lang w:eastAsia="en-US"/>
        </w:rPr>
        <w:t xml:space="preserve">права на </w:t>
      </w:r>
      <w:r>
        <w:rPr>
          <w:sz w:val="28"/>
          <w:lang w:eastAsia="en-US"/>
        </w:rPr>
        <w:t xml:space="preserve">использование </w:t>
      </w:r>
      <w:r>
        <w:rPr>
          <w:sz w:val="28"/>
          <w:lang w:eastAsia="en-US"/>
        </w:rPr>
        <w:t xml:space="preserve">информационно-технического сопровождения информационной системы видеоконференцсвязи</w:t>
      </w:r>
      <w:r>
        <w:rPr>
          <w:sz w:val="28"/>
          <w:lang w:eastAsia="en-US"/>
        </w:rPr>
        <w:t xml:space="preserve"> </w:t>
      </w:r>
      <w:r>
        <w:rPr>
          <w:sz w:val="28"/>
          <w:lang w:eastAsia="en-US"/>
        </w:rPr>
        <w:t xml:space="preserve">для нужд ПАО «Россети Северо-Запад».</w:t>
      </w:r>
      <w:r>
        <w:rPr>
          <w:sz w:val="28"/>
          <w:lang w:eastAsia="en-US"/>
        </w:rPr>
      </w:r>
      <w:r>
        <w:rPr>
          <w:sz w:val="28"/>
          <w:lang w:eastAsia="en-US"/>
        </w:rPr>
      </w:r>
    </w:p>
    <w:p>
      <w:pPr>
        <w:pStyle w:val="1048"/>
        <w:numPr>
          <w:ilvl w:val="1"/>
          <w:numId w:val="15"/>
        </w:numPr>
        <w:contextualSpacing w:val="0"/>
        <w:jc w:val="both"/>
        <w:spacing w:before="60"/>
        <w:rPr>
          <w:sz w:val="28"/>
          <w:lang w:eastAsia="en-US"/>
        </w:rPr>
      </w:pPr>
      <w:r>
        <w:rPr>
          <w:sz w:val="28"/>
          <w:lang w:eastAsia="en-US"/>
        </w:rPr>
        <w:t xml:space="preserve">Заказчиком является ПАО «Россети Северо-Запад».</w:t>
      </w:r>
      <w:r>
        <w:rPr>
          <w:sz w:val="28"/>
          <w:lang w:eastAsia="en-US"/>
        </w:rPr>
      </w:r>
      <w:r>
        <w:rPr>
          <w:sz w:val="28"/>
          <w:lang w:eastAsia="en-US"/>
        </w:rPr>
      </w:r>
    </w:p>
    <w:p>
      <w:pPr>
        <w:pStyle w:val="1025"/>
        <w:rPr>
          <w:b/>
        </w:rPr>
      </w:pPr>
      <w:r/>
      <w:bookmarkStart w:id="6" w:name="_Toc144739499"/>
      <w:r/>
      <w:bookmarkStart w:id="7" w:name="_Toc168330311"/>
      <w:r>
        <w:rPr>
          <w:b/>
        </w:rPr>
        <w:t xml:space="preserve">Предмет закупки</w:t>
      </w:r>
      <w:bookmarkEnd w:id="6"/>
      <w:r/>
      <w:bookmarkEnd w:id="7"/>
      <w:r>
        <w:rPr>
          <w:b/>
        </w:rPr>
      </w:r>
      <w:r>
        <w:rPr>
          <w:b/>
        </w:rPr>
      </w:r>
    </w:p>
    <w:p>
      <w:pPr>
        <w:pStyle w:val="1048"/>
        <w:numPr>
          <w:ilvl w:val="1"/>
          <w:numId w:val="15"/>
        </w:numPr>
        <w:jc w:val="both"/>
        <w:spacing w:after="60"/>
        <w:rPr>
          <w:sz w:val="28"/>
          <w:lang w:eastAsia="en-US"/>
        </w:rPr>
      </w:pPr>
      <w:r>
        <w:rPr>
          <w:sz w:val="28"/>
          <w:lang w:eastAsia="en-US"/>
        </w:rPr>
        <w:t xml:space="preserve">Предметом закупки является </w:t>
      </w:r>
      <w:r>
        <w:rPr>
          <w:sz w:val="28"/>
          <w:lang w:eastAsia="en-US"/>
        </w:rPr>
        <w:t xml:space="preserve">приобретение</w:t>
      </w:r>
      <w:r>
        <w:rPr>
          <w:sz w:val="28"/>
          <w:lang w:eastAsia="en-US"/>
        </w:rPr>
        <w:t xml:space="preserve"> права использования программного обеспечения</w:t>
      </w:r>
      <w:r>
        <w:rPr>
          <w:sz w:val="28"/>
          <w:lang w:eastAsia="en-US"/>
        </w:rPr>
        <w:t xml:space="preserve">.</w:t>
      </w:r>
      <w:r>
        <w:rPr>
          <w:sz w:val="28"/>
          <w:lang w:eastAsia="en-US"/>
        </w:rPr>
      </w:r>
      <w:r>
        <w:rPr>
          <w:sz w:val="28"/>
          <w:lang w:eastAsia="en-US"/>
        </w:rPr>
      </w:r>
    </w:p>
    <w:p>
      <w:pPr>
        <w:pStyle w:val="1048"/>
        <w:numPr>
          <w:ilvl w:val="1"/>
          <w:numId w:val="15"/>
        </w:numPr>
        <w:jc w:val="both"/>
        <w:spacing w:after="60"/>
        <w:rPr>
          <w:sz w:val="28"/>
          <w:lang w:eastAsia="en-US"/>
        </w:rPr>
      </w:pPr>
      <w:r>
        <w:rPr>
          <w:sz w:val="28"/>
          <w:lang w:eastAsia="en-US"/>
        </w:rPr>
        <w:t xml:space="preserve">Наименование, объем (количество), срок действия требуемых лицензий приведены в Приложении № 1.</w:t>
      </w:r>
      <w:r>
        <w:rPr>
          <w:sz w:val="28"/>
          <w:lang w:eastAsia="en-US"/>
        </w:rPr>
      </w:r>
      <w:r>
        <w:rPr>
          <w:sz w:val="28"/>
          <w:lang w:eastAsia="en-US"/>
        </w:rPr>
      </w:r>
    </w:p>
    <w:p>
      <w:pPr>
        <w:pStyle w:val="1048"/>
        <w:numPr>
          <w:ilvl w:val="1"/>
          <w:numId w:val="15"/>
        </w:numPr>
        <w:jc w:val="both"/>
        <w:spacing w:after="60"/>
        <w:rPr>
          <w:sz w:val="28"/>
          <w:lang w:eastAsia="en-US"/>
        </w:rPr>
      </w:pPr>
      <w:r>
        <w:rPr>
          <w:sz w:val="28"/>
          <w:lang w:eastAsia="en-US"/>
        </w:rPr>
        <w:t xml:space="preserve">Адрес предоставления лицензий: </w:t>
      </w:r>
      <w:r>
        <w:rPr>
          <w:sz w:val="28"/>
          <w:lang w:eastAsia="en-US"/>
        </w:rPr>
        <w:t xml:space="preserve">196247, Россия, Санкт-Петербург, пл. Конституции, д.3, Лит. А, помещение 16Н</w:t>
      </w:r>
      <w:r>
        <w:rPr>
          <w:sz w:val="28"/>
          <w:lang w:eastAsia="en-US"/>
        </w:rPr>
        <w:t xml:space="preserve">.</w:t>
      </w:r>
      <w:r>
        <w:rPr>
          <w:sz w:val="28"/>
          <w:lang w:eastAsia="en-US"/>
        </w:rPr>
      </w:r>
      <w:r>
        <w:rPr>
          <w:sz w:val="28"/>
          <w:lang w:eastAsia="en-US"/>
        </w:rPr>
      </w:r>
    </w:p>
    <w:p>
      <w:pPr>
        <w:pStyle w:val="1048"/>
        <w:numPr>
          <w:ilvl w:val="1"/>
          <w:numId w:val="15"/>
        </w:numPr>
        <w:jc w:val="both"/>
        <w:spacing w:after="60"/>
        <w:rPr>
          <w:sz w:val="28"/>
          <w:lang w:eastAsia="en-US"/>
        </w:rPr>
      </w:pPr>
      <w:r>
        <w:rPr>
          <w:sz w:val="28"/>
          <w:lang w:eastAsia="en-US"/>
        </w:rPr>
        <w:t xml:space="preserve">С</w:t>
      </w:r>
      <w:r>
        <w:rPr>
          <w:sz w:val="28"/>
          <w:lang w:eastAsia="en-US"/>
        </w:rPr>
        <w:t xml:space="preserve">роки поставки (передачи) лицензий:</w:t>
      </w:r>
      <w:r>
        <w:rPr>
          <w:sz w:val="28"/>
          <w:lang w:eastAsia="en-US"/>
        </w:rPr>
        <w:t xml:space="preserve"> </w:t>
      </w:r>
      <w:r>
        <w:rPr>
          <w:sz w:val="28"/>
          <w:lang w:eastAsia="en-US"/>
        </w:rPr>
        <w:t xml:space="preserve">в </w:t>
      </w:r>
      <w:r>
        <w:rPr>
          <w:sz w:val="28"/>
          <w:lang w:eastAsia="en-US"/>
        </w:rPr>
        <w:t xml:space="preserve">соответствии с </w:t>
      </w:r>
      <w:r>
        <w:rPr>
          <w:sz w:val="28"/>
          <w:lang w:eastAsia="en-US"/>
        </w:rPr>
        <w:t xml:space="preserve">П</w:t>
      </w:r>
      <w:r>
        <w:rPr>
          <w:sz w:val="28"/>
          <w:lang w:eastAsia="en-US"/>
        </w:rPr>
        <w:t xml:space="preserve">риложением </w:t>
      </w:r>
      <w:r>
        <w:rPr>
          <w:sz w:val="28"/>
          <w:lang w:eastAsia="en-US"/>
        </w:rPr>
        <w:t xml:space="preserve"> № </w:t>
      </w:r>
      <w:r>
        <w:rPr>
          <w:sz w:val="28"/>
          <w:lang w:eastAsia="en-US"/>
        </w:rPr>
        <w:t xml:space="preserve">1</w:t>
      </w:r>
      <w:r>
        <w:rPr>
          <w:sz w:val="28"/>
          <w:lang w:eastAsia="en-US"/>
        </w:rPr>
        <w:t xml:space="preserve">.</w:t>
      </w:r>
      <w:r>
        <w:rPr>
          <w:sz w:val="28"/>
          <w:lang w:eastAsia="en-US"/>
        </w:rPr>
      </w:r>
      <w:r>
        <w:rPr>
          <w:sz w:val="28"/>
          <w:lang w:eastAsia="en-US"/>
        </w:rPr>
      </w:r>
    </w:p>
    <w:p>
      <w:pPr>
        <w:pStyle w:val="1025"/>
        <w:rPr>
          <w:b/>
        </w:rPr>
      </w:pPr>
      <w:r/>
      <w:bookmarkStart w:id="8" w:name="_Toc144739500"/>
      <w:r/>
      <w:bookmarkStart w:id="9" w:name="_Toc168330312"/>
      <w:r>
        <w:rPr>
          <w:b/>
        </w:rPr>
        <w:t xml:space="preserve">Общие требования к условиям </w:t>
      </w:r>
      <w:r>
        <w:rPr>
          <w:b/>
        </w:rPr>
        <w:t xml:space="preserve">пр</w:t>
      </w:r>
      <w:r>
        <w:rPr>
          <w:b/>
        </w:rPr>
        <w:t xml:space="preserve">едоставления п</w:t>
      </w:r>
      <w:r>
        <w:rPr>
          <w:b/>
        </w:rPr>
        <w:t xml:space="preserve">рава </w:t>
      </w:r>
      <w:r>
        <w:rPr>
          <w:b/>
        </w:rPr>
        <w:t xml:space="preserve">на </w:t>
      </w:r>
      <w:r>
        <w:rPr>
          <w:b/>
        </w:rPr>
        <w:t xml:space="preserve">использовани</w:t>
      </w:r>
      <w:r>
        <w:rPr>
          <w:b/>
        </w:rPr>
        <w:t xml:space="preserve">е</w:t>
      </w:r>
      <w:bookmarkEnd w:id="8"/>
      <w:r/>
      <w:bookmarkEnd w:id="9"/>
      <w:r>
        <w:rPr>
          <w:b/>
        </w:rPr>
      </w:r>
      <w:r>
        <w:rPr>
          <w:b/>
        </w:rPr>
      </w:r>
    </w:p>
    <w:p>
      <w:pPr>
        <w:ind w:firstLine="709"/>
        <w:jc w:val="both"/>
        <w:rPr>
          <w:sz w:val="28"/>
          <w:lang w:eastAsia="en-US"/>
        </w:rPr>
      </w:pPr>
      <w:r>
        <w:rPr>
          <w:sz w:val="28"/>
          <w:lang w:eastAsia="en-US"/>
        </w:rPr>
        <w:t xml:space="preserve">Определяются </w:t>
      </w:r>
      <w:r>
        <w:rPr>
          <w:sz w:val="28"/>
          <w:lang w:eastAsia="en-US"/>
        </w:rPr>
        <w:t xml:space="preserve">договором. </w:t>
      </w:r>
      <w:r>
        <w:rPr>
          <w:sz w:val="28"/>
          <w:lang w:eastAsia="en-US"/>
        </w:rPr>
      </w:r>
      <w:r>
        <w:rPr>
          <w:sz w:val="28"/>
          <w:lang w:eastAsia="en-US"/>
        </w:rPr>
      </w:r>
    </w:p>
    <w:p>
      <w:pPr>
        <w:ind w:firstLine="709"/>
        <w:jc w:val="both"/>
        <w:rPr>
          <w:sz w:val="28"/>
          <w:lang w:eastAsia="en-US"/>
        </w:rPr>
      </w:pPr>
      <w:r>
        <w:rPr>
          <w:sz w:val="28"/>
          <w:lang w:eastAsia="en-US"/>
        </w:rPr>
      </w:r>
      <w:r>
        <w:rPr>
          <w:sz w:val="28"/>
          <w:lang w:eastAsia="en-US"/>
        </w:rPr>
      </w:r>
      <w:r>
        <w:rPr>
          <w:sz w:val="28"/>
          <w:lang w:eastAsia="en-US"/>
        </w:rPr>
      </w:r>
    </w:p>
    <w:p>
      <w:pPr>
        <w:pStyle w:val="1025"/>
        <w:numPr>
          <w:ilvl w:val="0"/>
          <w:numId w:val="0"/>
        </w:numPr>
      </w:pPr>
      <w:r>
        <w:t xml:space="preserve">Приложение 1 к Техническому заданию. Спецификация</w:t>
      </w:r>
      <w:r>
        <w:t xml:space="preserve"> </w:t>
      </w:r>
      <w:r>
        <w:t xml:space="preserve">приобретаемых</w:t>
      </w:r>
      <w:r>
        <w:t xml:space="preserve"> прав использования программ для ЭВМ</w:t>
      </w:r>
      <w:r/>
    </w:p>
    <w:p>
      <w:pPr>
        <w:ind w:firstLine="709"/>
        <w:jc w:val="both"/>
        <w:rPr>
          <w:sz w:val="28"/>
          <w:lang w:eastAsia="en-US"/>
        </w:rPr>
      </w:pPr>
      <w:r>
        <w:rPr>
          <w:sz w:val="28"/>
          <w:lang w:eastAsia="en-US"/>
        </w:rPr>
      </w:r>
      <w:r>
        <w:rPr>
          <w:sz w:val="28"/>
          <w:lang w:eastAsia="en-US"/>
        </w:rPr>
      </w:r>
      <w:r>
        <w:rPr>
          <w:sz w:val="28"/>
          <w:lang w:eastAsia="en-US"/>
        </w:rPr>
      </w:r>
    </w:p>
    <w:p>
      <w:pPr>
        <w:ind w:firstLine="709"/>
        <w:jc w:val="both"/>
        <w:rPr>
          <w:sz w:val="28"/>
          <w:lang w:eastAsia="en-US"/>
        </w:rPr>
      </w:pPr>
      <w:r>
        <w:rPr>
          <w:sz w:val="28"/>
          <w:lang w:eastAsia="en-US"/>
        </w:rPr>
      </w:r>
      <w:r>
        <w:rPr>
          <w:sz w:val="28"/>
          <w:lang w:eastAsia="en-US"/>
        </w:rPr>
      </w:r>
      <w:r>
        <w:rPr>
          <w:sz w:val="28"/>
          <w:lang w:eastAsia="en-US"/>
        </w:rPr>
      </w:r>
    </w:p>
    <w:p>
      <w:pPr>
        <w:rPr>
          <w:sz w:val="28"/>
          <w:lang w:eastAsia="en-US"/>
        </w:rPr>
        <w:sectPr>
          <w:footerReference w:type="default" r:id="rId9"/>
          <w:footnotePr/>
          <w:endnotePr/>
          <w:type w:val="nextPage"/>
          <w:pgSz w:w="11906" w:h="16838" w:orient="portrait"/>
          <w:pgMar w:top="1134" w:right="850" w:bottom="1134" w:left="1701" w:header="284" w:footer="129" w:gutter="0"/>
          <w:cols w:num="1" w:sep="0" w:space="708" w:equalWidth="1"/>
          <w:docGrid w:linePitch="360"/>
          <w:titlePg/>
        </w:sectPr>
      </w:pPr>
      <w:r>
        <w:rPr>
          <w:sz w:val="28"/>
          <w:lang w:eastAsia="en-US"/>
        </w:rPr>
      </w:r>
      <w:r>
        <w:rPr>
          <w:sz w:val="28"/>
          <w:lang w:eastAsia="en-US"/>
        </w:rPr>
      </w:r>
      <w:r>
        <w:rPr>
          <w:sz w:val="28"/>
          <w:lang w:eastAsia="en-US"/>
        </w:rPr>
      </w:r>
    </w:p>
    <w:p>
      <w:pPr>
        <w:pStyle w:val="1025"/>
        <w:numPr>
          <w:ilvl w:val="0"/>
          <w:numId w:val="0"/>
        </w:numPr>
      </w:pPr>
      <w:r/>
      <w:bookmarkStart w:id="10" w:name="_Toc144739501"/>
      <w:r/>
      <w:bookmarkStart w:id="11" w:name="_Toc168330313"/>
      <w:r>
        <w:t xml:space="preserve">Приложение 1 к Техническому заданию. Спецификация</w:t>
      </w:r>
      <w:r>
        <w:t xml:space="preserve"> </w:t>
      </w:r>
      <w:r>
        <w:t xml:space="preserve">приобретаемых</w:t>
      </w:r>
      <w:r>
        <w:t xml:space="preserve"> прав использования программ для ЭВМ</w:t>
      </w:r>
      <w:bookmarkEnd w:id="10"/>
      <w:r/>
      <w:bookmarkEnd w:id="11"/>
      <w:r/>
      <w:r/>
    </w:p>
    <w:tbl>
      <w:tblPr>
        <w:tblStyle w:val="1041"/>
        <w:tblW w:w="1488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2"/>
        <w:gridCol w:w="5359"/>
        <w:gridCol w:w="2126"/>
        <w:gridCol w:w="1558"/>
        <w:gridCol w:w="992"/>
        <w:gridCol w:w="1276"/>
        <w:gridCol w:w="1843"/>
        <w:gridCol w:w="1276"/>
      </w:tblGrid>
      <w:tr>
        <w:tblPrEx/>
        <w:trPr>
          <w:cantSplit/>
          <w:trHeight w:val="490"/>
          <w:tblHeader/>
        </w:trPr>
        <w:tc>
          <w:tcPr>
            <w:tcW w:w="45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№</w:t>
            </w:r>
            <w:r>
              <w:rPr>
                <w:sz w:val="18"/>
                <w:szCs w:val="18"/>
                <w:lang w:eastAsia="en-US"/>
              </w:rPr>
            </w:r>
            <w:r>
              <w:rPr>
                <w:sz w:val="18"/>
                <w:szCs w:val="18"/>
                <w:lang w:eastAsia="en-US"/>
              </w:rPr>
            </w:r>
          </w:p>
        </w:tc>
        <w:tc>
          <w:tcPr>
            <w:tcW w:w="535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Наименование</w:t>
            </w:r>
            <w:r>
              <w:rPr>
                <w:rStyle w:val="1056"/>
                <w:sz w:val="18"/>
                <w:szCs w:val="18"/>
                <w:lang w:eastAsia="en-US"/>
              </w:rPr>
              <w:footnoteReference w:id="2"/>
            </w:r>
            <w:r>
              <w:rPr>
                <w:sz w:val="18"/>
                <w:szCs w:val="18"/>
                <w:lang w:eastAsia="en-US"/>
              </w:rPr>
            </w:r>
            <w:r>
              <w:rPr>
                <w:sz w:val="18"/>
                <w:szCs w:val="18"/>
                <w:lang w:eastAsia="en-US"/>
              </w:rPr>
            </w:r>
          </w:p>
        </w:tc>
        <w:tc>
          <w:tcPr>
            <w:tcW w:w="212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Производитель</w:t>
            </w:r>
            <w:r>
              <w:rPr>
                <w:sz w:val="18"/>
                <w:szCs w:val="18"/>
                <w:lang w:eastAsia="en-US"/>
              </w:rPr>
            </w:r>
            <w:r>
              <w:rPr>
                <w:sz w:val="18"/>
                <w:szCs w:val="18"/>
                <w:lang w:eastAsia="en-US"/>
              </w:rPr>
            </w:r>
          </w:p>
        </w:tc>
        <w:tc>
          <w:tcPr>
            <w:tcBorders>
              <w:left w:val="single" w:color="auto" w:sz="4" w:space="0"/>
            </w:tcBorders>
            <w:tcW w:w="155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Тип доставки</w:t>
            </w:r>
            <w:r>
              <w:rPr>
                <w:sz w:val="18"/>
                <w:szCs w:val="18"/>
                <w:lang w:eastAsia="en-US"/>
              </w:rPr>
            </w:r>
            <w:r>
              <w:rPr>
                <w:sz w:val="18"/>
                <w:szCs w:val="18"/>
                <w:lang w:eastAsia="en-US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Кол-во лицензий</w:t>
            </w:r>
            <w:r>
              <w:rPr>
                <w:sz w:val="18"/>
                <w:szCs w:val="18"/>
                <w:lang w:eastAsia="en-US"/>
              </w:rPr>
            </w:r>
            <w:r>
              <w:rPr>
                <w:sz w:val="18"/>
                <w:szCs w:val="18"/>
                <w:lang w:eastAsia="en-US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</w:r>
            <w:r>
              <w:rPr>
                <w:sz w:val="18"/>
                <w:szCs w:val="18"/>
                <w:lang w:eastAsia="en-US"/>
              </w:rPr>
              <w:t xml:space="preserve">Срок действия</w:t>
            </w:r>
            <w:r>
              <w:rPr>
                <w:rStyle w:val="1056"/>
                <w:sz w:val="18"/>
                <w:szCs w:val="18"/>
                <w:lang w:eastAsia="en-US"/>
              </w:rPr>
              <w:footnoteReference w:id="3"/>
            </w:r>
            <w:r>
              <w:rPr>
                <w:sz w:val="18"/>
                <w:szCs w:val="18"/>
                <w:lang w:eastAsia="en-US"/>
              </w:rPr>
            </w:r>
            <w:r>
              <w:rPr>
                <w:sz w:val="18"/>
                <w:szCs w:val="18"/>
                <w:lang w:eastAsia="en-US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Наименование продукта в ЕРРП</w:t>
            </w:r>
            <w:r>
              <w:rPr>
                <w:rStyle w:val="1056"/>
                <w:sz w:val="18"/>
                <w:szCs w:val="18"/>
                <w:lang w:eastAsia="en-US"/>
              </w:rPr>
              <w:footnoteReference w:id="4"/>
            </w:r>
            <w:r>
              <w:rPr>
                <w:sz w:val="18"/>
                <w:szCs w:val="18"/>
                <w:lang w:eastAsia="en-US"/>
              </w:rPr>
            </w:r>
            <w:r>
              <w:rPr>
                <w:sz w:val="18"/>
                <w:szCs w:val="18"/>
                <w:lang w:eastAsia="en-US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Номер записи в ЕРРП</w:t>
            </w:r>
            <w:r>
              <w:rPr>
                <w:sz w:val="18"/>
                <w:szCs w:val="18"/>
                <w:lang w:eastAsia="en-US"/>
              </w:rPr>
            </w:r>
            <w:r>
              <w:rPr>
                <w:sz w:val="18"/>
                <w:szCs w:val="18"/>
                <w:lang w:eastAsia="en-US"/>
              </w:rPr>
            </w:r>
          </w:p>
        </w:tc>
      </w:tr>
      <w:tr>
        <w:tblPrEx/>
        <w:trPr/>
        <w:tc>
          <w:tcPr>
            <w:tcW w:w="452" w:type="dxa"/>
            <w:vAlign w:val="center"/>
            <w:vMerge w:val="restart"/>
            <w:textDirection w:val="lrTb"/>
            <w:noWrap w:val="false"/>
          </w:tcPr>
          <w:p>
            <w:pPr>
              <w:pStyle w:val="1057"/>
              <w:jc w:val="center"/>
              <w:rPr>
                <w:sz w:val="26"/>
                <w:szCs w:val="26"/>
                <w14:ligatures w14:val="none"/>
              </w:rPr>
            </w:pPr>
            <w:r>
              <w:rPr>
                <w:sz w:val="26"/>
                <w:szCs w:val="26"/>
              </w:rPr>
              <w:t xml:space="preserve">1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5359" w:type="dxa"/>
            <w:vAlign w:val="center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  <w14:ligatures w14:val="none"/>
              </w:rPr>
            </w:pPr>
            <w:r>
              <w:rPr>
                <w:sz w:val="22"/>
                <w:szCs w:val="22"/>
              </w:rPr>
              <w:t xml:space="preserve">Услуга по предоставлению сертификата на полную техническую поддержку ПО TrueConf Server V на 200 ПРО-пользователей, онлайн пользователей 300 для OC Linux. Срок поддержки: Годовая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  <w14:ligatures w14:val="none"/>
              </w:rPr>
            </w:pPr>
            <w:r>
              <w:rPr>
                <w:sz w:val="22"/>
                <w:szCs w:val="22"/>
              </w:rPr>
              <w:t xml:space="preserve">АО "ТКС"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</w:tcBorders>
            <w:tcW w:w="1558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  <w14:ligatures w14:val="none"/>
              </w:rPr>
            </w:pPr>
            <w:r>
              <w:rPr>
                <w:sz w:val="22"/>
                <w:szCs w:val="22"/>
              </w:rPr>
              <w:t xml:space="preserve">Электронный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14:ligatures w14:val="none"/>
              </w:rPr>
            </w:pPr>
            <w:r>
              <w:t xml:space="preserve">1</w:t>
            </w:r>
            <w:r/>
            <w:r/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  <w14:ligatures w14:val="none"/>
              </w:rPr>
            </w:pPr>
            <w:r>
              <w:rPr>
                <w:sz w:val="22"/>
                <w:szCs w:val="22"/>
              </w:rPr>
              <w:t xml:space="preserve">12 мес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  <w14:ligatures w14:val="none"/>
              </w:rPr>
            </w:pPr>
            <w:r>
              <w:rPr>
                <w:sz w:val="22"/>
                <w:szCs w:val="22"/>
              </w:rPr>
              <w:t xml:space="preserve">TrueConf Server V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  <w14:ligatures w14:val="none"/>
              </w:rPr>
            </w:pPr>
            <w:r>
              <w:rPr>
                <w:sz w:val="22"/>
                <w:szCs w:val="22"/>
              </w:rPr>
              <w:t xml:space="preserve">№12180 от 30.11.2021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W w:w="452" w:type="dxa"/>
            <w:vAlign w:val="center"/>
            <w:vMerge w:val="restart"/>
            <w:textDirection w:val="lrTb"/>
            <w:noWrap w:val="false"/>
          </w:tcPr>
          <w:p>
            <w:pPr>
              <w:pStyle w:val="1057"/>
              <w:jc w:val="center"/>
              <w:rPr>
                <w:sz w:val="26"/>
                <w:szCs w:val="26"/>
                <w14:ligatures w14:val="none"/>
              </w:rPr>
            </w:pPr>
            <w:r>
              <w:rPr>
                <w:sz w:val="26"/>
                <w:szCs w:val="26"/>
              </w:rPr>
              <w:t xml:space="preserve">2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5359" w:type="dxa"/>
            <w:vAlign w:val="center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  <w14:ligatures w14:val="none"/>
              </w:rPr>
            </w:pPr>
            <w:r>
              <w:rPr>
                <w:sz w:val="22"/>
                <w:szCs w:val="22"/>
              </w:rPr>
              <w:t xml:space="preserve">Лицензия на ПО TrueConf Updater. Срок лицензии: Годовая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  <w14:ligatures w14:val="none"/>
              </w:rPr>
            </w:pPr>
            <w:r>
              <w:rPr>
                <w:sz w:val="22"/>
                <w:szCs w:val="22"/>
              </w:rPr>
              <w:t xml:space="preserve">АО "ТКС"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</w:tcBorders>
            <w:tcW w:w="1558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  <w14:ligatures w14:val="none"/>
              </w:rPr>
            </w:pPr>
            <w:r>
              <w:rPr>
                <w:sz w:val="22"/>
                <w:szCs w:val="22"/>
              </w:rPr>
              <w:t xml:space="preserve">Электронный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14:ligatures w14:val="none"/>
              </w:rPr>
            </w:pPr>
            <w:r>
              <w:t xml:space="preserve">1</w:t>
            </w:r>
            <w:r/>
            <w:r/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  <w14:ligatures w14:val="none"/>
              </w:rPr>
            </w:pPr>
            <w:r>
              <w:rPr>
                <w:sz w:val="22"/>
                <w:szCs w:val="22"/>
              </w:rPr>
              <w:t xml:space="preserve">12 мес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  <w14:ligatures w14:val="none"/>
              </w:rPr>
            </w:pPr>
            <w:r>
              <w:rPr>
                <w:sz w:val="22"/>
                <w:szCs w:val="22"/>
              </w:rPr>
              <w:t xml:space="preserve">TrueConf Server V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  <w14:ligatures w14:val="none"/>
              </w:rPr>
            </w:pPr>
            <w:r>
              <w:rPr>
                <w:sz w:val="22"/>
                <w:szCs w:val="22"/>
              </w:rPr>
              <w:t xml:space="preserve">№12180 от 30.11.2021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W w:w="452" w:type="dxa"/>
            <w:vAlign w:val="center"/>
            <w:vMerge w:val="restart"/>
            <w:textDirection w:val="lrTb"/>
            <w:noWrap w:val="false"/>
          </w:tcPr>
          <w:p>
            <w:pPr>
              <w:pStyle w:val="1057"/>
              <w:jc w:val="center"/>
              <w:rPr>
                <w:sz w:val="26"/>
                <w:szCs w:val="26"/>
                <w14:ligatures w14:val="none"/>
              </w:rPr>
            </w:pPr>
            <w:r>
              <w:rPr>
                <w:sz w:val="26"/>
                <w:szCs w:val="26"/>
              </w:rPr>
              <w:t xml:space="preserve">3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5359" w:type="dxa"/>
            <w:vAlign w:val="center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  <w14:ligatures w14:val="none"/>
              </w:rPr>
            </w:pPr>
            <w:r>
              <w:rPr>
                <w:sz w:val="22"/>
                <w:szCs w:val="22"/>
              </w:rPr>
              <w:t xml:space="preserve">Услуга по предоставлению сертификата на полную техническую поддержку ПО TrueConf MCU на 60 портов. Срок поддержки: 1 год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  <w14:ligatures w14:val="none"/>
              </w:rPr>
            </w:pPr>
            <w:r>
              <w:rPr>
                <w:sz w:val="22"/>
                <w:szCs w:val="22"/>
              </w:rPr>
              <w:t xml:space="preserve">ООО "ТРУКОНФ"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</w:tcBorders>
            <w:tcW w:w="1558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  <w14:ligatures w14:val="none"/>
              </w:rPr>
            </w:pPr>
            <w:r>
              <w:rPr>
                <w:sz w:val="22"/>
                <w:szCs w:val="22"/>
              </w:rPr>
              <w:t xml:space="preserve">Электронный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14:ligatures w14:val="none"/>
              </w:rPr>
            </w:pPr>
            <w:r>
              <w:t xml:space="preserve">1</w:t>
            </w:r>
            <w:r/>
            <w:r/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  <w14:ligatures w14:val="none"/>
              </w:rPr>
            </w:pPr>
            <w:r>
              <w:rPr>
                <w:sz w:val="22"/>
                <w:szCs w:val="22"/>
              </w:rPr>
              <w:t xml:space="preserve">12 мес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  <w14:ligatures w14:val="none"/>
              </w:rPr>
            </w:pPr>
            <w:r>
              <w:rPr>
                <w:sz w:val="22"/>
                <w:szCs w:val="22"/>
              </w:rPr>
              <w:t xml:space="preserve">TrueConf MCU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  <w14:ligatures w14:val="none"/>
              </w:rPr>
            </w:pPr>
            <w:r>
              <w:rPr>
                <w:sz w:val="22"/>
                <w:szCs w:val="22"/>
              </w:rPr>
              <w:t xml:space="preserve">№6822 от 16.07.2020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jc w:val="both"/>
        <w:spacing w:before="120" w:after="60"/>
        <w:rPr>
          <w:lang w:eastAsia="en-US"/>
        </w:rPr>
      </w:pPr>
      <w:r>
        <w:rPr>
          <w:lang w:eastAsia="en-US"/>
        </w:rPr>
        <w:t xml:space="preserve">Предложение товара эквивалента не рассматривается.</w:t>
      </w:r>
      <w:r>
        <w:rPr>
          <w:lang w:eastAsia="en-US"/>
        </w:rPr>
      </w:r>
      <w:r>
        <w:rPr>
          <w:lang w:eastAsia="en-US"/>
        </w:rPr>
      </w:r>
    </w:p>
    <w:p>
      <w:pPr>
        <w:jc w:val="both"/>
        <w:spacing w:before="120" w:after="6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sectPr>
      <w:footerReference w:type="default" r:id="rId10"/>
      <w:footnotePr/>
      <w:endnotePr/>
      <w:type w:val="nextPage"/>
      <w:pgSz w:w="16838" w:h="11906" w:orient="landscape"/>
      <w:pgMar w:top="1134" w:right="1134" w:bottom="850" w:left="1134" w:header="284" w:footer="12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0" w:type="auto"/>
      <w:tblLook w:val="04A0" w:firstRow="1" w:lastRow="0" w:firstColumn="1" w:lastColumn="0" w:noHBand="0" w:noVBand="1"/>
    </w:tblPr>
    <w:tblGrid>
      <w:gridCol w:w="3114"/>
      <w:gridCol w:w="3114"/>
      <w:gridCol w:w="3127"/>
    </w:tblGrid>
    <w:tr>
      <w:tblPrEx/>
      <w:trPr/>
      <w:tc>
        <w:tcPr>
          <w:tcW w:w="3190" w:type="dxa"/>
          <w:textDirection w:val="lrTb"/>
          <w:noWrap w:val="false"/>
        </w:tcPr>
        <w:p>
          <w:pPr>
            <w:pStyle w:val="1038"/>
            <w:ind w:right="360"/>
            <w:rPr>
              <w:sz w:val="20"/>
              <w:szCs w:val="20"/>
            </w:rPr>
          </w:pPr>
          <w:r>
            <w:rPr>
              <w:sz w:val="20"/>
              <w:szCs w:val="20"/>
            </w:rPr>
          </w:r>
          <w:r>
            <w:rPr>
              <w:sz w:val="20"/>
              <w:szCs w:val="20"/>
            </w:rPr>
          </w:r>
          <w:r>
            <w:rPr>
              <w:sz w:val="20"/>
              <w:szCs w:val="20"/>
            </w:rPr>
          </w:r>
        </w:p>
      </w:tc>
      <w:tc>
        <w:tcPr>
          <w:tcW w:w="3190" w:type="dxa"/>
          <w:textDirection w:val="lrTb"/>
          <w:noWrap w:val="false"/>
        </w:tcPr>
        <w:p>
          <w:pPr>
            <w:pStyle w:val="1038"/>
            <w:ind w:right="360"/>
            <w:rPr>
              <w:sz w:val="20"/>
              <w:szCs w:val="20"/>
            </w:rPr>
          </w:pPr>
          <w:r>
            <w:rPr>
              <w:sz w:val="20"/>
              <w:szCs w:val="20"/>
            </w:rPr>
          </w:r>
          <w:r>
            <w:rPr>
              <w:sz w:val="20"/>
              <w:szCs w:val="20"/>
            </w:rPr>
          </w:r>
          <w:r>
            <w:rPr>
              <w:sz w:val="20"/>
              <w:szCs w:val="20"/>
            </w:rPr>
          </w:r>
        </w:p>
      </w:tc>
      <w:tc>
        <w:tcPr>
          <w:tcW w:w="3191" w:type="dxa"/>
          <w:textDirection w:val="lrTb"/>
          <w:noWrap w:val="false"/>
        </w:tcPr>
        <w:p>
          <w:pPr>
            <w:pStyle w:val="1038"/>
            <w:ind w:right="360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   \* MERGEFORMAT </w:instrText>
          </w:r>
          <w:r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 xml:space="preserve">3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</w:r>
          <w:r>
            <w:rPr>
              <w:sz w:val="20"/>
              <w:szCs w:val="20"/>
            </w:rPr>
          </w:r>
        </w:p>
      </w:tc>
    </w:tr>
  </w:tbl>
  <w:p>
    <w:pPr>
      <w:pStyle w:val="1038"/>
      <w:ind w:right="360"/>
      <w:rPr>
        <w:sz w:val="12"/>
        <w:szCs w:val="12"/>
      </w:rPr>
    </w:pPr>
    <w:r>
      <w:rPr>
        <w:sz w:val="12"/>
        <w:szCs w:val="12"/>
      </w:rPr>
    </w:r>
    <w:r>
      <w:rPr>
        <w:sz w:val="12"/>
        <w:szCs w:val="12"/>
      </w:rPr>
    </w:r>
    <w:r>
      <w:rPr>
        <w:sz w:val="12"/>
        <w:szCs w:val="12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15309" w:type="dxa"/>
      <w:tblLook w:val="04A0" w:firstRow="1" w:lastRow="0" w:firstColumn="1" w:lastColumn="0" w:noHBand="0" w:noVBand="1"/>
    </w:tblPr>
    <w:tblGrid>
      <w:gridCol w:w="3190"/>
      <w:gridCol w:w="3190"/>
      <w:gridCol w:w="8929"/>
    </w:tblGrid>
    <w:tr>
      <w:tblPrEx/>
      <w:trPr/>
      <w:tc>
        <w:tcPr>
          <w:tcW w:w="3190" w:type="dxa"/>
          <w:textDirection w:val="lrTb"/>
          <w:noWrap w:val="false"/>
        </w:tcPr>
        <w:p>
          <w:pPr>
            <w:pStyle w:val="1038"/>
            <w:ind w:right="360"/>
            <w:rPr>
              <w:sz w:val="20"/>
              <w:szCs w:val="20"/>
            </w:rPr>
          </w:pPr>
          <w:r>
            <w:rPr>
              <w:sz w:val="20"/>
              <w:szCs w:val="20"/>
            </w:rPr>
          </w:r>
          <w:r>
            <w:rPr>
              <w:sz w:val="20"/>
              <w:szCs w:val="20"/>
            </w:rPr>
          </w:r>
          <w:r>
            <w:rPr>
              <w:sz w:val="20"/>
              <w:szCs w:val="20"/>
            </w:rPr>
          </w:r>
        </w:p>
      </w:tc>
      <w:tc>
        <w:tcPr>
          <w:tcW w:w="3190" w:type="dxa"/>
          <w:textDirection w:val="lrTb"/>
          <w:noWrap w:val="false"/>
        </w:tcPr>
        <w:p>
          <w:pPr>
            <w:pStyle w:val="1038"/>
            <w:ind w:right="360"/>
            <w:rPr>
              <w:sz w:val="20"/>
              <w:szCs w:val="20"/>
            </w:rPr>
          </w:pPr>
          <w:r>
            <w:rPr>
              <w:sz w:val="20"/>
              <w:szCs w:val="20"/>
            </w:rPr>
          </w:r>
          <w:r>
            <w:rPr>
              <w:sz w:val="20"/>
              <w:szCs w:val="20"/>
            </w:rPr>
          </w:r>
          <w:r>
            <w:rPr>
              <w:sz w:val="20"/>
              <w:szCs w:val="20"/>
            </w:rPr>
          </w:r>
        </w:p>
      </w:tc>
      <w:tc>
        <w:tcPr>
          <w:tcW w:w="8929" w:type="dxa"/>
          <w:textDirection w:val="lrTb"/>
          <w:noWrap w:val="false"/>
        </w:tcPr>
        <w:p>
          <w:pPr>
            <w:pStyle w:val="1038"/>
            <w:ind w:right="360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   \* MERGEFORMAT </w:instrText>
          </w:r>
          <w:r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 xml:space="preserve">4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</w:r>
          <w:r>
            <w:rPr>
              <w:sz w:val="20"/>
              <w:szCs w:val="20"/>
            </w:rPr>
          </w:r>
        </w:p>
      </w:tc>
    </w:tr>
  </w:tbl>
  <w:p>
    <w:pPr>
      <w:pStyle w:val="1038"/>
      <w:ind w:right="360"/>
      <w:rPr>
        <w:sz w:val="12"/>
        <w:szCs w:val="12"/>
      </w:rPr>
    </w:pPr>
    <w:r>
      <w:rPr>
        <w:sz w:val="12"/>
        <w:szCs w:val="12"/>
      </w:rPr>
    </w:r>
    <w:r>
      <w:rPr>
        <w:sz w:val="12"/>
        <w:szCs w:val="12"/>
      </w:rPr>
    </w:r>
    <w:r>
      <w:rPr>
        <w:sz w:val="12"/>
        <w:szCs w:val="12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  <w:footnote w:id="2">
    <w:p>
      <w:pPr>
        <w:pStyle w:val="1054"/>
        <w:rPr>
          <w:sz w:val="16"/>
          <w:szCs w:val="16"/>
        </w:rPr>
      </w:pPr>
      <w:r>
        <w:rPr>
          <w:rStyle w:val="1056"/>
        </w:rPr>
        <w:footnoteRef/>
      </w:r>
      <w:r>
        <w:t xml:space="preserve"> </w:t>
      </w:r>
      <w:r>
        <w:rPr>
          <w:i/>
          <w:sz w:val="20"/>
          <w:szCs w:val="20"/>
          <w:lang w:eastAsia="en-US"/>
        </w:rPr>
        <w:t xml:space="preserve">В период действия лицензии Лицензиа</w:t>
      </w:r>
      <w:r>
        <w:rPr>
          <w:i/>
          <w:sz w:val="20"/>
          <w:szCs w:val="20"/>
          <w:lang w:eastAsia="en-US"/>
        </w:rPr>
        <w:t xml:space="preserve">р/Сублицензиар</w:t>
      </w:r>
      <w:r>
        <w:rPr>
          <w:i/>
          <w:sz w:val="20"/>
          <w:szCs w:val="20"/>
          <w:lang w:eastAsia="en-US"/>
        </w:rPr>
        <w:t xml:space="preserve"> производит обновления программного обеспечения по мере их выпуска</w:t>
      </w:r>
      <w:r>
        <w:rPr>
          <w:sz w:val="16"/>
          <w:szCs w:val="16"/>
        </w:rPr>
      </w:r>
      <w:r>
        <w:rPr>
          <w:sz w:val="16"/>
          <w:szCs w:val="16"/>
        </w:rPr>
      </w:r>
    </w:p>
  </w:footnote>
  <w:footnote w:id="3">
    <w:p>
      <w:pPr>
        <w:pStyle w:val="1054"/>
        <w:rPr>
          <w:sz w:val="20"/>
          <w:szCs w:val="20"/>
        </w:rPr>
      </w:pPr>
      <w:r>
        <w:rPr>
          <w:rStyle w:val="1056"/>
        </w:rPr>
        <w:footnoteRef/>
      </w:r>
      <w:r>
        <w:t xml:space="preserve"> </w:t>
      </w:r>
      <w:r>
        <w:rPr>
          <w:i/>
          <w:iCs/>
          <w:sz w:val="20"/>
          <w:szCs w:val="20"/>
          <w:lang w:eastAsia="en-US"/>
        </w:rPr>
        <w:t xml:space="preserve">но не более срока действия исключительного права на программное</w:t>
      </w:r>
      <w:r>
        <w:rPr>
          <w:i/>
          <w:sz w:val="20"/>
          <w:szCs w:val="20"/>
          <w:lang w:eastAsia="en-US"/>
        </w:rPr>
        <w:t xml:space="preserve"> </w:t>
      </w:r>
      <w:r>
        <w:rPr>
          <w:i/>
          <w:iCs/>
          <w:sz w:val="20"/>
          <w:szCs w:val="20"/>
          <w:lang w:eastAsia="en-US"/>
        </w:rPr>
        <w:t xml:space="preserve">обеспечение</w:t>
      </w:r>
      <w:r>
        <w:rPr>
          <w:sz w:val="20"/>
          <w:szCs w:val="20"/>
        </w:rPr>
      </w:r>
      <w:r>
        <w:rPr>
          <w:sz w:val="20"/>
          <w:szCs w:val="20"/>
        </w:rPr>
      </w:r>
    </w:p>
  </w:footnote>
  <w:footnote w:id="4">
    <w:p>
      <w:pPr>
        <w:pStyle w:val="1054"/>
        <w:rPr>
          <w:sz w:val="20"/>
          <w:szCs w:val="20"/>
        </w:rPr>
      </w:pPr>
      <w:r>
        <w:rPr>
          <w:rStyle w:val="1056"/>
        </w:rPr>
        <w:footnoteRef/>
      </w:r>
      <w:r>
        <w:t xml:space="preserve"> </w:t>
      </w:r>
      <w:r>
        <w:rPr>
          <w:i/>
          <w:iCs/>
          <w:sz w:val="20"/>
          <w:szCs w:val="20"/>
          <w:lang w:eastAsia="en-US"/>
        </w:rPr>
        <w:t xml:space="preserve">ЕРРП – </w:t>
      </w:r>
      <w:r>
        <w:rPr>
          <w:i/>
          <w:iCs/>
          <w:sz w:val="20"/>
          <w:szCs w:val="20"/>
          <w:lang w:eastAsia="en-US"/>
        </w:rPr>
        <w:t xml:space="preserve">Единый реестр российских программ для электронных </w:t>
      </w:r>
      <w:r>
        <w:rPr>
          <w:i/>
          <w:iCs/>
          <w:sz w:val="20"/>
          <w:szCs w:val="20"/>
          <w:lang w:eastAsia="en-US"/>
        </w:rPr>
        <w:t xml:space="preserve">вычислительных </w:t>
      </w:r>
      <w:r>
        <w:rPr>
          <w:i/>
          <w:iCs/>
          <w:sz w:val="20"/>
          <w:szCs w:val="20"/>
          <w:lang w:eastAsia="en-US"/>
        </w:rPr>
        <w:t xml:space="preserve">машин и баз данных</w:t>
      </w:r>
      <w:r>
        <w:rPr>
          <w:i/>
          <w:iCs/>
          <w:sz w:val="20"/>
          <w:szCs w:val="20"/>
          <w:lang w:eastAsia="en-US"/>
        </w:rPr>
        <w:t xml:space="preserve"> </w:t>
      </w:r>
      <w:r>
        <w:rPr>
          <w:i/>
          <w:iCs/>
          <w:sz w:val="20"/>
          <w:szCs w:val="20"/>
          <w:lang w:eastAsia="en-US"/>
        </w:rPr>
        <w:t xml:space="preserve">https://reestr.digital.gov.ru/</w:t>
      </w:r>
      <w:r>
        <w:rPr>
          <w:sz w:val="20"/>
          <w:szCs w:val="20"/>
        </w:rPr>
      </w:r>
      <w:r>
        <w:rPr>
          <w:sz w:val="20"/>
          <w:szCs w:val="20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1026"/>
      <w:isLgl w:val="false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1027"/>
      <w:isLgl w:val="false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0" w:firstLine="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isLgl w:val="false"/>
      <w:suff w:val="tab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0" w:firstLine="0"/>
      </w:pPr>
      <w:rPr>
        <w:rFonts w:hint="default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multiLevelType w:val="hybridMultilevel"/>
    <w:lvl w:ilvl="0">
      <w:start w:val="1"/>
      <w:numFmt w:val="decimal"/>
      <w:pStyle w:val="1025"/>
      <w:isLgl w:val="false"/>
      <w:suff w:val="tab"/>
      <w:lvlText w:val="%1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ascii="Times New Roman" w:hAnsi="Times New Roman" w:eastAsia="Calibri" w:cs="Times New Roman"/>
        <w:b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40" w:hanging="480"/>
      </w:pPr>
      <w:rPr>
        <w:rFonts w:hint="default" w:ascii="Times New Roman" w:hAnsi="Times New Roman" w:eastAsia="Times New Roman" w:cs="Times New Roman"/>
        <w:color w:val="0000ff"/>
        <w:sz w:val="28"/>
        <w:u w:val="singl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1417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14"/>
  </w:num>
  <w:num w:numId="2">
    <w:abstractNumId w:val="3"/>
  </w:num>
  <w:num w:numId="3">
    <w:abstractNumId w:val="5"/>
  </w:num>
  <w:num w:numId="4">
    <w:abstractNumId w:val="13"/>
  </w:num>
  <w:num w:numId="5">
    <w:abstractNumId w:val="4"/>
  </w:num>
  <w:num w:numId="6">
    <w:abstractNumId w:val="1"/>
  </w:num>
  <w:num w:numId="7">
    <w:abstractNumId w:val="1"/>
  </w:num>
  <w:num w:numId="8">
    <w:abstractNumId w:val="1"/>
  </w:num>
  <w:num w:numId="9">
    <w:abstractNumId w:val="11"/>
  </w:num>
  <w:num w:numId="10">
    <w:abstractNumId w:val="15"/>
  </w:num>
  <w:num w:numId="11">
    <w:abstractNumId w:val="2"/>
  </w:num>
  <w:num w:numId="12">
    <w:abstractNumId w:val="8"/>
  </w:num>
  <w:num w:numId="13">
    <w:abstractNumId w:val="0"/>
  </w:num>
  <w:num w:numId="14">
    <w:abstractNumId w:val="1"/>
  </w:num>
  <w:num w:numId="15">
    <w:abstractNumId w:val="9"/>
  </w:num>
  <w:num w:numId="16">
    <w:abstractNumId w:val="9"/>
  </w:num>
  <w:num w:numId="17">
    <w:abstractNumId w:val="9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</w:num>
  <w:num w:numId="22">
    <w:abstractNumId w:val="7"/>
  </w:num>
  <w:num w:numId="23">
    <w:abstractNumId w:val="9"/>
  </w:num>
  <w:num w:numId="24">
    <w:abstractNumId w:val="12"/>
  </w:num>
  <w:num w:numId="25">
    <w:abstractNumId w:val="10"/>
  </w:num>
  <w:num w:numId="26">
    <w:abstractNumId w:val="16"/>
  </w:num>
  <w:num w:numId="27">
    <w:abstractNumId w:val="17"/>
  </w:num>
  <w:num w:numId="28">
    <w:abstractNumId w:val="18"/>
  </w:num>
  <w:num w:numId="29">
    <w:abstractNumId w:val="19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860">
    <w:name w:val="Heading 1 Char"/>
    <w:basedOn w:val="1028"/>
    <w:link w:val="1025"/>
    <w:uiPriority w:val="9"/>
    <w:rPr>
      <w:rFonts w:ascii="Arial" w:hAnsi="Arial" w:eastAsia="Arial" w:cs="Arial"/>
      <w:sz w:val="40"/>
      <w:szCs w:val="40"/>
    </w:rPr>
  </w:style>
  <w:style w:type="character" w:styleId="861">
    <w:name w:val="Heading 2 Char"/>
    <w:basedOn w:val="1028"/>
    <w:link w:val="1026"/>
    <w:uiPriority w:val="9"/>
    <w:rPr>
      <w:rFonts w:ascii="Arial" w:hAnsi="Arial" w:eastAsia="Arial" w:cs="Arial"/>
      <w:sz w:val="34"/>
    </w:rPr>
  </w:style>
  <w:style w:type="character" w:styleId="862">
    <w:name w:val="Heading 3 Char"/>
    <w:basedOn w:val="1028"/>
    <w:link w:val="1027"/>
    <w:uiPriority w:val="9"/>
    <w:rPr>
      <w:rFonts w:ascii="Arial" w:hAnsi="Arial" w:eastAsia="Arial" w:cs="Arial"/>
      <w:sz w:val="30"/>
      <w:szCs w:val="30"/>
    </w:rPr>
  </w:style>
  <w:style w:type="paragraph" w:styleId="863">
    <w:name w:val="Heading 4"/>
    <w:basedOn w:val="1024"/>
    <w:next w:val="1024"/>
    <w:link w:val="86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864">
    <w:name w:val="Heading 4 Char"/>
    <w:basedOn w:val="1028"/>
    <w:link w:val="863"/>
    <w:uiPriority w:val="9"/>
    <w:rPr>
      <w:rFonts w:ascii="Arial" w:hAnsi="Arial" w:eastAsia="Arial" w:cs="Arial"/>
      <w:b/>
      <w:bCs/>
      <w:sz w:val="26"/>
      <w:szCs w:val="26"/>
    </w:rPr>
  </w:style>
  <w:style w:type="paragraph" w:styleId="865">
    <w:name w:val="Heading 5"/>
    <w:basedOn w:val="1024"/>
    <w:next w:val="1024"/>
    <w:link w:val="86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866">
    <w:name w:val="Heading 5 Char"/>
    <w:basedOn w:val="1028"/>
    <w:link w:val="865"/>
    <w:uiPriority w:val="9"/>
    <w:rPr>
      <w:rFonts w:ascii="Arial" w:hAnsi="Arial" w:eastAsia="Arial" w:cs="Arial"/>
      <w:b/>
      <w:bCs/>
      <w:sz w:val="24"/>
      <w:szCs w:val="24"/>
    </w:rPr>
  </w:style>
  <w:style w:type="paragraph" w:styleId="867">
    <w:name w:val="Heading 6"/>
    <w:basedOn w:val="1024"/>
    <w:next w:val="1024"/>
    <w:link w:val="86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868">
    <w:name w:val="Heading 6 Char"/>
    <w:basedOn w:val="1028"/>
    <w:link w:val="867"/>
    <w:uiPriority w:val="9"/>
    <w:rPr>
      <w:rFonts w:ascii="Arial" w:hAnsi="Arial" w:eastAsia="Arial" w:cs="Arial"/>
      <w:b/>
      <w:bCs/>
      <w:sz w:val="22"/>
      <w:szCs w:val="22"/>
    </w:rPr>
  </w:style>
  <w:style w:type="paragraph" w:styleId="869">
    <w:name w:val="Heading 7"/>
    <w:basedOn w:val="1024"/>
    <w:next w:val="1024"/>
    <w:link w:val="87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70">
    <w:name w:val="Heading 7 Char"/>
    <w:basedOn w:val="1028"/>
    <w:link w:val="86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871">
    <w:name w:val="Heading 8"/>
    <w:basedOn w:val="1024"/>
    <w:next w:val="1024"/>
    <w:link w:val="87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872">
    <w:name w:val="Heading 8 Char"/>
    <w:basedOn w:val="1028"/>
    <w:link w:val="871"/>
    <w:uiPriority w:val="9"/>
    <w:rPr>
      <w:rFonts w:ascii="Arial" w:hAnsi="Arial" w:eastAsia="Arial" w:cs="Arial"/>
      <w:i/>
      <w:iCs/>
      <w:sz w:val="22"/>
      <w:szCs w:val="22"/>
    </w:rPr>
  </w:style>
  <w:style w:type="paragraph" w:styleId="873">
    <w:name w:val="Heading 9"/>
    <w:basedOn w:val="1024"/>
    <w:next w:val="1024"/>
    <w:link w:val="87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74">
    <w:name w:val="Heading 9 Char"/>
    <w:basedOn w:val="1028"/>
    <w:link w:val="873"/>
    <w:uiPriority w:val="9"/>
    <w:rPr>
      <w:rFonts w:ascii="Arial" w:hAnsi="Arial" w:eastAsia="Arial" w:cs="Arial"/>
      <w:i/>
      <w:iCs/>
      <w:sz w:val="21"/>
      <w:szCs w:val="21"/>
    </w:rPr>
  </w:style>
  <w:style w:type="paragraph" w:styleId="875">
    <w:name w:val="No Spacing"/>
    <w:uiPriority w:val="1"/>
    <w:qFormat/>
    <w:pPr>
      <w:spacing w:before="0" w:after="0" w:line="240" w:lineRule="auto"/>
    </w:pPr>
  </w:style>
  <w:style w:type="paragraph" w:styleId="876">
    <w:name w:val="Title"/>
    <w:basedOn w:val="1024"/>
    <w:next w:val="1024"/>
    <w:link w:val="87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877">
    <w:name w:val="Title Char"/>
    <w:basedOn w:val="1028"/>
    <w:link w:val="876"/>
    <w:uiPriority w:val="10"/>
    <w:rPr>
      <w:sz w:val="48"/>
      <w:szCs w:val="48"/>
    </w:rPr>
  </w:style>
  <w:style w:type="paragraph" w:styleId="878">
    <w:name w:val="Subtitle"/>
    <w:basedOn w:val="1024"/>
    <w:next w:val="1024"/>
    <w:link w:val="879"/>
    <w:uiPriority w:val="11"/>
    <w:qFormat/>
    <w:pPr>
      <w:spacing w:before="200" w:after="200"/>
    </w:pPr>
    <w:rPr>
      <w:sz w:val="24"/>
      <w:szCs w:val="24"/>
    </w:rPr>
  </w:style>
  <w:style w:type="character" w:styleId="879">
    <w:name w:val="Subtitle Char"/>
    <w:basedOn w:val="1028"/>
    <w:link w:val="878"/>
    <w:uiPriority w:val="11"/>
    <w:rPr>
      <w:sz w:val="24"/>
      <w:szCs w:val="24"/>
    </w:rPr>
  </w:style>
  <w:style w:type="paragraph" w:styleId="880">
    <w:name w:val="Quote"/>
    <w:basedOn w:val="1024"/>
    <w:next w:val="1024"/>
    <w:link w:val="881"/>
    <w:uiPriority w:val="29"/>
    <w:qFormat/>
    <w:pPr>
      <w:ind w:left="720" w:right="720"/>
    </w:pPr>
    <w:rPr>
      <w:i/>
    </w:rPr>
  </w:style>
  <w:style w:type="character" w:styleId="881">
    <w:name w:val="Quote Char"/>
    <w:link w:val="880"/>
    <w:uiPriority w:val="29"/>
    <w:rPr>
      <w:i/>
    </w:rPr>
  </w:style>
  <w:style w:type="paragraph" w:styleId="882">
    <w:name w:val="Intense Quote"/>
    <w:basedOn w:val="1024"/>
    <w:next w:val="1024"/>
    <w:link w:val="88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83">
    <w:name w:val="Intense Quote Char"/>
    <w:link w:val="882"/>
    <w:uiPriority w:val="30"/>
    <w:rPr>
      <w:i/>
    </w:rPr>
  </w:style>
  <w:style w:type="character" w:styleId="884">
    <w:name w:val="Header Char"/>
    <w:basedOn w:val="1028"/>
    <w:link w:val="1036"/>
    <w:uiPriority w:val="99"/>
  </w:style>
  <w:style w:type="character" w:styleId="885">
    <w:name w:val="Footer Char"/>
    <w:basedOn w:val="1028"/>
    <w:link w:val="1038"/>
    <w:uiPriority w:val="99"/>
  </w:style>
  <w:style w:type="paragraph" w:styleId="886">
    <w:name w:val="Caption"/>
    <w:basedOn w:val="1024"/>
    <w:next w:val="1024"/>
    <w:link w:val="88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87">
    <w:name w:val="Caption Char"/>
    <w:basedOn w:val="1028"/>
    <w:link w:val="886"/>
    <w:uiPriority w:val="35"/>
    <w:rPr>
      <w:b/>
      <w:bCs/>
      <w:color w:val="4f81bd" w:themeColor="accent1"/>
      <w:sz w:val="18"/>
      <w:szCs w:val="18"/>
    </w:rPr>
  </w:style>
  <w:style w:type="table" w:styleId="888">
    <w:name w:val="Table Grid Light"/>
    <w:basedOn w:val="102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89">
    <w:name w:val="Plain Table 1"/>
    <w:basedOn w:val="102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90">
    <w:name w:val="Plain Table 2"/>
    <w:basedOn w:val="102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91">
    <w:name w:val="Plain Table 3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92">
    <w:name w:val="Plain Table 4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3">
    <w:name w:val="Plain Table 5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94">
    <w:name w:val="Grid Table 1 Light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5">
    <w:name w:val="Grid Table 1 Light - Accent 1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6">
    <w:name w:val="Grid Table 1 Light - Accent 2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7">
    <w:name w:val="Grid Table 1 Light - Accent 3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8">
    <w:name w:val="Grid Table 1 Light - Accent 4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9">
    <w:name w:val="Grid Table 1 Light - Accent 5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0">
    <w:name w:val="Grid Table 1 Light - Accent 6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1">
    <w:name w:val="Grid Table 2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2">
    <w:name w:val="Grid Table 2 - Accent 1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3">
    <w:name w:val="Grid Table 2 - Accent 2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4">
    <w:name w:val="Grid Table 2 - Accent 3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5">
    <w:name w:val="Grid Table 2 - Accent 4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6">
    <w:name w:val="Grid Table 2 - Accent 5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7">
    <w:name w:val="Grid Table 2 - Accent 6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8">
    <w:name w:val="Grid Table 3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9">
    <w:name w:val="Grid Table 3 - Accent 1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0">
    <w:name w:val="Grid Table 3 - Accent 2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1">
    <w:name w:val="Grid Table 3 - Accent 3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2">
    <w:name w:val="Grid Table 3 - Accent 4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3">
    <w:name w:val="Grid Table 3 - Accent 5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4">
    <w:name w:val="Grid Table 3 - Accent 6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5">
    <w:name w:val="Grid Table 4"/>
    <w:basedOn w:val="10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916">
    <w:name w:val="Grid Table 4 - Accent 1"/>
    <w:basedOn w:val="10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917">
    <w:name w:val="Grid Table 4 - Accent 2"/>
    <w:basedOn w:val="10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918">
    <w:name w:val="Grid Table 4 - Accent 3"/>
    <w:basedOn w:val="10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919">
    <w:name w:val="Grid Table 4 - Accent 4"/>
    <w:basedOn w:val="10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920">
    <w:name w:val="Grid Table 4 - Accent 5"/>
    <w:basedOn w:val="10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921">
    <w:name w:val="Grid Table 4 - Accent 6"/>
    <w:basedOn w:val="10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922">
    <w:name w:val="Grid Table 5 Dark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923">
    <w:name w:val="Grid Table 5 Dark- Accent 1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924">
    <w:name w:val="Grid Table 5 Dark - Accent 2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925">
    <w:name w:val="Grid Table 5 Dark - Accent 3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926">
    <w:name w:val="Grid Table 5 Dark- Accent 4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927">
    <w:name w:val="Grid Table 5 Dark - Accent 5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28">
    <w:name w:val="Grid Table 5 Dark - Accent 6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29">
    <w:name w:val="Grid Table 6 Colorful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30">
    <w:name w:val="Grid Table 6 Colorful - Accent 1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31">
    <w:name w:val="Grid Table 6 Colorful - Accent 2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2">
    <w:name w:val="Grid Table 6 Colorful - Accent 3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3">
    <w:name w:val="Grid Table 6 Colorful - Accent 4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4">
    <w:name w:val="Grid Table 6 Colorful - Accent 5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35">
    <w:name w:val="Grid Table 6 Colorful - Accent 6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36">
    <w:name w:val="Grid Table 7 Colorful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7">
    <w:name w:val="Grid Table 7 Colorful - Accent 1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8">
    <w:name w:val="Grid Table 7 Colorful - Accent 2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9">
    <w:name w:val="Grid Table 7 Colorful - Accent 3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0">
    <w:name w:val="Grid Table 7 Colorful - Accent 4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1">
    <w:name w:val="Grid Table 7 Colorful - Accent 5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2">
    <w:name w:val="Grid Table 7 Colorful - Accent 6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3">
    <w:name w:val="List Table 1 Light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4">
    <w:name w:val="List Table 1 Light - Accent 1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5">
    <w:name w:val="List Table 1 Light - Accent 2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6">
    <w:name w:val="List Table 1 Light - Accent 3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7">
    <w:name w:val="List Table 1 Light - Accent 4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8">
    <w:name w:val="List Table 1 Light - Accent 5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9">
    <w:name w:val="List Table 1 Light - Accent 6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0">
    <w:name w:val="List Table 2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951">
    <w:name w:val="List Table 2 - Accent 1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952">
    <w:name w:val="List Table 2 - Accent 2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953">
    <w:name w:val="List Table 2 - Accent 3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954">
    <w:name w:val="List Table 2 - Accent 4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955">
    <w:name w:val="List Table 2 - Accent 5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956">
    <w:name w:val="List Table 2 - Accent 6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957">
    <w:name w:val="List Table 3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8">
    <w:name w:val="List Table 3 - Accent 1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9">
    <w:name w:val="List Table 3 - Accent 2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0">
    <w:name w:val="List Table 3 - Accent 3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1">
    <w:name w:val="List Table 3 - Accent 4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2">
    <w:name w:val="List Table 3 - Accent 5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3">
    <w:name w:val="List Table 3 - Accent 6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4">
    <w:name w:val="List Table 4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5">
    <w:name w:val="List Table 4 - Accent 1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6">
    <w:name w:val="List Table 4 - Accent 2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7">
    <w:name w:val="List Table 4 - Accent 3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8">
    <w:name w:val="List Table 4 - Accent 4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9">
    <w:name w:val="List Table 4 - Accent 5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0">
    <w:name w:val="List Table 4 - Accent 6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1">
    <w:name w:val="List Table 5 Dark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72">
    <w:name w:val="List Table 5 Dark - Accent 1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73">
    <w:name w:val="List Table 5 Dark - Accent 2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74">
    <w:name w:val="List Table 5 Dark - Accent 3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75">
    <w:name w:val="List Table 5 Dark - Accent 4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76">
    <w:name w:val="List Table 5 Dark - Accent 5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77">
    <w:name w:val="List Table 5 Dark - Accent 6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78">
    <w:name w:val="List Table 6 Colorful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979">
    <w:name w:val="List Table 6 Colorful - Accent 1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80">
    <w:name w:val="List Table 6 Colorful - Accent 2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981">
    <w:name w:val="List Table 6 Colorful - Accent 3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982">
    <w:name w:val="List Table 6 Colorful - Accent 4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83">
    <w:name w:val="List Table 6 Colorful - Accent 5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84">
    <w:name w:val="List Table 6 Colorful - Accent 6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85">
    <w:name w:val="List Table 7 Colorful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986">
    <w:name w:val="List Table 7 Colorful - Accent 1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987">
    <w:name w:val="List Table 7 Colorful - Accent 2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988">
    <w:name w:val="List Table 7 Colorful - Accent 3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989">
    <w:name w:val="List Table 7 Colorful - Accent 4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990">
    <w:name w:val="List Table 7 Colorful - Accent 5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991">
    <w:name w:val="List Table 7 Colorful - Accent 6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992">
    <w:name w:val="Lined - Accent"/>
    <w:basedOn w:val="10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93">
    <w:name w:val="Lined - Accent 1"/>
    <w:basedOn w:val="10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94">
    <w:name w:val="Lined - Accent 2"/>
    <w:basedOn w:val="10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95">
    <w:name w:val="Lined - Accent 3"/>
    <w:basedOn w:val="10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96">
    <w:name w:val="Lined - Accent 4"/>
    <w:basedOn w:val="10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97">
    <w:name w:val="Lined - Accent 5"/>
    <w:basedOn w:val="10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98">
    <w:name w:val="Lined - Accent 6"/>
    <w:basedOn w:val="10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99">
    <w:name w:val="Bordered &amp; Lined - Accent"/>
    <w:basedOn w:val="10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000">
    <w:name w:val="Bordered &amp; Lined - Accent 1"/>
    <w:basedOn w:val="10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001">
    <w:name w:val="Bordered &amp; Lined - Accent 2"/>
    <w:basedOn w:val="10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002">
    <w:name w:val="Bordered &amp; Lined - Accent 3"/>
    <w:basedOn w:val="10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003">
    <w:name w:val="Bordered &amp; Lined - Accent 4"/>
    <w:basedOn w:val="10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004">
    <w:name w:val="Bordered &amp; Lined - Accent 5"/>
    <w:basedOn w:val="10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005">
    <w:name w:val="Bordered &amp; Lined - Accent 6"/>
    <w:basedOn w:val="10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006">
    <w:name w:val="Bordered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007">
    <w:name w:val="Bordered - Accent 1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008">
    <w:name w:val="Bordered - Accent 2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009">
    <w:name w:val="Bordered - Accent 3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010">
    <w:name w:val="Bordered - Accent 4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011">
    <w:name w:val="Bordered - Accent 5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012">
    <w:name w:val="Bordered - Accent 6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013">
    <w:name w:val="Footnote Text Char"/>
    <w:link w:val="1054"/>
    <w:uiPriority w:val="99"/>
    <w:rPr>
      <w:sz w:val="18"/>
    </w:rPr>
  </w:style>
  <w:style w:type="paragraph" w:styleId="1014">
    <w:name w:val="endnote text"/>
    <w:basedOn w:val="1024"/>
    <w:link w:val="1015"/>
    <w:uiPriority w:val="99"/>
    <w:semiHidden/>
    <w:unhideWhenUsed/>
    <w:pPr>
      <w:spacing w:after="0" w:line="240" w:lineRule="auto"/>
    </w:pPr>
    <w:rPr>
      <w:sz w:val="20"/>
    </w:rPr>
  </w:style>
  <w:style w:type="character" w:styleId="1015">
    <w:name w:val="Endnote Text Char"/>
    <w:link w:val="1014"/>
    <w:uiPriority w:val="99"/>
    <w:rPr>
      <w:sz w:val="20"/>
    </w:rPr>
  </w:style>
  <w:style w:type="character" w:styleId="1016">
    <w:name w:val="endnote reference"/>
    <w:basedOn w:val="1028"/>
    <w:uiPriority w:val="99"/>
    <w:semiHidden/>
    <w:unhideWhenUsed/>
    <w:rPr>
      <w:vertAlign w:val="superscript"/>
    </w:rPr>
  </w:style>
  <w:style w:type="paragraph" w:styleId="1017">
    <w:name w:val="toc 4"/>
    <w:basedOn w:val="1024"/>
    <w:next w:val="1024"/>
    <w:uiPriority w:val="39"/>
    <w:unhideWhenUsed/>
    <w:pPr>
      <w:ind w:left="850" w:right="0" w:firstLine="0"/>
      <w:spacing w:after="57"/>
    </w:pPr>
  </w:style>
  <w:style w:type="paragraph" w:styleId="1018">
    <w:name w:val="toc 5"/>
    <w:basedOn w:val="1024"/>
    <w:next w:val="1024"/>
    <w:uiPriority w:val="39"/>
    <w:unhideWhenUsed/>
    <w:pPr>
      <w:ind w:left="1134" w:right="0" w:firstLine="0"/>
      <w:spacing w:after="57"/>
    </w:pPr>
  </w:style>
  <w:style w:type="paragraph" w:styleId="1019">
    <w:name w:val="toc 6"/>
    <w:basedOn w:val="1024"/>
    <w:next w:val="1024"/>
    <w:uiPriority w:val="39"/>
    <w:unhideWhenUsed/>
    <w:pPr>
      <w:ind w:left="1417" w:right="0" w:firstLine="0"/>
      <w:spacing w:after="57"/>
    </w:pPr>
  </w:style>
  <w:style w:type="paragraph" w:styleId="1020">
    <w:name w:val="toc 7"/>
    <w:basedOn w:val="1024"/>
    <w:next w:val="1024"/>
    <w:uiPriority w:val="39"/>
    <w:unhideWhenUsed/>
    <w:pPr>
      <w:ind w:left="1701" w:right="0" w:firstLine="0"/>
      <w:spacing w:after="57"/>
    </w:pPr>
  </w:style>
  <w:style w:type="paragraph" w:styleId="1021">
    <w:name w:val="toc 8"/>
    <w:basedOn w:val="1024"/>
    <w:next w:val="1024"/>
    <w:uiPriority w:val="39"/>
    <w:unhideWhenUsed/>
    <w:pPr>
      <w:ind w:left="1984" w:right="0" w:firstLine="0"/>
      <w:spacing w:after="57"/>
    </w:pPr>
  </w:style>
  <w:style w:type="paragraph" w:styleId="1022">
    <w:name w:val="toc 9"/>
    <w:basedOn w:val="1024"/>
    <w:next w:val="1024"/>
    <w:uiPriority w:val="39"/>
    <w:unhideWhenUsed/>
    <w:pPr>
      <w:ind w:left="2268" w:right="0" w:firstLine="0"/>
      <w:spacing w:after="57"/>
    </w:pPr>
  </w:style>
  <w:style w:type="paragraph" w:styleId="1023">
    <w:name w:val="table of figures"/>
    <w:basedOn w:val="1024"/>
    <w:next w:val="1024"/>
    <w:uiPriority w:val="99"/>
    <w:unhideWhenUsed/>
    <w:pPr>
      <w:spacing w:after="0" w:afterAutospacing="0"/>
    </w:pPr>
  </w:style>
  <w:style w:type="paragraph" w:styleId="1024" w:default="1">
    <w:name w:val="Normal"/>
    <w:qFormat/>
    <w:rPr>
      <w:rFonts w:ascii="Times New Roman" w:hAnsi="Times New Roman" w:eastAsia="Times New Roman"/>
      <w:sz w:val="24"/>
      <w:szCs w:val="24"/>
    </w:rPr>
  </w:style>
  <w:style w:type="paragraph" w:styleId="1025">
    <w:name w:val="Heading 1"/>
    <w:basedOn w:val="1024"/>
    <w:next w:val="1024"/>
    <w:link w:val="1042"/>
    <w:qFormat/>
    <w:pPr>
      <w:numPr>
        <w:ilvl w:val="0"/>
        <w:numId w:val="15"/>
      </w:numPr>
      <w:jc w:val="both"/>
      <w:keepNext/>
      <w:spacing w:before="120" w:after="60"/>
      <w:outlineLvl w:val="0"/>
    </w:pPr>
    <w:rPr>
      <w:sz w:val="28"/>
      <w:szCs w:val="20"/>
      <w:lang w:eastAsia="en-US"/>
    </w:rPr>
  </w:style>
  <w:style w:type="paragraph" w:styleId="1026">
    <w:name w:val="Heading 2"/>
    <w:basedOn w:val="1024"/>
    <w:next w:val="1024"/>
    <w:link w:val="1031"/>
    <w:qFormat/>
    <w:pPr>
      <w:numPr>
        <w:ilvl w:val="1"/>
        <w:numId w:val="8"/>
      </w:numPr>
      <w:keepNext/>
      <w:spacing w:before="120" w:after="120"/>
      <w:outlineLvl w:val="1"/>
    </w:pPr>
    <w:rPr>
      <w:sz w:val="28"/>
      <w:szCs w:val="20"/>
    </w:rPr>
  </w:style>
  <w:style w:type="paragraph" w:styleId="1027">
    <w:name w:val="Heading 3"/>
    <w:basedOn w:val="1024"/>
    <w:next w:val="1024"/>
    <w:link w:val="1045"/>
    <w:qFormat/>
    <w:pPr>
      <w:numPr>
        <w:ilvl w:val="2"/>
        <w:numId w:val="8"/>
      </w:numPr>
      <w:keepNext/>
      <w:spacing w:before="120" w:after="60"/>
      <w:outlineLvl w:val="2"/>
    </w:pPr>
    <w:rPr>
      <w:sz w:val="28"/>
      <w:szCs w:val="20"/>
    </w:rPr>
  </w:style>
  <w:style w:type="character" w:styleId="1028" w:default="1">
    <w:name w:val="Default Paragraph Font"/>
    <w:uiPriority w:val="1"/>
    <w:semiHidden/>
    <w:unhideWhenUsed/>
  </w:style>
  <w:style w:type="table" w:styleId="102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030" w:default="1">
    <w:name w:val="No List"/>
    <w:uiPriority w:val="99"/>
    <w:semiHidden/>
    <w:unhideWhenUsed/>
  </w:style>
  <w:style w:type="character" w:styleId="1031" w:customStyle="1">
    <w:name w:val="Заголовок 2 Знак"/>
    <w:link w:val="1026"/>
    <w:rPr>
      <w:rFonts w:ascii="Times New Roman" w:hAnsi="Times New Roman" w:eastAsia="Times New Roman"/>
      <w:sz w:val="28"/>
    </w:rPr>
  </w:style>
  <w:style w:type="paragraph" w:styleId="1032">
    <w:name w:val="Balloon Text"/>
    <w:basedOn w:val="1024"/>
    <w:link w:val="1033"/>
    <w:uiPriority w:val="99"/>
    <w:semiHidden/>
    <w:rPr>
      <w:rFonts w:ascii="Tahoma" w:hAnsi="Tahoma" w:cs="Tahoma"/>
      <w:sz w:val="16"/>
      <w:szCs w:val="16"/>
    </w:rPr>
  </w:style>
  <w:style w:type="character" w:styleId="1033" w:customStyle="1">
    <w:name w:val="Текст выноски Знак"/>
    <w:link w:val="1032"/>
    <w:uiPriority w:val="99"/>
    <w:semiHidden/>
    <w:rPr>
      <w:rFonts w:ascii="Tahoma" w:hAnsi="Tahoma" w:cs="Tahoma"/>
      <w:sz w:val="16"/>
      <w:szCs w:val="16"/>
      <w:lang w:eastAsia="ru-RU"/>
    </w:rPr>
  </w:style>
  <w:style w:type="paragraph" w:styleId="1034" w:customStyle="1">
    <w:name w:val="Абзац списка1"/>
    <w:basedOn w:val="1024"/>
    <w:uiPriority w:val="99"/>
    <w:qFormat/>
    <w:pPr>
      <w:ind w:left="720"/>
    </w:pPr>
  </w:style>
  <w:style w:type="character" w:styleId="1035">
    <w:name w:val="Hyperlink"/>
    <w:uiPriority w:val="99"/>
    <w:rPr>
      <w:color w:val="0000ff"/>
      <w:u w:val="single"/>
    </w:rPr>
  </w:style>
  <w:style w:type="paragraph" w:styleId="1036">
    <w:name w:val="Header"/>
    <w:basedOn w:val="1024"/>
    <w:link w:val="1037"/>
    <w:uiPriority w:val="99"/>
    <w:pPr>
      <w:tabs>
        <w:tab w:val="center" w:pos="4677" w:leader="none"/>
        <w:tab w:val="right" w:pos="9355" w:leader="none"/>
      </w:tabs>
    </w:pPr>
  </w:style>
  <w:style w:type="character" w:styleId="1037" w:customStyle="1">
    <w:name w:val="Верхний колонтитул Знак"/>
    <w:link w:val="1036"/>
    <w:uiPriority w:val="99"/>
    <w:rPr>
      <w:rFonts w:ascii="Times New Roman" w:hAnsi="Times New Roman" w:cs="Times New Roman"/>
      <w:sz w:val="24"/>
      <w:szCs w:val="24"/>
      <w:lang w:eastAsia="ru-RU"/>
    </w:rPr>
  </w:style>
  <w:style w:type="paragraph" w:styleId="1038">
    <w:name w:val="Footer"/>
    <w:basedOn w:val="1024"/>
    <w:link w:val="1039"/>
    <w:uiPriority w:val="99"/>
    <w:pPr>
      <w:tabs>
        <w:tab w:val="center" w:pos="4677" w:leader="none"/>
        <w:tab w:val="right" w:pos="9355" w:leader="none"/>
      </w:tabs>
    </w:pPr>
  </w:style>
  <w:style w:type="character" w:styleId="1039" w:customStyle="1">
    <w:name w:val="Нижний колонтитул Знак"/>
    <w:link w:val="1038"/>
    <w:uiPriority w:val="99"/>
    <w:rPr>
      <w:rFonts w:ascii="Times New Roman" w:hAnsi="Times New Roman" w:cs="Times New Roman"/>
      <w:sz w:val="24"/>
      <w:szCs w:val="24"/>
      <w:lang w:eastAsia="ru-RU"/>
    </w:rPr>
  </w:style>
  <w:style w:type="character" w:styleId="1040">
    <w:name w:val="page number"/>
    <w:basedOn w:val="1028"/>
  </w:style>
  <w:style w:type="table" w:styleId="1041">
    <w:name w:val="Table Grid"/>
    <w:basedOn w:val="1029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042" w:customStyle="1">
    <w:name w:val="Заголовок 1 Знак"/>
    <w:basedOn w:val="1028"/>
    <w:link w:val="1025"/>
    <w:rPr>
      <w:rFonts w:ascii="Times New Roman" w:hAnsi="Times New Roman" w:eastAsia="Times New Roman"/>
      <w:sz w:val="28"/>
      <w:lang w:eastAsia="en-US"/>
    </w:rPr>
  </w:style>
  <w:style w:type="paragraph" w:styleId="1043">
    <w:name w:val="toc 1"/>
    <w:basedOn w:val="1024"/>
    <w:next w:val="1024"/>
    <w:uiPriority w:val="39"/>
    <w:pPr>
      <w:spacing w:after="100"/>
      <w:tabs>
        <w:tab w:val="left" w:pos="480" w:leader="none"/>
        <w:tab w:val="right" w:pos="9345" w:leader="dot"/>
      </w:tabs>
    </w:pPr>
    <w:rPr>
      <w:rFonts w:eastAsiaTheme="minorEastAsia"/>
      <w:sz w:val="28"/>
      <w:szCs w:val="28"/>
    </w:rPr>
  </w:style>
  <w:style w:type="paragraph" w:styleId="1044">
    <w:name w:val="toc 2"/>
    <w:basedOn w:val="1024"/>
    <w:next w:val="1024"/>
    <w:uiPriority w:val="39"/>
    <w:pPr>
      <w:ind w:left="240"/>
      <w:spacing w:after="100"/>
    </w:pPr>
    <w:rPr>
      <w:sz w:val="28"/>
    </w:rPr>
  </w:style>
  <w:style w:type="character" w:styleId="1045" w:customStyle="1">
    <w:name w:val="Заголовок 3 Знак"/>
    <w:basedOn w:val="1028"/>
    <w:link w:val="1027"/>
    <w:rPr>
      <w:rFonts w:ascii="Times New Roman" w:hAnsi="Times New Roman" w:eastAsia="Times New Roman"/>
      <w:sz w:val="28"/>
    </w:rPr>
  </w:style>
  <w:style w:type="paragraph" w:styleId="1046">
    <w:name w:val="toc 3"/>
    <w:basedOn w:val="1024"/>
    <w:next w:val="1024"/>
    <w:uiPriority w:val="39"/>
    <w:pPr>
      <w:ind w:left="480"/>
      <w:spacing w:after="100"/>
    </w:pPr>
    <w:rPr>
      <w:sz w:val="28"/>
    </w:rPr>
  </w:style>
  <w:style w:type="paragraph" w:styleId="1047">
    <w:name w:val="TOC Heading"/>
    <w:basedOn w:val="1025"/>
    <w:next w:val="1024"/>
    <w:uiPriority w:val="39"/>
    <w:unhideWhenUsed/>
    <w:qFormat/>
    <w:pPr>
      <w:numPr>
        <w:ilvl w:val="0"/>
        <w:numId w:val="0"/>
      </w:numPr>
      <w:jc w:val="left"/>
      <w:keepLines/>
      <w:spacing w:before="480" w:after="0" w:line="276" w:lineRule="auto"/>
      <w:outlineLvl w:val="9"/>
    </w:pPr>
    <w:rPr>
      <w:rFonts w:asciiTheme="majorHAnsi" w:hAnsiTheme="majorHAnsi" w:eastAsiaTheme="majorEastAsia" w:cstheme="majorBidi"/>
      <w:b/>
      <w:bCs/>
      <w:color w:val="365f91" w:themeColor="accent1" w:themeShade="BF"/>
      <w:szCs w:val="28"/>
    </w:rPr>
  </w:style>
  <w:style w:type="paragraph" w:styleId="1048">
    <w:name w:val="List Paragraph"/>
    <w:basedOn w:val="1024"/>
    <w:uiPriority w:val="34"/>
    <w:qFormat/>
    <w:pPr>
      <w:contextualSpacing/>
      <w:ind w:left="720"/>
    </w:pPr>
  </w:style>
  <w:style w:type="paragraph" w:styleId="1049" w:customStyle="1">
    <w:name w:val="Пункт"/>
    <w:basedOn w:val="1024"/>
    <w:pPr>
      <w:ind w:left="1134" w:hanging="1134"/>
      <w:jc w:val="both"/>
      <w:spacing w:line="360" w:lineRule="auto"/>
      <w:tabs>
        <w:tab w:val="num" w:pos="1134" w:leader="none"/>
      </w:tabs>
    </w:pPr>
    <w:rPr>
      <w:sz w:val="28"/>
      <w:szCs w:val="20"/>
    </w:rPr>
  </w:style>
  <w:style w:type="paragraph" w:styleId="1050" w:customStyle="1">
    <w:name w:val="ENDLIST"/>
    <w:basedOn w:val="1024"/>
    <w:pPr>
      <w:jc w:val="center"/>
      <w:keepLines/>
      <w:spacing w:before="240" w:after="240" w:line="288" w:lineRule="auto"/>
      <w:widowControl w:val="off"/>
    </w:pPr>
    <w:rPr>
      <w:b/>
      <w:caps/>
      <w:lang w:eastAsia="en-US"/>
    </w:rPr>
  </w:style>
  <w:style w:type="paragraph" w:styleId="1051" w:customStyle="1">
    <w:name w:val="АИС_Обычный текст"/>
    <w:link w:val="1052"/>
    <w:qFormat/>
    <w:pPr>
      <w:jc w:val="both"/>
      <w:spacing w:line="360" w:lineRule="auto"/>
    </w:pPr>
    <w:rPr>
      <w:rFonts w:ascii="Times New Roman" w:hAnsi="Times New Roman" w:eastAsia="Times New Roman"/>
      <w:sz w:val="24"/>
      <w:szCs w:val="28"/>
    </w:rPr>
  </w:style>
  <w:style w:type="character" w:styleId="1052" w:customStyle="1">
    <w:name w:val="АИС_Обычный текст Знак"/>
    <w:link w:val="1051"/>
    <w:rPr>
      <w:rFonts w:ascii="Times New Roman" w:hAnsi="Times New Roman" w:eastAsia="Times New Roman"/>
      <w:sz w:val="24"/>
      <w:szCs w:val="28"/>
    </w:rPr>
  </w:style>
  <w:style w:type="character" w:styleId="1053">
    <w:name w:val="FollowedHyperlink"/>
    <w:basedOn w:val="1028"/>
    <w:uiPriority w:val="99"/>
    <w:semiHidden/>
    <w:unhideWhenUsed/>
    <w:rPr>
      <w:color w:val="800080" w:themeColor="followedHyperlink"/>
      <w:u w:val="single"/>
    </w:rPr>
  </w:style>
  <w:style w:type="paragraph" w:styleId="1054">
    <w:name w:val="footnote text"/>
    <w:basedOn w:val="1024"/>
    <w:link w:val="1055"/>
    <w:uiPriority w:val="99"/>
    <w:semiHidden/>
    <w:unhideWhenUsed/>
    <w:rPr>
      <w:sz w:val="20"/>
      <w:szCs w:val="20"/>
    </w:rPr>
  </w:style>
  <w:style w:type="character" w:styleId="1055" w:customStyle="1">
    <w:name w:val="Текст сноски Знак"/>
    <w:basedOn w:val="1028"/>
    <w:link w:val="1054"/>
    <w:uiPriority w:val="99"/>
    <w:semiHidden/>
    <w:rPr>
      <w:rFonts w:ascii="Times New Roman" w:hAnsi="Times New Roman" w:eastAsia="Times New Roman"/>
    </w:rPr>
  </w:style>
  <w:style w:type="character" w:styleId="1056">
    <w:name w:val="footnote reference"/>
    <w:basedOn w:val="1028"/>
    <w:uiPriority w:val="99"/>
    <w:semiHidden/>
    <w:unhideWhenUsed/>
    <w:rPr>
      <w:vertAlign w:val="superscript"/>
    </w:rPr>
  </w:style>
  <w:style w:type="paragraph" w:styleId="1057">
    <w:name w:val="Body Text"/>
    <w:basedOn w:val="1024"/>
    <w:link w:val="1058"/>
    <w:uiPriority w:val="1"/>
    <w:qFormat/>
    <w:pPr>
      <w:widowControl w:val="off"/>
    </w:pPr>
    <w:rPr>
      <w:lang w:eastAsia="en-US"/>
    </w:rPr>
  </w:style>
  <w:style w:type="character" w:styleId="1058" w:customStyle="1">
    <w:name w:val="Основной текст Знак"/>
    <w:basedOn w:val="1028"/>
    <w:link w:val="1057"/>
    <w:uiPriority w:val="1"/>
    <w:rPr>
      <w:rFonts w:ascii="Times New Roman" w:hAnsi="Times New Roman" w:eastAsia="Times New Roman"/>
      <w:sz w:val="24"/>
      <w:szCs w:val="24"/>
      <w:lang w:eastAsia="en-US"/>
    </w:rPr>
  </w:style>
  <w:style w:type="paragraph" w:styleId="1059" w:customStyle="1">
    <w:name w:val="Основной текст"/>
    <w:basedOn w:val="954"/>
    <w:next w:val="979"/>
    <w:link w:val="980"/>
    <w:uiPriority w:val="1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12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A282AA-14BD-4347-BB74-07A69F3BE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spb01077</cp:lastModifiedBy>
  <cp:revision>12</cp:revision>
  <dcterms:created xsi:type="dcterms:W3CDTF">2024-02-21T10:33:00Z</dcterms:created>
  <dcterms:modified xsi:type="dcterms:W3CDTF">2026-09-02T15:01:10Z</dcterms:modified>
</cp:coreProperties>
</file>