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8935" w:type="dxa"/>
        <w:tblInd w:w="142" w:type="dxa"/>
        <w:tblLook w:val="04A0" w:firstRow="1" w:lastRow="0" w:firstColumn="1" w:lastColumn="0" w:noHBand="0" w:noVBand="1"/>
      </w:tblPr>
      <w:tblGrid>
        <w:gridCol w:w="4253"/>
        <w:gridCol w:w="708"/>
        <w:gridCol w:w="3974"/>
      </w:tblGrid>
      <w:tr>
        <w:tblPrEx/>
        <w:trPr/>
        <w:tc>
          <w:tcPr>
            <w:tcW w:w="4253" w:type="dxa"/>
            <w:textDirection w:val="lrTb"/>
            <w:noWrap w:val="false"/>
          </w:tcPr>
          <w:p>
            <w:pPr>
              <w:ind w:left="-426"/>
              <w:jc w:val="both"/>
              <w:keepLines/>
              <w:keepNext/>
              <w:spacing w:line="256" w:lineRule="auto"/>
              <w:widowControl w:val="off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</w:r>
            <w:r>
              <w:rPr>
                <w:rFonts w:eastAsia="Calibri"/>
                <w:sz w:val="28"/>
                <w:szCs w:val="28"/>
              </w:rPr>
            </w:r>
            <w:r>
              <w:rPr>
                <w:rFonts w:eastAsia="Calibri"/>
                <w:sz w:val="28"/>
                <w:szCs w:val="28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ind w:left="-426"/>
              <w:jc w:val="both"/>
              <w:keepLines/>
              <w:keepNext/>
              <w:spacing w:line="256" w:lineRule="auto"/>
              <w:widowControl w:val="off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</w:r>
            <w:r>
              <w:rPr>
                <w:rFonts w:eastAsia="Calibri"/>
                <w:b/>
                <w:sz w:val="28"/>
                <w:szCs w:val="28"/>
              </w:rPr>
            </w:r>
            <w:r>
              <w:rPr>
                <w:rFonts w:eastAsia="Calibri"/>
                <w:b/>
                <w:sz w:val="28"/>
                <w:szCs w:val="28"/>
              </w:rPr>
            </w:r>
          </w:p>
        </w:tc>
        <w:tc>
          <w:tcPr>
            <w:tcW w:w="3974" w:type="dxa"/>
            <w:textDirection w:val="lrTb"/>
            <w:noWrap w:val="false"/>
          </w:tcPr>
          <w:p>
            <w:pPr>
              <w:ind w:left="34"/>
              <w:jc w:val="both"/>
              <w:keepLines/>
              <w:keepNext/>
              <w:spacing w:line="256" w:lineRule="auto"/>
              <w:widowControl w:val="off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</w:r>
            <w:r>
              <w:rPr>
                <w:rFonts w:eastAsia="Calibri"/>
                <w:b/>
                <w:sz w:val="28"/>
                <w:szCs w:val="28"/>
              </w:rPr>
            </w:r>
            <w:r>
              <w:rPr>
                <w:rFonts w:eastAsia="Calibri"/>
                <w:b/>
                <w:sz w:val="28"/>
                <w:szCs w:val="28"/>
              </w:rPr>
            </w:r>
          </w:p>
          <w:p>
            <w:pPr>
              <w:ind w:left="34"/>
              <w:jc w:val="both"/>
              <w:keepLines/>
              <w:keepNext/>
              <w:spacing w:line="256" w:lineRule="auto"/>
              <w:widowControl w:val="off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 xml:space="preserve">УТВЕРЖДАЮ</w:t>
            </w:r>
            <w:r>
              <w:rPr>
                <w:rFonts w:eastAsia="Calibri"/>
                <w:b/>
                <w:sz w:val="28"/>
                <w:szCs w:val="28"/>
              </w:rPr>
            </w:r>
            <w:r>
              <w:rPr>
                <w:rFonts w:eastAsia="Calibri"/>
                <w:b/>
                <w:sz w:val="28"/>
                <w:szCs w:val="28"/>
              </w:rPr>
            </w:r>
          </w:p>
          <w:p>
            <w:pPr>
              <w:ind w:left="-426" w:firstLine="720"/>
              <w:jc w:val="both"/>
              <w:keepLines/>
              <w:keepNext/>
              <w:spacing w:line="256" w:lineRule="auto"/>
              <w:widowControl w:val="off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</w:r>
            <w:r>
              <w:rPr>
                <w:rFonts w:eastAsia="Calibri"/>
                <w:sz w:val="28"/>
                <w:szCs w:val="28"/>
              </w:rPr>
            </w:r>
            <w:r>
              <w:rPr>
                <w:rFonts w:eastAsia="Calibri"/>
                <w:sz w:val="28"/>
                <w:szCs w:val="28"/>
              </w:rPr>
            </w:r>
          </w:p>
          <w:p>
            <w:pPr>
              <w:jc w:val="both"/>
              <w:keepLines/>
              <w:keepNext/>
              <w:spacing w:line="256" w:lineRule="auto"/>
              <w:widowControl w:val="off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Директор по цифровизации - начальник</w:t>
            </w:r>
            <w:r>
              <w:rPr>
                <w:rFonts w:eastAsia="Calibri"/>
                <w:sz w:val="28"/>
                <w:szCs w:val="28"/>
              </w:rPr>
              <w:t xml:space="preserve"> департамента цифровой трансформации и  информационных технологий</w:t>
            </w:r>
            <w:r>
              <w:rPr>
                <w:rFonts w:eastAsia="Calibri"/>
                <w:sz w:val="28"/>
                <w:szCs w:val="28"/>
              </w:rPr>
            </w:r>
            <w:r>
              <w:rPr>
                <w:rFonts w:eastAsia="Calibri"/>
                <w:sz w:val="28"/>
                <w:szCs w:val="28"/>
              </w:rPr>
            </w:r>
          </w:p>
          <w:p>
            <w:pPr>
              <w:jc w:val="both"/>
              <w:keepLines/>
              <w:keepNext/>
              <w:spacing w:line="256" w:lineRule="auto"/>
              <w:widowControl w:val="off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</w:r>
            <w:r>
              <w:rPr>
                <w:rFonts w:eastAsia="Calibri"/>
                <w:sz w:val="28"/>
                <w:szCs w:val="28"/>
              </w:rPr>
            </w:r>
            <w:r>
              <w:rPr>
                <w:rFonts w:eastAsia="Calibri"/>
                <w:sz w:val="28"/>
                <w:szCs w:val="28"/>
              </w:rPr>
            </w:r>
          </w:p>
          <w:p>
            <w:pPr>
              <w:jc w:val="both"/>
              <w:keepLines/>
              <w:keepNext/>
              <w:spacing w:line="256" w:lineRule="auto"/>
              <w:widowControl w:val="off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____________/Р.М. Сагдуллин</w:t>
            </w:r>
            <w:r>
              <w:rPr>
                <w:rFonts w:eastAsia="Calibri"/>
                <w:sz w:val="28"/>
                <w:szCs w:val="28"/>
              </w:rPr>
              <w:t xml:space="preserve">/</w:t>
            </w:r>
            <w:r>
              <w:rPr>
                <w:rFonts w:eastAsia="Calibri"/>
                <w:sz w:val="28"/>
                <w:szCs w:val="28"/>
              </w:rPr>
            </w:r>
            <w:r>
              <w:rPr>
                <w:rFonts w:eastAsia="Calibri"/>
                <w:sz w:val="28"/>
                <w:szCs w:val="28"/>
              </w:rPr>
            </w:r>
          </w:p>
          <w:p>
            <w:pPr>
              <w:jc w:val="both"/>
              <w:keepLines/>
              <w:keepNext/>
              <w:spacing w:line="256" w:lineRule="auto"/>
              <w:widowControl w:val="off"/>
              <w:rPr>
                <w:rFonts w:eastAsia="Calibri"/>
              </w:rPr>
            </w:pPr>
            <w:r>
              <w:rPr>
                <w:rFonts w:eastAsia="Calibri"/>
              </w:rPr>
              <w:t xml:space="preserve">(подпись)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  <w:p>
            <w:pPr>
              <w:jc w:val="both"/>
              <w:keepLines/>
              <w:keepNext/>
              <w:spacing w:line="256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«___»______________</w:t>
            </w:r>
            <w:r>
              <w:rPr>
                <w:rFonts w:eastAsia="Calibri"/>
                <w:sz w:val="28"/>
                <w:szCs w:val="28"/>
              </w:rPr>
              <w:t xml:space="preserve"> 2026</w:t>
            </w:r>
            <w:r>
              <w:rPr>
                <w:rFonts w:eastAsia="Calibri"/>
                <w:sz w:val="28"/>
                <w:szCs w:val="28"/>
              </w:rPr>
              <w:t xml:space="preserve"> г.</w:t>
            </w:r>
            <w:r>
              <w:rPr>
                <w:rFonts w:eastAsia="Calibri"/>
                <w:sz w:val="28"/>
                <w:szCs w:val="28"/>
              </w:rPr>
            </w:r>
            <w:r>
              <w:rPr>
                <w:rFonts w:eastAsia="Calibri"/>
                <w:sz w:val="28"/>
                <w:szCs w:val="28"/>
              </w:rPr>
            </w:r>
          </w:p>
        </w:tc>
      </w:tr>
    </w:tbl>
    <w:p>
      <w:pPr>
        <w:ind w:left="-426"/>
        <w:jc w:val="both"/>
        <w:keepLines/>
        <w:keepNext/>
        <w:spacing w:line="256" w:lineRule="auto"/>
        <w:rPr>
          <w:rFonts w:eastAsia="Calibri"/>
        </w:rPr>
      </w:pPr>
      <w:r>
        <w:rPr>
          <w:rFonts w:eastAsia="Calibri"/>
        </w:rPr>
      </w:r>
      <w:r>
        <w:rPr>
          <w:rFonts w:eastAsia="Calibri"/>
        </w:rPr>
      </w:r>
      <w:r>
        <w:rPr>
          <w:rFonts w:eastAsia="Calibri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/>
        <w:jc w:val="center"/>
        <w:spacing w:line="256" w:lineRule="auto"/>
        <w:widowControl w:val="off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ТЕХНИЧЕСКОЕ ЗАДАНИЕ</w:t>
      </w:r>
      <w:r>
        <w:rPr>
          <w:rFonts w:eastAsia="Calibri"/>
          <w:b/>
          <w:sz w:val="28"/>
          <w:szCs w:val="28"/>
        </w:rPr>
      </w:r>
      <w:r>
        <w:rPr>
          <w:rFonts w:eastAsia="Calibri"/>
          <w:b/>
          <w:sz w:val="28"/>
          <w:szCs w:val="28"/>
        </w:rPr>
      </w:r>
    </w:p>
    <w:p>
      <w:pPr>
        <w:jc w:val="center"/>
        <w:rPr>
          <w:b/>
          <w:sz w:val="28"/>
          <w:lang w:eastAsia="en-US"/>
        </w:rPr>
      </w:pPr>
      <w:r>
        <w:rPr>
          <w:rFonts w:eastAsia="Calibri"/>
          <w:b/>
          <w:sz w:val="28"/>
          <w:szCs w:val="28"/>
        </w:rPr>
        <w:t xml:space="preserve">на приобретение </w:t>
      </w:r>
      <w:r>
        <w:rPr>
          <w:b/>
          <w:sz w:val="28"/>
          <w:lang w:eastAsia="en-US"/>
        </w:rPr>
        <w:t xml:space="preserve">права на использование информационно-технического сопровождения отечественного </w:t>
      </w:r>
      <w:r>
        <w:rPr>
          <w:b/>
          <w:sz w:val="28"/>
          <w:lang w:eastAsia="en-US"/>
        </w:rPr>
        <w:t xml:space="preserve">системного и офисного </w:t>
      </w:r>
      <w:r>
        <w:rPr>
          <w:b/>
          <w:sz w:val="28"/>
          <w:lang w:eastAsia="en-US"/>
        </w:rPr>
        <w:t xml:space="preserve">программного обеспечения</w:t>
      </w:r>
      <w:r>
        <w:rPr>
          <w:b/>
          <w:sz w:val="28"/>
          <w:lang w:eastAsia="en-US"/>
        </w:rPr>
        <w:t xml:space="preserve"> </w:t>
      </w:r>
      <w:r>
        <w:rPr>
          <w:b/>
          <w:sz w:val="28"/>
          <w:lang w:eastAsia="en-US"/>
        </w:rPr>
        <w:t xml:space="preserve">для нужд ПАО «Россети Северо-Запад»</w:t>
      </w:r>
      <w:r>
        <w:rPr>
          <w:b/>
          <w:sz w:val="28"/>
          <w:lang w:eastAsia="en-US"/>
        </w:rPr>
      </w:r>
      <w:r>
        <w:rPr>
          <w:b/>
          <w:sz w:val="28"/>
          <w:lang w:eastAsia="en-US"/>
        </w:rPr>
      </w:r>
    </w:p>
    <w:p>
      <w:pPr>
        <w:ind w:left="-425"/>
        <w:jc w:val="center"/>
        <w:widowControl w:val="off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</w:r>
      <w:r>
        <w:rPr>
          <w:rFonts w:eastAsia="Calibri"/>
          <w:b/>
          <w:sz w:val="28"/>
          <w:szCs w:val="28"/>
        </w:rPr>
      </w:r>
      <w:r>
        <w:rPr>
          <w:rFonts w:eastAsia="Calibri"/>
          <w:b/>
          <w:sz w:val="28"/>
          <w:szCs w:val="28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tbl>
      <w:tblPr>
        <w:tblStyle w:val="1007"/>
        <w:tblW w:w="0" w:type="auto"/>
        <w:tblInd w:w="-42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7336"/>
        <w:gridCol w:w="2445"/>
      </w:tblGrid>
      <w:tr>
        <w:tblPrEx/>
        <w:trPr/>
        <w:tc>
          <w:tcPr>
            <w:tcW w:w="7651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544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ind w:left="-426" w:firstLine="709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г. Санкт-Петербург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-426"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202</w:t>
      </w:r>
      <w:r>
        <w:rPr>
          <w:sz w:val="28"/>
          <w:szCs w:val="28"/>
        </w:rPr>
        <w:t xml:space="preserve">6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-426" w:firstLine="709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-426" w:firstLine="709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0"/>
        <w:jc w:val="both"/>
        <w:rPr>
          <w:sz w:val="28"/>
          <w:lang w:eastAsia="en-US"/>
        </w:rPr>
      </w:pPr>
      <w:r>
        <w:rPr>
          <w:sz w:val="28"/>
          <w:lang w:eastAsia="en-US"/>
        </w:rPr>
      </w:r>
      <w:r>
        <w:rPr>
          <w:sz w:val="28"/>
          <w:lang w:eastAsia="en-US"/>
        </w:rPr>
      </w:r>
      <w:r>
        <w:rPr>
          <w:sz w:val="28"/>
          <w:lang w:eastAsia="en-US"/>
        </w:rPr>
      </w:r>
    </w:p>
    <w:p>
      <w:pPr>
        <w:pStyle w:val="991"/>
        <w:rPr>
          <w:b/>
        </w:rPr>
      </w:pPr>
      <w:r/>
      <w:bookmarkStart w:id="4" w:name="_Toc144739498"/>
      <w:r/>
      <w:bookmarkStart w:id="5" w:name="_Toc168330310"/>
      <w:r>
        <w:rPr>
          <w:b/>
        </w:rPr>
        <w:t xml:space="preserve">Общие </w:t>
      </w:r>
      <w:r>
        <w:rPr>
          <w:b/>
        </w:rPr>
        <w:t xml:space="preserve">сведения</w:t>
      </w:r>
      <w:bookmarkEnd w:id="4"/>
      <w:r/>
      <w:bookmarkEnd w:id="5"/>
      <w:r>
        <w:rPr>
          <w:b/>
        </w:rPr>
      </w:r>
      <w:r>
        <w:rPr>
          <w:b/>
        </w:rPr>
      </w:r>
    </w:p>
    <w:p>
      <w:pPr>
        <w:pStyle w:val="1014"/>
        <w:numPr>
          <w:ilvl w:val="1"/>
          <w:numId w:val="15"/>
        </w:numPr>
        <w:jc w:val="both"/>
        <w:spacing w:before="60"/>
        <w:rPr>
          <w:sz w:val="28"/>
          <w:lang w:eastAsia="en-US"/>
        </w:rPr>
      </w:pPr>
      <w:r>
        <w:rPr>
          <w:sz w:val="28"/>
          <w:lang w:eastAsia="en-US"/>
        </w:rPr>
        <w:t xml:space="preserve">В настоящем документе представлено Техническое задание на </w:t>
      </w:r>
      <w:r>
        <w:rPr>
          <w:sz w:val="28"/>
          <w:lang w:eastAsia="en-US"/>
        </w:rPr>
        <w:t xml:space="preserve">приобретение</w:t>
      </w:r>
      <w:r>
        <w:rPr>
          <w:sz w:val="28"/>
          <w:lang w:eastAsia="en-US"/>
        </w:rPr>
        <w:t xml:space="preserve"> </w:t>
      </w:r>
      <w:r>
        <w:rPr>
          <w:sz w:val="28"/>
          <w:lang w:eastAsia="en-US"/>
        </w:rPr>
        <w:t xml:space="preserve">права на </w:t>
      </w:r>
      <w:r>
        <w:rPr>
          <w:sz w:val="28"/>
          <w:lang w:eastAsia="en-US"/>
        </w:rPr>
        <w:t xml:space="preserve">использование информационно-технического сопровождения отечественного системного и офисного программного обеспечения </w:t>
      </w:r>
      <w:r>
        <w:rPr>
          <w:sz w:val="28"/>
          <w:lang w:eastAsia="en-US"/>
        </w:rPr>
        <w:t xml:space="preserve">для нужд ПАО «Россети Северо-Запад».</w:t>
      </w:r>
      <w:r>
        <w:rPr>
          <w:sz w:val="28"/>
          <w:lang w:eastAsia="en-US"/>
        </w:rPr>
      </w:r>
      <w:r>
        <w:rPr>
          <w:sz w:val="28"/>
          <w:lang w:eastAsia="en-US"/>
        </w:rPr>
      </w:r>
    </w:p>
    <w:p>
      <w:pPr>
        <w:pStyle w:val="1014"/>
        <w:numPr>
          <w:ilvl w:val="1"/>
          <w:numId w:val="15"/>
        </w:numPr>
        <w:contextualSpacing w:val="0"/>
        <w:jc w:val="both"/>
        <w:spacing w:before="60"/>
        <w:rPr>
          <w:sz w:val="28"/>
          <w:lang w:eastAsia="en-US"/>
        </w:rPr>
      </w:pPr>
      <w:r>
        <w:rPr>
          <w:sz w:val="28"/>
          <w:lang w:eastAsia="en-US"/>
        </w:rPr>
        <w:t xml:space="preserve">Заказчиком является ПАО «Россети Северо-Запад».</w:t>
      </w:r>
      <w:r>
        <w:rPr>
          <w:sz w:val="28"/>
          <w:lang w:eastAsia="en-US"/>
        </w:rPr>
      </w:r>
      <w:r>
        <w:rPr>
          <w:sz w:val="28"/>
          <w:lang w:eastAsia="en-US"/>
        </w:rPr>
      </w:r>
    </w:p>
    <w:p>
      <w:pPr>
        <w:pStyle w:val="991"/>
        <w:rPr>
          <w:b/>
        </w:rPr>
      </w:pPr>
      <w:r/>
      <w:bookmarkStart w:id="6" w:name="_Toc144739499"/>
      <w:r/>
      <w:bookmarkStart w:id="7" w:name="_Toc168330311"/>
      <w:r>
        <w:rPr>
          <w:b/>
        </w:rPr>
        <w:t xml:space="preserve">Предмет закупки</w:t>
      </w:r>
      <w:bookmarkEnd w:id="6"/>
      <w:r/>
      <w:bookmarkEnd w:id="7"/>
      <w:r>
        <w:rPr>
          <w:b/>
        </w:rPr>
      </w:r>
      <w:r>
        <w:rPr>
          <w:b/>
        </w:rPr>
      </w:r>
    </w:p>
    <w:p>
      <w:pPr>
        <w:pStyle w:val="1014"/>
        <w:numPr>
          <w:ilvl w:val="1"/>
          <w:numId w:val="15"/>
        </w:numPr>
        <w:jc w:val="both"/>
        <w:spacing w:after="60"/>
        <w:rPr>
          <w:sz w:val="28"/>
          <w:lang w:eastAsia="en-US"/>
        </w:rPr>
      </w:pPr>
      <w:r>
        <w:rPr>
          <w:sz w:val="28"/>
          <w:lang w:eastAsia="en-US"/>
        </w:rPr>
        <w:t xml:space="preserve">Предметом закупки является </w:t>
      </w:r>
      <w:r>
        <w:rPr>
          <w:sz w:val="28"/>
          <w:lang w:eastAsia="en-US"/>
        </w:rPr>
        <w:t xml:space="preserve">приобретение</w:t>
      </w:r>
      <w:r>
        <w:rPr>
          <w:sz w:val="28"/>
          <w:lang w:eastAsia="en-US"/>
        </w:rPr>
        <w:t xml:space="preserve"> права использования программного обеспечения</w:t>
      </w:r>
      <w:r>
        <w:rPr>
          <w:sz w:val="28"/>
          <w:lang w:eastAsia="en-US"/>
        </w:rPr>
        <w:t xml:space="preserve">.</w:t>
      </w:r>
      <w:r>
        <w:rPr>
          <w:sz w:val="28"/>
          <w:lang w:eastAsia="en-US"/>
        </w:rPr>
      </w:r>
      <w:r>
        <w:rPr>
          <w:sz w:val="28"/>
          <w:lang w:eastAsia="en-US"/>
        </w:rPr>
      </w:r>
    </w:p>
    <w:p>
      <w:pPr>
        <w:pStyle w:val="1014"/>
        <w:numPr>
          <w:ilvl w:val="1"/>
          <w:numId w:val="15"/>
        </w:numPr>
        <w:jc w:val="both"/>
        <w:spacing w:after="60"/>
        <w:rPr>
          <w:sz w:val="28"/>
          <w:lang w:eastAsia="en-US"/>
        </w:rPr>
      </w:pPr>
      <w:r>
        <w:rPr>
          <w:sz w:val="28"/>
          <w:lang w:eastAsia="en-US"/>
        </w:rPr>
        <w:t xml:space="preserve">Наименование, объем (количество), срок действия требуемых лицензий приведены в Приложении № 1.</w:t>
      </w:r>
      <w:r>
        <w:rPr>
          <w:sz w:val="28"/>
          <w:lang w:eastAsia="en-US"/>
        </w:rPr>
      </w:r>
      <w:r>
        <w:rPr>
          <w:sz w:val="28"/>
          <w:lang w:eastAsia="en-US"/>
        </w:rPr>
      </w:r>
    </w:p>
    <w:p>
      <w:pPr>
        <w:pStyle w:val="1014"/>
        <w:numPr>
          <w:ilvl w:val="1"/>
          <w:numId w:val="15"/>
        </w:numPr>
        <w:jc w:val="both"/>
        <w:spacing w:after="60"/>
        <w:rPr>
          <w:sz w:val="28"/>
          <w:lang w:eastAsia="en-US"/>
        </w:rPr>
      </w:pPr>
      <w:r>
        <w:rPr>
          <w:sz w:val="28"/>
          <w:lang w:eastAsia="en-US"/>
        </w:rPr>
        <w:t xml:space="preserve">Адрес предоставления лицензий: </w:t>
      </w:r>
      <w:r>
        <w:rPr>
          <w:sz w:val="28"/>
          <w:lang w:eastAsia="en-US"/>
        </w:rPr>
        <w:t xml:space="preserve">196247, Россия, Санкт-Петербург, пл. Конституции, д.3, Лит. А, помещение 16Н</w:t>
      </w:r>
      <w:r>
        <w:rPr>
          <w:sz w:val="28"/>
          <w:lang w:eastAsia="en-US"/>
        </w:rPr>
        <w:t xml:space="preserve">.</w:t>
      </w:r>
      <w:r>
        <w:rPr>
          <w:sz w:val="28"/>
          <w:lang w:eastAsia="en-US"/>
        </w:rPr>
      </w:r>
      <w:r>
        <w:rPr>
          <w:sz w:val="28"/>
          <w:lang w:eastAsia="en-US"/>
        </w:rPr>
      </w:r>
    </w:p>
    <w:p>
      <w:pPr>
        <w:pStyle w:val="1014"/>
        <w:numPr>
          <w:ilvl w:val="1"/>
          <w:numId w:val="15"/>
        </w:numPr>
        <w:jc w:val="both"/>
        <w:spacing w:after="60"/>
        <w:rPr>
          <w:sz w:val="28"/>
          <w:lang w:eastAsia="en-US"/>
        </w:rPr>
      </w:pPr>
      <w:r>
        <w:rPr>
          <w:sz w:val="28"/>
          <w:lang w:eastAsia="en-US"/>
        </w:rPr>
        <w:t xml:space="preserve">С</w:t>
      </w:r>
      <w:r>
        <w:rPr>
          <w:sz w:val="28"/>
          <w:lang w:eastAsia="en-US"/>
        </w:rPr>
        <w:t xml:space="preserve">роки поставки (передачи) лицензий:</w:t>
      </w:r>
      <w:r>
        <w:rPr>
          <w:sz w:val="28"/>
          <w:lang w:eastAsia="en-US"/>
        </w:rPr>
        <w:t xml:space="preserve"> </w:t>
      </w:r>
      <w:r>
        <w:rPr>
          <w:sz w:val="28"/>
          <w:lang w:eastAsia="en-US"/>
        </w:rPr>
        <w:t xml:space="preserve">в </w:t>
      </w:r>
      <w:r>
        <w:rPr>
          <w:sz w:val="28"/>
          <w:lang w:eastAsia="en-US"/>
        </w:rPr>
        <w:t xml:space="preserve">соответствии с </w:t>
      </w:r>
      <w:r>
        <w:rPr>
          <w:sz w:val="28"/>
          <w:lang w:eastAsia="en-US"/>
        </w:rPr>
        <w:t xml:space="preserve">П</w:t>
      </w:r>
      <w:r>
        <w:rPr>
          <w:sz w:val="28"/>
          <w:lang w:eastAsia="en-US"/>
        </w:rPr>
        <w:t xml:space="preserve">риложением </w:t>
      </w:r>
      <w:r>
        <w:rPr>
          <w:sz w:val="28"/>
          <w:lang w:eastAsia="en-US"/>
        </w:rPr>
        <w:t xml:space="preserve"> № </w:t>
      </w:r>
      <w:r>
        <w:rPr>
          <w:sz w:val="28"/>
          <w:lang w:eastAsia="en-US"/>
        </w:rPr>
        <w:t xml:space="preserve">1</w:t>
      </w:r>
      <w:r>
        <w:rPr>
          <w:sz w:val="28"/>
          <w:lang w:eastAsia="en-US"/>
        </w:rPr>
        <w:t xml:space="preserve">.</w:t>
      </w:r>
      <w:r>
        <w:rPr>
          <w:sz w:val="28"/>
          <w:lang w:eastAsia="en-US"/>
        </w:rPr>
      </w:r>
      <w:r>
        <w:rPr>
          <w:sz w:val="28"/>
          <w:lang w:eastAsia="en-US"/>
        </w:rPr>
      </w:r>
    </w:p>
    <w:p>
      <w:pPr>
        <w:pStyle w:val="991"/>
        <w:rPr>
          <w:b/>
        </w:rPr>
      </w:pPr>
      <w:r/>
      <w:bookmarkStart w:id="8" w:name="_Toc144739500"/>
      <w:r/>
      <w:bookmarkStart w:id="9" w:name="_Toc168330312"/>
      <w:r>
        <w:rPr>
          <w:b/>
        </w:rPr>
        <w:t xml:space="preserve">Общие требования к условиям </w:t>
      </w:r>
      <w:r>
        <w:rPr>
          <w:b/>
        </w:rPr>
        <w:t xml:space="preserve">пр</w:t>
      </w:r>
      <w:r>
        <w:rPr>
          <w:b/>
        </w:rPr>
        <w:t xml:space="preserve">едоставления п</w:t>
      </w:r>
      <w:r>
        <w:rPr>
          <w:b/>
        </w:rPr>
        <w:t xml:space="preserve">рава </w:t>
      </w:r>
      <w:r>
        <w:rPr>
          <w:b/>
        </w:rPr>
        <w:t xml:space="preserve">на </w:t>
      </w:r>
      <w:r>
        <w:rPr>
          <w:b/>
        </w:rPr>
        <w:t xml:space="preserve">использовани</w:t>
      </w:r>
      <w:r>
        <w:rPr>
          <w:b/>
        </w:rPr>
        <w:t xml:space="preserve">е</w:t>
      </w:r>
      <w:bookmarkEnd w:id="8"/>
      <w:r/>
      <w:bookmarkEnd w:id="9"/>
      <w:r>
        <w:rPr>
          <w:b/>
        </w:rPr>
      </w:r>
      <w:r>
        <w:rPr>
          <w:b/>
        </w:rPr>
      </w:r>
    </w:p>
    <w:p>
      <w:pPr>
        <w:ind w:firstLine="709"/>
        <w:jc w:val="both"/>
        <w:rPr>
          <w:sz w:val="28"/>
          <w:lang w:eastAsia="en-US"/>
        </w:rPr>
      </w:pPr>
      <w:r>
        <w:rPr>
          <w:sz w:val="28"/>
          <w:lang w:eastAsia="en-US"/>
        </w:rPr>
        <w:t xml:space="preserve">Определяются </w:t>
      </w:r>
      <w:r>
        <w:rPr>
          <w:sz w:val="28"/>
          <w:lang w:eastAsia="en-US"/>
        </w:rPr>
        <w:t xml:space="preserve">договором. </w:t>
      </w:r>
      <w:r>
        <w:rPr>
          <w:sz w:val="28"/>
          <w:lang w:eastAsia="en-US"/>
        </w:rPr>
      </w:r>
      <w:r>
        <w:rPr>
          <w:sz w:val="28"/>
          <w:lang w:eastAsia="en-US"/>
        </w:rPr>
      </w:r>
    </w:p>
    <w:p>
      <w:pPr>
        <w:ind w:firstLine="709"/>
        <w:jc w:val="both"/>
        <w:rPr>
          <w:sz w:val="28"/>
          <w:lang w:eastAsia="en-US"/>
        </w:rPr>
      </w:pPr>
      <w:r>
        <w:rPr>
          <w:sz w:val="28"/>
          <w:lang w:eastAsia="en-US"/>
        </w:rPr>
      </w:r>
      <w:r>
        <w:rPr>
          <w:sz w:val="28"/>
          <w:lang w:eastAsia="en-US"/>
        </w:rPr>
      </w:r>
      <w:r>
        <w:rPr>
          <w:sz w:val="28"/>
          <w:lang w:eastAsia="en-US"/>
        </w:rPr>
      </w:r>
    </w:p>
    <w:p>
      <w:pPr>
        <w:pStyle w:val="991"/>
        <w:numPr>
          <w:ilvl w:val="0"/>
          <w:numId w:val="0"/>
        </w:numPr>
      </w:pPr>
      <w:r>
        <w:t xml:space="preserve">Приложение 1 к Техническому заданию. Спецификация</w:t>
      </w:r>
      <w:r>
        <w:t xml:space="preserve"> </w:t>
      </w:r>
      <w:r>
        <w:t xml:space="preserve">приобретаемых</w:t>
      </w:r>
      <w:r>
        <w:t xml:space="preserve"> прав использования программ для ЭВМ</w:t>
      </w:r>
      <w:r/>
    </w:p>
    <w:p>
      <w:pPr>
        <w:ind w:firstLine="709"/>
        <w:jc w:val="both"/>
        <w:rPr>
          <w:sz w:val="28"/>
          <w:lang w:eastAsia="en-US"/>
        </w:rPr>
      </w:pPr>
      <w:r>
        <w:rPr>
          <w:sz w:val="28"/>
          <w:lang w:eastAsia="en-US"/>
        </w:rPr>
      </w:r>
      <w:r>
        <w:rPr>
          <w:sz w:val="28"/>
          <w:lang w:eastAsia="en-US"/>
        </w:rPr>
      </w:r>
      <w:r>
        <w:rPr>
          <w:sz w:val="28"/>
          <w:lang w:eastAsia="en-US"/>
        </w:rPr>
      </w:r>
    </w:p>
    <w:p>
      <w:pPr>
        <w:ind w:firstLine="709"/>
        <w:jc w:val="both"/>
        <w:rPr>
          <w:sz w:val="28"/>
          <w:lang w:eastAsia="en-US"/>
        </w:rPr>
      </w:pPr>
      <w:r>
        <w:rPr>
          <w:sz w:val="28"/>
          <w:lang w:eastAsia="en-US"/>
        </w:rPr>
      </w:r>
      <w:r>
        <w:rPr>
          <w:sz w:val="28"/>
          <w:lang w:eastAsia="en-US"/>
        </w:rPr>
      </w:r>
      <w:r>
        <w:rPr>
          <w:sz w:val="28"/>
          <w:lang w:eastAsia="en-US"/>
        </w:rPr>
      </w:r>
    </w:p>
    <w:p>
      <w:pPr>
        <w:rPr>
          <w:sz w:val="28"/>
          <w:lang w:eastAsia="en-US"/>
        </w:rPr>
        <w:sectPr>
          <w:footerReference w:type="default" r:id="rId9"/>
          <w:footnotePr/>
          <w:endnotePr/>
          <w:type w:val="nextPage"/>
          <w:pgSz w:w="11906" w:h="16838" w:orient="portrait"/>
          <w:pgMar w:top="1134" w:right="850" w:bottom="1134" w:left="1701" w:header="284" w:footer="129" w:gutter="0"/>
          <w:cols w:num="1" w:sep="0" w:space="708" w:equalWidth="1"/>
          <w:docGrid w:linePitch="360"/>
          <w:titlePg/>
        </w:sectPr>
      </w:pPr>
      <w:r>
        <w:rPr>
          <w:sz w:val="28"/>
          <w:lang w:eastAsia="en-US"/>
        </w:rPr>
      </w:r>
      <w:r>
        <w:rPr>
          <w:sz w:val="28"/>
          <w:lang w:eastAsia="en-US"/>
        </w:rPr>
      </w:r>
      <w:r>
        <w:rPr>
          <w:sz w:val="28"/>
          <w:lang w:eastAsia="en-US"/>
        </w:rPr>
      </w:r>
    </w:p>
    <w:p>
      <w:pPr>
        <w:pStyle w:val="991"/>
        <w:numPr>
          <w:ilvl w:val="0"/>
          <w:numId w:val="0"/>
        </w:numPr>
      </w:pPr>
      <w:r/>
      <w:bookmarkStart w:id="10" w:name="_Toc144739501"/>
      <w:r/>
      <w:bookmarkStart w:id="11" w:name="_Toc168330313"/>
      <w:r>
        <w:t xml:space="preserve">Приложение 1 к Техническому заданию. Спецификация</w:t>
      </w:r>
      <w:r>
        <w:t xml:space="preserve"> </w:t>
      </w:r>
      <w:r>
        <w:t xml:space="preserve">приобретаемых</w:t>
      </w:r>
      <w:r>
        <w:t xml:space="preserve"> прав использования программ для ЭВМ</w:t>
      </w:r>
      <w:bookmarkEnd w:id="10"/>
      <w:r/>
      <w:bookmarkEnd w:id="11"/>
      <w:r/>
      <w:r/>
    </w:p>
    <w:tbl>
      <w:tblPr>
        <w:tblStyle w:val="1007"/>
        <w:tblW w:w="1488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2"/>
        <w:gridCol w:w="5359"/>
        <w:gridCol w:w="2551"/>
        <w:gridCol w:w="1134"/>
        <w:gridCol w:w="992"/>
        <w:gridCol w:w="1276"/>
        <w:gridCol w:w="1843"/>
        <w:gridCol w:w="1276"/>
      </w:tblGrid>
      <w:tr>
        <w:tblPrEx/>
        <w:trPr>
          <w:cantSplit/>
          <w:trHeight w:val="348"/>
          <w:tblHeader/>
        </w:trPr>
        <w:tc>
          <w:tcPr>
            <w:tcW w:w="45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№</w:t>
            </w:r>
            <w:r>
              <w:rPr>
                <w:sz w:val="18"/>
                <w:szCs w:val="18"/>
                <w:lang w:eastAsia="en-US"/>
              </w:rPr>
            </w:r>
            <w:r>
              <w:rPr>
                <w:sz w:val="18"/>
                <w:szCs w:val="18"/>
                <w:lang w:eastAsia="en-US"/>
              </w:rPr>
            </w:r>
          </w:p>
        </w:tc>
        <w:tc>
          <w:tcPr>
            <w:tcW w:w="535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Наименование</w:t>
            </w:r>
            <w:r>
              <w:rPr>
                <w:rStyle w:val="1022"/>
                <w:sz w:val="18"/>
                <w:szCs w:val="18"/>
                <w:lang w:eastAsia="en-US"/>
              </w:rPr>
              <w:footnoteReference w:id="2"/>
            </w:r>
            <w:r>
              <w:rPr>
                <w:sz w:val="18"/>
                <w:szCs w:val="18"/>
                <w:lang w:eastAsia="en-US"/>
              </w:rPr>
            </w:r>
            <w:r>
              <w:rPr>
                <w:sz w:val="18"/>
                <w:szCs w:val="18"/>
                <w:lang w:eastAsia="en-US"/>
              </w:rPr>
            </w:r>
          </w:p>
        </w:tc>
        <w:tc>
          <w:tcPr>
            <w:tcW w:w="255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Производитель</w:t>
            </w:r>
            <w:r>
              <w:rPr>
                <w:sz w:val="18"/>
                <w:szCs w:val="18"/>
                <w:lang w:eastAsia="en-US"/>
              </w:rPr>
            </w:r>
            <w:r>
              <w:rPr>
                <w:sz w:val="18"/>
                <w:szCs w:val="18"/>
                <w:lang w:eastAsia="en-US"/>
              </w:rPr>
            </w:r>
          </w:p>
        </w:tc>
        <w:tc>
          <w:tcPr>
            <w:tcBorders>
              <w:lef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Тип доставки</w:t>
            </w:r>
            <w:r>
              <w:rPr>
                <w:sz w:val="18"/>
                <w:szCs w:val="18"/>
                <w:lang w:eastAsia="en-US"/>
              </w:rPr>
            </w:r>
            <w:r>
              <w:rPr>
                <w:sz w:val="18"/>
                <w:szCs w:val="18"/>
                <w:lang w:eastAsia="en-US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Кол-во лицензий</w:t>
            </w:r>
            <w:r>
              <w:rPr>
                <w:sz w:val="18"/>
                <w:szCs w:val="18"/>
                <w:lang w:eastAsia="en-US"/>
              </w:rPr>
            </w:r>
            <w:r>
              <w:rPr>
                <w:sz w:val="18"/>
                <w:szCs w:val="18"/>
                <w:lang w:eastAsia="en-US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</w:r>
            <w:r>
              <w:rPr>
                <w:sz w:val="18"/>
                <w:szCs w:val="18"/>
                <w:lang w:eastAsia="en-US"/>
              </w:rPr>
              <w:t xml:space="preserve">Срок действия</w:t>
            </w:r>
            <w:r>
              <w:rPr>
                <w:rStyle w:val="1022"/>
                <w:sz w:val="18"/>
                <w:szCs w:val="18"/>
                <w:lang w:eastAsia="en-US"/>
              </w:rPr>
              <w:footnoteReference w:id="3"/>
            </w:r>
            <w:r>
              <w:rPr>
                <w:sz w:val="18"/>
                <w:szCs w:val="18"/>
                <w:lang w:eastAsia="en-US"/>
              </w:rPr>
            </w:r>
            <w:r>
              <w:rPr>
                <w:sz w:val="18"/>
                <w:szCs w:val="18"/>
                <w:lang w:eastAsia="en-US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Наименование продукта в ЕРРП</w:t>
            </w:r>
            <w:r>
              <w:rPr>
                <w:rStyle w:val="1022"/>
                <w:sz w:val="18"/>
                <w:szCs w:val="18"/>
                <w:lang w:eastAsia="en-US"/>
              </w:rPr>
              <w:footnoteReference w:id="4"/>
            </w:r>
            <w:r>
              <w:rPr>
                <w:sz w:val="18"/>
                <w:szCs w:val="18"/>
                <w:lang w:eastAsia="en-US"/>
              </w:rPr>
            </w:r>
            <w:r>
              <w:rPr>
                <w:sz w:val="18"/>
                <w:szCs w:val="18"/>
                <w:lang w:eastAsia="en-US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Номер записи в ЕРРП</w:t>
            </w:r>
            <w:r>
              <w:rPr>
                <w:sz w:val="18"/>
                <w:szCs w:val="18"/>
                <w:lang w:eastAsia="en-US"/>
              </w:rPr>
            </w:r>
            <w:r>
              <w:rPr>
                <w:sz w:val="18"/>
                <w:szCs w:val="18"/>
                <w:lang w:eastAsia="en-US"/>
              </w:rPr>
            </w:r>
          </w:p>
        </w:tc>
      </w:tr>
      <w:tr>
        <w:tblPrEx/>
        <w:trPr/>
        <w:tc>
          <w:tcPr>
            <w:tcW w:w="452" w:type="dxa"/>
            <w:vAlign w:val="center"/>
            <w:vMerge w:val="restart"/>
            <w:textDirection w:val="lrTb"/>
            <w:noWrap w:val="false"/>
          </w:tcPr>
          <w:p>
            <w:pPr>
              <w:pStyle w:val="1023"/>
              <w:jc w:val="center"/>
              <w:rPr>
                <w:sz w:val="26"/>
                <w:szCs w:val="26"/>
                <w14:ligatures w14:val="none"/>
              </w:rPr>
            </w:pPr>
            <w:r>
              <w:rPr>
                <w:sz w:val="26"/>
                <w:szCs w:val="26"/>
              </w:rPr>
              <w:t xml:space="preserve">1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5359" w:type="dxa"/>
            <w:vAlign w:val="center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  <w14:ligatures w14:val="none"/>
              </w:rPr>
            </w:pPr>
            <w:r>
              <w:rPr>
                <w:sz w:val="22"/>
                <w:szCs w:val="22"/>
              </w:rPr>
              <w:t xml:space="preserve">VK Workmail пользовательская на 1 год с обновлениями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  <w14:ligatures w14:val="none"/>
              </w:rPr>
            </w:pPr>
            <w:r>
              <w:rPr>
                <w:sz w:val="22"/>
                <w:szCs w:val="22"/>
              </w:rPr>
              <w:t xml:space="preserve">ООО "ВК ЦИФРОВЫЕ ТЕХНОЛОГИИ"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  <w14:ligatures w14:val="none"/>
              </w:rPr>
            </w:pPr>
            <w:r>
              <w:rPr>
                <w:sz w:val="16"/>
                <w:szCs w:val="16"/>
              </w:rPr>
              <w:t xml:space="preserve">Электронный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14:ligatures w14:val="none"/>
              </w:rPr>
            </w:pPr>
            <w:r>
              <w:t xml:space="preserve">8 400</w:t>
            </w:r>
            <w:r/>
            <w:r/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  <w14:ligatures w14:val="none"/>
              </w:rPr>
            </w:pPr>
            <w:r>
              <w:rPr>
                <w:sz w:val="22"/>
                <w:szCs w:val="22"/>
              </w:rPr>
              <w:t xml:space="preserve">12 мес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rPr>
                <w:sz w:val="18"/>
                <w:szCs w:val="18"/>
                <w14:ligatures w14:val="none"/>
              </w:rPr>
            </w:pPr>
            <w:r>
              <w:rPr>
                <w:sz w:val="20"/>
                <w:szCs w:val="20"/>
              </w:rPr>
              <w:t xml:space="preserve">Почта для домена / VK WorkMail</w:t>
            </w:r>
            <w:r>
              <w:rPr>
                <w:sz w:val="20"/>
                <w:szCs w:val="20"/>
                <w14:ligatures w14:val="none"/>
              </w:rPr>
            </w:r>
            <w:r>
              <w:rPr>
                <w:sz w:val="20"/>
                <w:szCs w:val="20"/>
                <w14:ligatures w14:val="none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  <w14:ligatures w14:val="none"/>
              </w:rPr>
            </w:pPr>
            <w:r>
              <w:rPr>
                <w:sz w:val="20"/>
                <w:szCs w:val="20"/>
              </w:rPr>
              <w:t xml:space="preserve">№5987 от 19.11.2019</w:t>
            </w:r>
            <w:r>
              <w:rPr>
                <w:sz w:val="20"/>
                <w:szCs w:val="20"/>
                <w14:ligatures w14:val="none"/>
              </w:rPr>
            </w:r>
            <w:r>
              <w:rPr>
                <w:sz w:val="20"/>
                <w:szCs w:val="20"/>
                <w14:ligatures w14:val="none"/>
              </w:rPr>
            </w:r>
          </w:p>
        </w:tc>
      </w:tr>
      <w:tr>
        <w:tblPrEx/>
        <w:trPr/>
        <w:tc>
          <w:tcPr>
            <w:tcW w:w="452" w:type="dxa"/>
            <w:vAlign w:val="center"/>
            <w:vMerge w:val="restart"/>
            <w:textDirection w:val="lrTb"/>
            <w:noWrap w:val="false"/>
          </w:tcPr>
          <w:p>
            <w:pPr>
              <w:pStyle w:val="1023"/>
              <w:jc w:val="center"/>
              <w:rPr>
                <w:sz w:val="26"/>
                <w:szCs w:val="26"/>
                <w14:ligatures w14:val="none"/>
              </w:rPr>
            </w:pPr>
            <w:r>
              <w:rPr>
                <w:sz w:val="26"/>
                <w:szCs w:val="26"/>
              </w:rPr>
              <w:t xml:space="preserve">2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5359" w:type="dxa"/>
            <w:vAlign w:val="center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  <w14:ligatures w14:val="none"/>
              </w:rPr>
            </w:pPr>
            <w:r>
              <w:rPr>
                <w:sz w:val="22"/>
                <w:szCs w:val="22"/>
              </w:rPr>
              <w:t xml:space="preserve">VK Workmail серверная на 1 год с обновлениями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  <w14:ligatures w14:val="none"/>
              </w:rPr>
            </w:pPr>
            <w:r>
              <w:rPr>
                <w:sz w:val="22"/>
                <w:szCs w:val="22"/>
              </w:rPr>
              <w:t xml:space="preserve">ООО "ВК ЦИФРОВЫЕ ТЕХНОЛОГИИ"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  <w14:ligatures w14:val="none"/>
              </w:rPr>
            </w:pPr>
            <w:r>
              <w:rPr>
                <w:sz w:val="16"/>
                <w:szCs w:val="16"/>
              </w:rPr>
              <w:t xml:space="preserve">Электронный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14:ligatures w14:val="none"/>
              </w:rPr>
            </w:pPr>
            <w:r>
              <w:t xml:space="preserve">1</w:t>
            </w:r>
            <w:r/>
            <w:r/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  <w14:ligatures w14:val="none"/>
              </w:rPr>
            </w:pPr>
            <w:r>
              <w:rPr>
                <w:sz w:val="22"/>
                <w:szCs w:val="22"/>
              </w:rPr>
              <w:t xml:space="preserve">12 мес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rPr>
                <w:sz w:val="18"/>
                <w:szCs w:val="18"/>
                <w14:ligatures w14:val="none"/>
              </w:rPr>
            </w:pPr>
            <w:r>
              <w:rPr>
                <w:sz w:val="20"/>
                <w:szCs w:val="20"/>
              </w:rPr>
              <w:t xml:space="preserve">Почта для домена / VK WorkMail</w:t>
            </w:r>
            <w:r>
              <w:rPr>
                <w:sz w:val="20"/>
                <w:szCs w:val="20"/>
                <w14:ligatures w14:val="none"/>
              </w:rPr>
            </w:r>
            <w:r>
              <w:rPr>
                <w:sz w:val="20"/>
                <w:szCs w:val="20"/>
                <w14:ligatures w14:val="none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  <w14:ligatures w14:val="none"/>
              </w:rPr>
            </w:pPr>
            <w:r>
              <w:rPr>
                <w:sz w:val="20"/>
                <w:szCs w:val="20"/>
              </w:rPr>
              <w:t xml:space="preserve">№5987 от 19.11.2019</w:t>
            </w:r>
            <w:r>
              <w:rPr>
                <w:sz w:val="20"/>
                <w:szCs w:val="20"/>
                <w14:ligatures w14:val="none"/>
              </w:rPr>
            </w:r>
            <w:r>
              <w:rPr>
                <w:sz w:val="20"/>
                <w:szCs w:val="20"/>
                <w14:ligatures w14:val="none"/>
              </w:rPr>
            </w:r>
          </w:p>
        </w:tc>
      </w:tr>
      <w:tr>
        <w:tblPrEx/>
        <w:trPr/>
        <w:tc>
          <w:tcPr>
            <w:tcW w:w="452" w:type="dxa"/>
            <w:vAlign w:val="center"/>
            <w:vMerge w:val="restart"/>
            <w:textDirection w:val="lrTb"/>
            <w:noWrap w:val="false"/>
          </w:tcPr>
          <w:p>
            <w:pPr>
              <w:pStyle w:val="1023"/>
              <w:jc w:val="center"/>
              <w:rPr>
                <w:sz w:val="26"/>
                <w:szCs w:val="26"/>
                <w14:ligatures w14:val="none"/>
              </w:rPr>
            </w:pPr>
            <w:r>
              <w:rPr>
                <w:sz w:val="26"/>
                <w:szCs w:val="26"/>
              </w:rPr>
              <w:t xml:space="preserve">3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5359" w:type="dxa"/>
            <w:vAlign w:val="center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  <w14:ligatures w14:val="none"/>
              </w:rPr>
            </w:pPr>
            <w:r>
              <w:rPr>
                <w:sz w:val="22"/>
                <w:szCs w:val="22"/>
              </w:rPr>
              <w:t xml:space="preserve">VK Teams пользовательская на 1 год с обновлениями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  <w14:ligatures w14:val="none"/>
              </w:rPr>
            </w:pPr>
            <w:r>
              <w:rPr>
                <w:sz w:val="22"/>
                <w:szCs w:val="22"/>
              </w:rPr>
              <w:t xml:space="preserve">ООО "ВК ЦИФРОВЫЕ ТЕХНОЛОГИИ"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  <w14:ligatures w14:val="none"/>
              </w:rPr>
            </w:pPr>
            <w:r>
              <w:rPr>
                <w:sz w:val="16"/>
                <w:szCs w:val="16"/>
              </w:rPr>
              <w:t xml:space="preserve">Электронный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14:ligatures w14:val="none"/>
              </w:rPr>
            </w:pPr>
            <w:r>
              <w:t xml:space="preserve">8 400</w:t>
            </w:r>
            <w:r/>
            <w:r/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  <w14:ligatures w14:val="none"/>
              </w:rPr>
            </w:pPr>
            <w:r>
              <w:rPr>
                <w:sz w:val="22"/>
                <w:szCs w:val="22"/>
              </w:rPr>
              <w:t xml:space="preserve">12 мес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rPr>
                <w:sz w:val="18"/>
                <w:szCs w:val="18"/>
                <w14:ligatures w14:val="none"/>
              </w:rPr>
            </w:pPr>
            <w:r>
              <w:rPr>
                <w:sz w:val="20"/>
                <w:szCs w:val="20"/>
              </w:rPr>
              <w:t xml:space="preserve">Цифровое рабочее место сотрудника / VK Teams</w:t>
            </w:r>
            <w:r>
              <w:rPr>
                <w:sz w:val="20"/>
                <w:szCs w:val="20"/>
                <w14:ligatures w14:val="none"/>
              </w:rPr>
            </w:r>
            <w:r>
              <w:rPr>
                <w:sz w:val="20"/>
                <w:szCs w:val="20"/>
                <w14:ligatures w14:val="none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  <w14:ligatures w14:val="none"/>
              </w:rPr>
            </w:pPr>
            <w:r>
              <w:rPr>
                <w:sz w:val="20"/>
                <w:szCs w:val="20"/>
              </w:rPr>
              <w:t xml:space="preserve">№6644 от 23.04.2020</w:t>
            </w:r>
            <w:r>
              <w:rPr>
                <w:sz w:val="20"/>
                <w:szCs w:val="20"/>
                <w14:ligatures w14:val="none"/>
              </w:rPr>
            </w:r>
            <w:r>
              <w:rPr>
                <w:sz w:val="20"/>
                <w:szCs w:val="20"/>
                <w14:ligatures w14:val="none"/>
              </w:rPr>
            </w:r>
          </w:p>
        </w:tc>
      </w:tr>
      <w:tr>
        <w:tblPrEx/>
        <w:trPr/>
        <w:tc>
          <w:tcPr>
            <w:tcW w:w="452" w:type="dxa"/>
            <w:vAlign w:val="center"/>
            <w:vMerge w:val="restart"/>
            <w:textDirection w:val="lrTb"/>
            <w:noWrap w:val="false"/>
          </w:tcPr>
          <w:p>
            <w:pPr>
              <w:pStyle w:val="1023"/>
              <w:jc w:val="center"/>
              <w:rPr>
                <w:sz w:val="26"/>
                <w:szCs w:val="26"/>
                <w14:ligatures w14:val="none"/>
              </w:rPr>
            </w:pPr>
            <w:r>
              <w:rPr>
                <w:sz w:val="26"/>
                <w:szCs w:val="26"/>
              </w:rPr>
              <w:t xml:space="preserve">4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5359" w:type="dxa"/>
            <w:vAlign w:val="center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  <w14:ligatures w14:val="none"/>
              </w:rPr>
            </w:pPr>
            <w:r>
              <w:rPr>
                <w:sz w:val="22"/>
                <w:szCs w:val="22"/>
              </w:rPr>
              <w:t xml:space="preserve">Сертификат на Техническую Поддержку уровня "Базовый" и доступ к обновлениям на ПО "Система безопасного управления средой виртуализации Z|virt" на физический сервер с максимально 2 CPU на 1 года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  <w14:ligatures w14:val="none"/>
              </w:rPr>
            </w:pPr>
            <w:r>
              <w:rPr>
                <w:sz w:val="22"/>
                <w:szCs w:val="22"/>
              </w:rPr>
              <w:t xml:space="preserve">ООО "ОРИОН"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  <w14:ligatures w14:val="none"/>
              </w:rPr>
            </w:pPr>
            <w:r>
              <w:rPr>
                <w:sz w:val="16"/>
                <w:szCs w:val="16"/>
              </w:rPr>
              <w:t xml:space="preserve">Электронный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14:ligatures w14:val="none"/>
              </w:rPr>
            </w:pPr>
            <w:r>
              <w:t xml:space="preserve">59</w:t>
            </w:r>
            <w:r/>
            <w:r/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  <w14:ligatures w14:val="none"/>
              </w:rPr>
            </w:pPr>
            <w:r>
              <w:rPr>
                <w:sz w:val="22"/>
                <w:szCs w:val="22"/>
              </w:rPr>
              <w:t xml:space="preserve">12 мес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rPr>
                <w:sz w:val="18"/>
                <w:szCs w:val="18"/>
                <w14:ligatures w14:val="none"/>
              </w:rPr>
            </w:pPr>
            <w:r>
              <w:rPr>
                <w:sz w:val="20"/>
                <w:szCs w:val="20"/>
              </w:rPr>
              <w:t xml:space="preserve">Система безопасного управления средой виртуализации Z|virt</w:t>
            </w:r>
            <w:r>
              <w:rPr>
                <w:sz w:val="20"/>
                <w:szCs w:val="20"/>
                <w14:ligatures w14:val="none"/>
              </w:rPr>
            </w:r>
            <w:r>
              <w:rPr>
                <w:sz w:val="20"/>
                <w:szCs w:val="20"/>
                <w14:ligatures w14:val="none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  <w14:ligatures w14:val="none"/>
              </w:rPr>
            </w:pPr>
            <w:r>
              <w:rPr>
                <w:sz w:val="20"/>
                <w:szCs w:val="20"/>
              </w:rPr>
              <w:t xml:space="preserve">№ 4984 от 03.12.2018</w:t>
            </w:r>
            <w:r>
              <w:rPr>
                <w:sz w:val="20"/>
                <w:szCs w:val="20"/>
                <w14:ligatures w14:val="none"/>
              </w:rPr>
            </w:r>
            <w:r>
              <w:rPr>
                <w:sz w:val="20"/>
                <w:szCs w:val="20"/>
                <w14:ligatures w14:val="none"/>
              </w:rPr>
            </w:r>
          </w:p>
        </w:tc>
      </w:tr>
      <w:tr>
        <w:tblPrEx/>
        <w:trPr/>
        <w:tc>
          <w:tcPr>
            <w:tcW w:w="452" w:type="dxa"/>
            <w:vAlign w:val="center"/>
            <w:vMerge w:val="restart"/>
            <w:textDirection w:val="lrTb"/>
            <w:noWrap w:val="false"/>
          </w:tcPr>
          <w:p>
            <w:pPr>
              <w:pStyle w:val="1023"/>
              <w:jc w:val="center"/>
              <w:rPr>
                <w:sz w:val="26"/>
                <w:szCs w:val="26"/>
                <w14:ligatures w14:val="none"/>
              </w:rPr>
            </w:pPr>
            <w:r>
              <w:rPr>
                <w:sz w:val="26"/>
                <w:szCs w:val="26"/>
              </w:rPr>
              <w:t xml:space="preserve">5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5359" w:type="dxa"/>
            <w:vAlign w:val="center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  <w14:ligatures w14:val="none"/>
              </w:rPr>
            </w:pPr>
            <w:r>
              <w:rPr>
                <w:sz w:val="22"/>
                <w:szCs w:val="22"/>
              </w:rPr>
              <w:t xml:space="preserve">Кибер Бэкап Расширенная редакция для платформы виртуализации – Переход на новую версию FVACNV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  <w14:ligatures w14:val="none"/>
              </w:rPr>
            </w:pPr>
            <w:r>
              <w:rPr>
                <w:sz w:val="22"/>
                <w:szCs w:val="22"/>
              </w:rPr>
              <w:t xml:space="preserve">ООО "КИБЕРПРОТЕКТ"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  <w14:ligatures w14:val="none"/>
              </w:rPr>
            </w:pPr>
            <w:r>
              <w:rPr>
                <w:sz w:val="16"/>
                <w:szCs w:val="16"/>
              </w:rPr>
              <w:t xml:space="preserve">Электронный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14:ligatures w14:val="none"/>
              </w:rPr>
            </w:pPr>
            <w:r>
              <w:t xml:space="preserve">25</w:t>
            </w:r>
            <w:r/>
            <w:r/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  <w14:ligatures w14:val="none"/>
              </w:rPr>
            </w:pPr>
            <w:r>
              <w:rPr>
                <w:sz w:val="22"/>
                <w:szCs w:val="22"/>
              </w:rPr>
              <w:t xml:space="preserve">бессрочно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rPr>
                <w:sz w:val="18"/>
                <w:szCs w:val="18"/>
                <w14:ligatures w14:val="none"/>
              </w:rPr>
            </w:pPr>
            <w:r>
              <w:rPr>
                <w:sz w:val="20"/>
                <w:szCs w:val="20"/>
              </w:rPr>
              <w:t xml:space="preserve">Кибер Бэкап Расширенный</w:t>
            </w:r>
            <w:r>
              <w:rPr>
                <w:sz w:val="20"/>
                <w:szCs w:val="20"/>
                <w14:ligatures w14:val="none"/>
              </w:rPr>
            </w:r>
            <w:r>
              <w:rPr>
                <w:sz w:val="20"/>
                <w:szCs w:val="20"/>
                <w14:ligatures w14:val="none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  <w14:ligatures w14:val="none"/>
              </w:rPr>
            </w:pPr>
            <w:r>
              <w:rPr>
                <w:sz w:val="20"/>
                <w:szCs w:val="20"/>
              </w:rPr>
              <w:t xml:space="preserve">№4161 от 11.12.2017</w:t>
            </w:r>
            <w:r>
              <w:rPr>
                <w:sz w:val="20"/>
                <w:szCs w:val="20"/>
                <w14:ligatures w14:val="none"/>
              </w:rPr>
            </w:r>
            <w:r>
              <w:rPr>
                <w:sz w:val="20"/>
                <w:szCs w:val="20"/>
                <w14:ligatures w14:val="none"/>
              </w:rPr>
            </w:r>
          </w:p>
        </w:tc>
      </w:tr>
      <w:tr>
        <w:tblPrEx/>
        <w:trPr/>
        <w:tc>
          <w:tcPr>
            <w:tcW w:w="452" w:type="dxa"/>
            <w:vAlign w:val="center"/>
            <w:vMerge w:val="restart"/>
            <w:textDirection w:val="lrTb"/>
            <w:noWrap w:val="false"/>
          </w:tcPr>
          <w:p>
            <w:pPr>
              <w:pStyle w:val="1023"/>
              <w:jc w:val="center"/>
              <w:rPr>
                <w:sz w:val="26"/>
                <w:szCs w:val="26"/>
                <w14:ligatures w14:val="none"/>
              </w:rPr>
            </w:pPr>
            <w:r>
              <w:rPr>
                <w:sz w:val="26"/>
                <w:szCs w:val="26"/>
              </w:rPr>
              <w:t xml:space="preserve">6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5359" w:type="dxa"/>
            <w:vAlign w:val="center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  <w14:ligatures w14:val="none"/>
              </w:rPr>
            </w:pPr>
            <w:r>
              <w:rPr>
                <w:sz w:val="22"/>
                <w:szCs w:val="22"/>
              </w:rPr>
              <w:t xml:space="preserve">Кибер Бэкап Расширенная редакция для платформы виртуализации – Переход на новую версию VACNV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  <w14:ligatures w14:val="none"/>
              </w:rPr>
            </w:pPr>
            <w:r>
              <w:rPr>
                <w:sz w:val="22"/>
                <w:szCs w:val="22"/>
              </w:rPr>
              <w:t xml:space="preserve">ООО "КИБЕРПРОТЕКТ"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  <w14:ligatures w14:val="none"/>
              </w:rPr>
            </w:pPr>
            <w:r>
              <w:rPr>
                <w:sz w:val="16"/>
                <w:szCs w:val="16"/>
              </w:rPr>
              <w:t xml:space="preserve">Электронный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14:ligatures w14:val="none"/>
              </w:rPr>
            </w:pPr>
            <w:r>
              <w:t xml:space="preserve">36</w:t>
            </w:r>
            <w:r/>
            <w:r/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  <w14:ligatures w14:val="none"/>
              </w:rPr>
            </w:pPr>
            <w:r>
              <w:rPr>
                <w:sz w:val="22"/>
                <w:szCs w:val="22"/>
              </w:rPr>
              <w:t xml:space="preserve">бессрочно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rPr>
                <w:sz w:val="18"/>
                <w:szCs w:val="18"/>
                <w14:ligatures w14:val="none"/>
              </w:rPr>
            </w:pPr>
            <w:r>
              <w:rPr>
                <w:sz w:val="20"/>
                <w:szCs w:val="20"/>
              </w:rPr>
              <w:t xml:space="preserve">Кибер Бэкап Расширенный</w:t>
            </w:r>
            <w:r>
              <w:rPr>
                <w:sz w:val="20"/>
                <w:szCs w:val="20"/>
                <w14:ligatures w14:val="none"/>
              </w:rPr>
            </w:r>
            <w:r>
              <w:rPr>
                <w:sz w:val="20"/>
                <w:szCs w:val="20"/>
                <w14:ligatures w14:val="none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  <w14:ligatures w14:val="none"/>
              </w:rPr>
            </w:pPr>
            <w:r>
              <w:rPr>
                <w:sz w:val="20"/>
                <w:szCs w:val="20"/>
              </w:rPr>
              <w:t xml:space="preserve">№4161 от 11.12.2017</w:t>
            </w:r>
            <w:r>
              <w:rPr>
                <w:sz w:val="20"/>
                <w:szCs w:val="20"/>
                <w14:ligatures w14:val="none"/>
              </w:rPr>
            </w:r>
            <w:r>
              <w:rPr>
                <w:sz w:val="20"/>
                <w:szCs w:val="20"/>
                <w14:ligatures w14:val="none"/>
              </w:rPr>
            </w:r>
          </w:p>
        </w:tc>
      </w:tr>
      <w:tr>
        <w:tblPrEx/>
        <w:trPr/>
        <w:tc>
          <w:tcPr>
            <w:tcW w:w="452" w:type="dxa"/>
            <w:vAlign w:val="center"/>
            <w:vMerge w:val="restart"/>
            <w:textDirection w:val="lrTb"/>
            <w:noWrap w:val="false"/>
          </w:tcPr>
          <w:p>
            <w:pPr>
              <w:pStyle w:val="1023"/>
              <w:jc w:val="center"/>
              <w:rPr>
                <w:sz w:val="26"/>
                <w:szCs w:val="26"/>
                <w14:ligatures w14:val="none"/>
              </w:rPr>
            </w:pPr>
            <w:r>
              <w:rPr>
                <w:sz w:val="26"/>
                <w:szCs w:val="26"/>
              </w:rPr>
              <w:t xml:space="preserve">7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5359" w:type="dxa"/>
            <w:vAlign w:val="center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  <w14:ligatures w14:val="none"/>
              </w:rPr>
            </w:pPr>
            <w:r>
              <w:rPr>
                <w:sz w:val="22"/>
                <w:szCs w:val="22"/>
              </w:rPr>
              <w:t xml:space="preserve">Сертификат на сопровождение ПО Кибер Бэкап Расширенная редакция для СУБД на базе PostgreSQL FAPPDBCNL-S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  <w14:ligatures w14:val="none"/>
              </w:rPr>
            </w:pPr>
            <w:r>
              <w:rPr>
                <w:sz w:val="22"/>
                <w:szCs w:val="22"/>
              </w:rPr>
              <w:t xml:space="preserve">ООО "КИБЕРПРОТЕКТ"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  <w14:ligatures w14:val="none"/>
              </w:rPr>
            </w:pPr>
            <w:r>
              <w:rPr>
                <w:sz w:val="16"/>
                <w:szCs w:val="16"/>
              </w:rPr>
              <w:t xml:space="preserve">Электронный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14:ligatures w14:val="none"/>
              </w:rPr>
            </w:pPr>
            <w:r>
              <w:t xml:space="preserve">25</w:t>
            </w:r>
            <w:r/>
            <w:r/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  <w14:ligatures w14:val="none"/>
              </w:rPr>
            </w:pPr>
            <w:r>
              <w:rPr>
                <w:sz w:val="22"/>
                <w:szCs w:val="22"/>
              </w:rPr>
              <w:t xml:space="preserve">12 мес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rPr>
                <w:sz w:val="18"/>
                <w:szCs w:val="18"/>
                <w14:ligatures w14:val="none"/>
              </w:rPr>
            </w:pPr>
            <w:r>
              <w:rPr>
                <w:sz w:val="20"/>
                <w:szCs w:val="20"/>
              </w:rPr>
              <w:t xml:space="preserve">Кибер Бэкап Расширенный</w:t>
            </w:r>
            <w:r>
              <w:rPr>
                <w:sz w:val="20"/>
                <w:szCs w:val="20"/>
                <w14:ligatures w14:val="none"/>
              </w:rPr>
            </w:r>
            <w:r>
              <w:rPr>
                <w:sz w:val="20"/>
                <w:szCs w:val="20"/>
                <w14:ligatures w14:val="none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  <w14:ligatures w14:val="none"/>
              </w:rPr>
            </w:pPr>
            <w:r>
              <w:rPr>
                <w:sz w:val="20"/>
                <w:szCs w:val="20"/>
              </w:rPr>
              <w:t xml:space="preserve">№4161 от 11.12.2017</w:t>
            </w:r>
            <w:r>
              <w:rPr>
                <w:sz w:val="20"/>
                <w:szCs w:val="20"/>
                <w14:ligatures w14:val="none"/>
              </w:rPr>
            </w:r>
            <w:r>
              <w:rPr>
                <w:sz w:val="20"/>
                <w:szCs w:val="20"/>
                <w14:ligatures w14:val="none"/>
              </w:rPr>
            </w:r>
          </w:p>
        </w:tc>
      </w:tr>
      <w:tr>
        <w:tblPrEx/>
        <w:trPr/>
        <w:tc>
          <w:tcPr>
            <w:tcW w:w="452" w:type="dxa"/>
            <w:vAlign w:val="center"/>
            <w:vMerge w:val="restart"/>
            <w:textDirection w:val="lrTb"/>
            <w:noWrap w:val="false"/>
          </w:tcPr>
          <w:p>
            <w:pPr>
              <w:pStyle w:val="1023"/>
              <w:jc w:val="center"/>
              <w:rPr>
                <w:sz w:val="26"/>
                <w:szCs w:val="26"/>
                <w14:ligatures w14:val="none"/>
              </w:rPr>
            </w:pPr>
            <w:r>
              <w:rPr>
                <w:sz w:val="26"/>
                <w:szCs w:val="26"/>
              </w:rPr>
              <w:t xml:space="preserve">8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5359" w:type="dxa"/>
            <w:vAlign w:val="center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  <w14:ligatures w14:val="none"/>
              </w:rPr>
            </w:pPr>
            <w:r>
              <w:rPr>
                <w:sz w:val="22"/>
                <w:szCs w:val="22"/>
              </w:rPr>
              <w:t xml:space="preserve">Сертификат на сопровождение ПО Кибер Бэкап Расширенная редакция для СУБД на базе PostgreSQL APPDBCNL-S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  <w14:ligatures w14:val="none"/>
              </w:rPr>
            </w:pPr>
            <w:r>
              <w:rPr>
                <w:sz w:val="22"/>
                <w:szCs w:val="22"/>
              </w:rPr>
              <w:t xml:space="preserve">ООО "КИБЕРПРОТЕКТ"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  <w14:ligatures w14:val="none"/>
              </w:rPr>
            </w:pPr>
            <w:r>
              <w:rPr>
                <w:sz w:val="16"/>
                <w:szCs w:val="16"/>
              </w:rPr>
              <w:t xml:space="preserve">Электронный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14:ligatures w14:val="none"/>
              </w:rPr>
            </w:pPr>
            <w:r>
              <w:t xml:space="preserve">14</w:t>
            </w:r>
            <w:r/>
            <w:r/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  <w14:ligatures w14:val="none"/>
              </w:rPr>
            </w:pPr>
            <w:r>
              <w:rPr>
                <w:sz w:val="22"/>
                <w:szCs w:val="22"/>
              </w:rPr>
              <w:t xml:space="preserve">12 мес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rPr>
                <w:sz w:val="18"/>
                <w:szCs w:val="18"/>
                <w14:ligatures w14:val="none"/>
              </w:rPr>
            </w:pPr>
            <w:r>
              <w:rPr>
                <w:sz w:val="20"/>
                <w:szCs w:val="20"/>
              </w:rPr>
              <w:t xml:space="preserve">Кибер Бэкап Расширенный</w:t>
            </w:r>
            <w:r>
              <w:rPr>
                <w:sz w:val="20"/>
                <w:szCs w:val="20"/>
                <w14:ligatures w14:val="none"/>
              </w:rPr>
            </w:r>
            <w:r>
              <w:rPr>
                <w:sz w:val="20"/>
                <w:szCs w:val="20"/>
                <w14:ligatures w14:val="none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  <w14:ligatures w14:val="none"/>
              </w:rPr>
            </w:pPr>
            <w:r>
              <w:rPr>
                <w:sz w:val="20"/>
                <w:szCs w:val="20"/>
              </w:rPr>
              <w:t xml:space="preserve">№4161 от 11.12.2017</w:t>
            </w:r>
            <w:r>
              <w:rPr>
                <w:sz w:val="20"/>
                <w:szCs w:val="20"/>
                <w14:ligatures w14:val="none"/>
              </w:rPr>
            </w:r>
            <w:r>
              <w:rPr>
                <w:sz w:val="20"/>
                <w:szCs w:val="20"/>
                <w14:ligatures w14:val="none"/>
              </w:rPr>
            </w:r>
          </w:p>
        </w:tc>
      </w:tr>
      <w:tr>
        <w:tblPrEx/>
        <w:trPr/>
        <w:tc>
          <w:tcPr>
            <w:tcW w:w="452" w:type="dxa"/>
            <w:vAlign w:val="center"/>
            <w:vMerge w:val="restart"/>
            <w:textDirection w:val="lrTb"/>
            <w:noWrap w:val="false"/>
          </w:tcPr>
          <w:p>
            <w:pPr>
              <w:pStyle w:val="1023"/>
              <w:jc w:val="center"/>
              <w:rPr>
                <w:sz w:val="26"/>
                <w:szCs w:val="26"/>
                <w14:ligatures w14:val="none"/>
              </w:rPr>
            </w:pPr>
            <w:r>
              <w:rPr>
                <w:sz w:val="26"/>
                <w:szCs w:val="26"/>
              </w:rPr>
              <w:t xml:space="preserve">9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5359" w:type="dxa"/>
            <w:vAlign w:val="center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  <w14:ligatures w14:val="none"/>
              </w:rPr>
            </w:pPr>
            <w:r>
              <w:rPr>
                <w:sz w:val="22"/>
                <w:szCs w:val="22"/>
              </w:rPr>
              <w:t xml:space="preserve">Сертификат на сопровождение ПО Кибер Бэкап Расширенная редакция для платформы виртуализации – Переход на новую версию FVACNV-S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  <w14:ligatures w14:val="none"/>
              </w:rPr>
            </w:pPr>
            <w:r>
              <w:rPr>
                <w:sz w:val="22"/>
                <w:szCs w:val="22"/>
              </w:rPr>
              <w:t xml:space="preserve">ООО "КИБЕРПРОТЕКТ"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  <w14:ligatures w14:val="none"/>
              </w:rPr>
            </w:pPr>
            <w:r>
              <w:rPr>
                <w:sz w:val="16"/>
                <w:szCs w:val="16"/>
              </w:rPr>
              <w:t xml:space="preserve">Электронный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14:ligatures w14:val="none"/>
              </w:rPr>
            </w:pPr>
            <w:r>
              <w:t xml:space="preserve">25</w:t>
            </w:r>
            <w:r/>
            <w:r/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  <w14:ligatures w14:val="none"/>
              </w:rPr>
            </w:pPr>
            <w:r>
              <w:rPr>
                <w:sz w:val="22"/>
                <w:szCs w:val="22"/>
              </w:rPr>
              <w:t xml:space="preserve">12 мес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rPr>
                <w:sz w:val="18"/>
                <w:szCs w:val="18"/>
                <w14:ligatures w14:val="none"/>
              </w:rPr>
            </w:pPr>
            <w:r>
              <w:rPr>
                <w:sz w:val="20"/>
                <w:szCs w:val="20"/>
              </w:rPr>
              <w:t xml:space="preserve">Кибер Бэкап Расширенный</w:t>
            </w:r>
            <w:r>
              <w:rPr>
                <w:sz w:val="20"/>
                <w:szCs w:val="20"/>
                <w14:ligatures w14:val="none"/>
              </w:rPr>
            </w:r>
            <w:r>
              <w:rPr>
                <w:sz w:val="20"/>
                <w:szCs w:val="20"/>
                <w14:ligatures w14:val="none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  <w14:ligatures w14:val="none"/>
              </w:rPr>
            </w:pPr>
            <w:r>
              <w:rPr>
                <w:sz w:val="20"/>
                <w:szCs w:val="20"/>
              </w:rPr>
              <w:t xml:space="preserve">№4161 от 11.12.2017</w:t>
            </w:r>
            <w:r>
              <w:rPr>
                <w:sz w:val="20"/>
                <w:szCs w:val="20"/>
                <w14:ligatures w14:val="none"/>
              </w:rPr>
            </w:r>
            <w:r>
              <w:rPr>
                <w:sz w:val="20"/>
                <w:szCs w:val="20"/>
                <w14:ligatures w14:val="none"/>
              </w:rPr>
            </w:r>
          </w:p>
        </w:tc>
      </w:tr>
      <w:tr>
        <w:tblPrEx/>
        <w:trPr/>
        <w:tc>
          <w:tcPr>
            <w:tcW w:w="452" w:type="dxa"/>
            <w:vAlign w:val="center"/>
            <w:vMerge w:val="restart"/>
            <w:textDirection w:val="lrTb"/>
            <w:noWrap w:val="false"/>
          </w:tcPr>
          <w:p>
            <w:pPr>
              <w:pStyle w:val="1023"/>
              <w:jc w:val="center"/>
              <w:rPr>
                <w:sz w:val="26"/>
                <w:szCs w:val="26"/>
                <w14:ligatures w14:val="none"/>
              </w:rPr>
            </w:pPr>
            <w:r>
              <w:rPr>
                <w:sz w:val="26"/>
                <w:szCs w:val="26"/>
              </w:rPr>
              <w:t xml:space="preserve">10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5359" w:type="dxa"/>
            <w:vAlign w:val="center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  <w14:ligatures w14:val="none"/>
              </w:rPr>
            </w:pPr>
            <w:r>
              <w:rPr>
                <w:sz w:val="22"/>
                <w:szCs w:val="22"/>
              </w:rPr>
              <w:t xml:space="preserve">Сертификат на сопровождение ПО Кибер Бэкап Расширенная редакция для платформы виртуализации – Переход на новую версию VACNV-S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  <w14:ligatures w14:val="none"/>
              </w:rPr>
            </w:pPr>
            <w:r>
              <w:rPr>
                <w:sz w:val="22"/>
                <w:szCs w:val="22"/>
              </w:rPr>
              <w:t xml:space="preserve">ООО "КИБЕРПРОТЕКТ"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  <w14:ligatures w14:val="none"/>
              </w:rPr>
            </w:pPr>
            <w:r>
              <w:rPr>
                <w:sz w:val="16"/>
                <w:szCs w:val="16"/>
              </w:rPr>
              <w:t xml:space="preserve">Электронный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14:ligatures w14:val="none"/>
              </w:rPr>
            </w:pPr>
            <w:r>
              <w:t xml:space="preserve">36</w:t>
            </w:r>
            <w:r/>
            <w:r/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  <w14:ligatures w14:val="none"/>
              </w:rPr>
            </w:pPr>
            <w:r>
              <w:rPr>
                <w:sz w:val="22"/>
                <w:szCs w:val="22"/>
              </w:rPr>
              <w:t xml:space="preserve">12 мес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rPr>
                <w:sz w:val="18"/>
                <w:szCs w:val="18"/>
                <w14:ligatures w14:val="none"/>
              </w:rPr>
            </w:pPr>
            <w:r>
              <w:rPr>
                <w:sz w:val="20"/>
                <w:szCs w:val="20"/>
              </w:rPr>
              <w:t xml:space="preserve">Кибер Бэкап Расширенный</w:t>
            </w:r>
            <w:r>
              <w:rPr>
                <w:sz w:val="20"/>
                <w:szCs w:val="20"/>
                <w14:ligatures w14:val="none"/>
              </w:rPr>
            </w:r>
            <w:r>
              <w:rPr>
                <w:sz w:val="20"/>
                <w:szCs w:val="20"/>
                <w14:ligatures w14:val="none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  <w14:ligatures w14:val="none"/>
              </w:rPr>
            </w:pPr>
            <w:r>
              <w:rPr>
                <w:sz w:val="20"/>
                <w:szCs w:val="20"/>
              </w:rPr>
              <w:t xml:space="preserve">№4161 от 11.12.2017</w:t>
            </w:r>
            <w:r>
              <w:rPr>
                <w:sz w:val="20"/>
                <w:szCs w:val="20"/>
                <w14:ligatures w14:val="none"/>
              </w:rPr>
            </w:r>
            <w:r>
              <w:rPr>
                <w:sz w:val="20"/>
                <w:szCs w:val="20"/>
                <w14:ligatures w14:val="none"/>
              </w:rPr>
            </w:r>
          </w:p>
        </w:tc>
      </w:tr>
    </w:tbl>
    <w:p>
      <w:pPr>
        <w:jc w:val="both"/>
        <w:spacing w:before="120" w:after="60"/>
        <w:rPr>
          <w:lang w:eastAsia="en-US"/>
        </w:rPr>
      </w:pPr>
      <w:r>
        <w:rPr>
          <w:lang w:eastAsia="en-US"/>
        </w:rPr>
        <w:t xml:space="preserve">Предложение товара эквивалента не рассматривается.</w:t>
      </w:r>
      <w:r>
        <w:rPr>
          <w:lang w:eastAsia="en-US"/>
        </w:rPr>
      </w:r>
      <w:r>
        <w:rPr>
          <w:lang w:eastAsia="en-US"/>
        </w:rPr>
      </w:r>
    </w:p>
    <w:p>
      <w:pPr>
        <w:jc w:val="both"/>
        <w:spacing w:before="120" w:after="6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sectPr>
      <w:footerReference w:type="default" r:id="rId10"/>
      <w:footnotePr/>
      <w:endnotePr/>
      <w:type w:val="nextPage"/>
      <w:pgSz w:w="16838" w:h="11906" w:orient="landscape"/>
      <w:pgMar w:top="1134" w:right="1134" w:bottom="850" w:left="1134" w:header="284" w:footer="12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0" w:type="auto"/>
      <w:tblLook w:val="04A0" w:firstRow="1" w:lastRow="0" w:firstColumn="1" w:lastColumn="0" w:noHBand="0" w:noVBand="1"/>
    </w:tblPr>
    <w:tblGrid>
      <w:gridCol w:w="3114"/>
      <w:gridCol w:w="3114"/>
      <w:gridCol w:w="3127"/>
    </w:tblGrid>
    <w:tr>
      <w:tblPrEx/>
      <w:trPr/>
      <w:tc>
        <w:tcPr>
          <w:tcW w:w="3190" w:type="dxa"/>
          <w:textDirection w:val="lrTb"/>
          <w:noWrap w:val="false"/>
        </w:tcPr>
        <w:p>
          <w:pPr>
            <w:pStyle w:val="1004"/>
            <w:ind w:right="360"/>
            <w:rPr>
              <w:sz w:val="20"/>
              <w:szCs w:val="20"/>
            </w:rPr>
          </w:pPr>
          <w:r>
            <w:rPr>
              <w:sz w:val="20"/>
              <w:szCs w:val="20"/>
            </w:rPr>
          </w:r>
          <w:r>
            <w:rPr>
              <w:sz w:val="20"/>
              <w:szCs w:val="20"/>
            </w:rPr>
          </w:r>
          <w:r>
            <w:rPr>
              <w:sz w:val="20"/>
              <w:szCs w:val="20"/>
            </w:rPr>
          </w:r>
        </w:p>
      </w:tc>
      <w:tc>
        <w:tcPr>
          <w:tcW w:w="3190" w:type="dxa"/>
          <w:textDirection w:val="lrTb"/>
          <w:noWrap w:val="false"/>
        </w:tcPr>
        <w:p>
          <w:pPr>
            <w:pStyle w:val="1004"/>
            <w:ind w:right="360"/>
            <w:rPr>
              <w:sz w:val="20"/>
              <w:szCs w:val="20"/>
            </w:rPr>
          </w:pPr>
          <w:r>
            <w:rPr>
              <w:sz w:val="20"/>
              <w:szCs w:val="20"/>
            </w:rPr>
          </w:r>
          <w:r>
            <w:rPr>
              <w:sz w:val="20"/>
              <w:szCs w:val="20"/>
            </w:rPr>
          </w:r>
          <w:r>
            <w:rPr>
              <w:sz w:val="20"/>
              <w:szCs w:val="20"/>
            </w:rPr>
          </w:r>
        </w:p>
      </w:tc>
      <w:tc>
        <w:tcPr>
          <w:tcW w:w="3191" w:type="dxa"/>
          <w:textDirection w:val="lrTb"/>
          <w:noWrap w:val="false"/>
        </w:tcPr>
        <w:p>
          <w:pPr>
            <w:pStyle w:val="1004"/>
            <w:ind w:right="360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   \* MERGEFORMAT </w:instrText>
          </w:r>
          <w:r>
            <w:rPr>
              <w:sz w:val="20"/>
              <w:szCs w:val="20"/>
            </w:rPr>
            <w:fldChar w:fldCharType="separate"/>
          </w:r>
          <w:r>
            <w:rPr>
              <w:sz w:val="20"/>
              <w:szCs w:val="20"/>
            </w:rPr>
            <w:t xml:space="preserve">3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</w:r>
          <w:r>
            <w:rPr>
              <w:sz w:val="20"/>
              <w:szCs w:val="20"/>
            </w:rPr>
          </w:r>
        </w:p>
      </w:tc>
    </w:tr>
  </w:tbl>
  <w:p>
    <w:pPr>
      <w:pStyle w:val="1004"/>
      <w:ind w:right="360"/>
      <w:rPr>
        <w:sz w:val="12"/>
        <w:szCs w:val="12"/>
      </w:rPr>
    </w:pPr>
    <w:r>
      <w:rPr>
        <w:sz w:val="12"/>
        <w:szCs w:val="12"/>
      </w:rPr>
    </w:r>
    <w:r>
      <w:rPr>
        <w:sz w:val="12"/>
        <w:szCs w:val="12"/>
      </w:rPr>
    </w:r>
    <w:r>
      <w:rPr>
        <w:sz w:val="12"/>
        <w:szCs w:val="12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15309" w:type="dxa"/>
      <w:tblLook w:val="04A0" w:firstRow="1" w:lastRow="0" w:firstColumn="1" w:lastColumn="0" w:noHBand="0" w:noVBand="1"/>
    </w:tblPr>
    <w:tblGrid>
      <w:gridCol w:w="3190"/>
      <w:gridCol w:w="3190"/>
      <w:gridCol w:w="8929"/>
    </w:tblGrid>
    <w:tr>
      <w:tblPrEx/>
      <w:trPr/>
      <w:tc>
        <w:tcPr>
          <w:tcW w:w="3190" w:type="dxa"/>
          <w:textDirection w:val="lrTb"/>
          <w:noWrap w:val="false"/>
        </w:tcPr>
        <w:p>
          <w:pPr>
            <w:pStyle w:val="1004"/>
            <w:ind w:right="360"/>
            <w:rPr>
              <w:sz w:val="20"/>
              <w:szCs w:val="20"/>
            </w:rPr>
          </w:pPr>
          <w:r>
            <w:rPr>
              <w:sz w:val="20"/>
              <w:szCs w:val="20"/>
            </w:rPr>
          </w:r>
          <w:r>
            <w:rPr>
              <w:sz w:val="20"/>
              <w:szCs w:val="20"/>
            </w:rPr>
          </w:r>
          <w:r>
            <w:rPr>
              <w:sz w:val="20"/>
              <w:szCs w:val="20"/>
            </w:rPr>
          </w:r>
        </w:p>
      </w:tc>
      <w:tc>
        <w:tcPr>
          <w:tcW w:w="3190" w:type="dxa"/>
          <w:textDirection w:val="lrTb"/>
          <w:noWrap w:val="false"/>
        </w:tcPr>
        <w:p>
          <w:pPr>
            <w:pStyle w:val="1004"/>
            <w:ind w:right="360"/>
            <w:rPr>
              <w:sz w:val="20"/>
              <w:szCs w:val="20"/>
            </w:rPr>
          </w:pPr>
          <w:r>
            <w:rPr>
              <w:sz w:val="20"/>
              <w:szCs w:val="20"/>
            </w:rPr>
          </w:r>
          <w:r>
            <w:rPr>
              <w:sz w:val="20"/>
              <w:szCs w:val="20"/>
            </w:rPr>
          </w:r>
          <w:r>
            <w:rPr>
              <w:sz w:val="20"/>
              <w:szCs w:val="20"/>
            </w:rPr>
          </w:r>
        </w:p>
      </w:tc>
      <w:tc>
        <w:tcPr>
          <w:tcW w:w="8929" w:type="dxa"/>
          <w:textDirection w:val="lrTb"/>
          <w:noWrap w:val="false"/>
        </w:tcPr>
        <w:p>
          <w:pPr>
            <w:pStyle w:val="1004"/>
            <w:ind w:right="360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   \* MERGEFORMAT </w:instrText>
          </w:r>
          <w:r>
            <w:rPr>
              <w:sz w:val="20"/>
              <w:szCs w:val="20"/>
            </w:rPr>
            <w:fldChar w:fldCharType="separate"/>
          </w:r>
          <w:r>
            <w:rPr>
              <w:sz w:val="20"/>
              <w:szCs w:val="20"/>
            </w:rPr>
            <w:t xml:space="preserve">4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</w:r>
          <w:r>
            <w:rPr>
              <w:sz w:val="20"/>
              <w:szCs w:val="20"/>
            </w:rPr>
          </w:r>
        </w:p>
      </w:tc>
    </w:tr>
  </w:tbl>
  <w:p>
    <w:pPr>
      <w:pStyle w:val="1004"/>
      <w:ind w:right="360"/>
      <w:rPr>
        <w:sz w:val="12"/>
        <w:szCs w:val="12"/>
      </w:rPr>
    </w:pPr>
    <w:r>
      <w:rPr>
        <w:sz w:val="12"/>
        <w:szCs w:val="12"/>
      </w:rPr>
    </w:r>
    <w:r>
      <w:rPr>
        <w:sz w:val="12"/>
        <w:szCs w:val="12"/>
      </w:rPr>
    </w:r>
    <w:r>
      <w:rPr>
        <w:sz w:val="12"/>
        <w:szCs w:val="12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  <w:footnote w:id="2">
    <w:p>
      <w:pPr>
        <w:pStyle w:val="1020"/>
        <w:rPr>
          <w:sz w:val="16"/>
          <w:szCs w:val="16"/>
        </w:rPr>
      </w:pPr>
      <w:r>
        <w:rPr>
          <w:rStyle w:val="1022"/>
        </w:rPr>
        <w:footnoteRef/>
      </w:r>
      <w:r>
        <w:t xml:space="preserve"> </w:t>
      </w:r>
      <w:r>
        <w:rPr>
          <w:i/>
          <w:sz w:val="20"/>
          <w:szCs w:val="20"/>
          <w:lang w:eastAsia="en-US"/>
        </w:rPr>
        <w:t xml:space="preserve">В период действия лицензии Лицензиа</w:t>
      </w:r>
      <w:r>
        <w:rPr>
          <w:i/>
          <w:sz w:val="20"/>
          <w:szCs w:val="20"/>
          <w:lang w:eastAsia="en-US"/>
        </w:rPr>
        <w:t xml:space="preserve">р/Сублицензиар</w:t>
      </w:r>
      <w:r>
        <w:rPr>
          <w:i/>
          <w:sz w:val="20"/>
          <w:szCs w:val="20"/>
          <w:lang w:eastAsia="en-US"/>
        </w:rPr>
        <w:t xml:space="preserve"> производит обновления программного обеспечения по мере их выпуска</w:t>
      </w:r>
      <w:r>
        <w:rPr>
          <w:sz w:val="16"/>
          <w:szCs w:val="16"/>
        </w:rPr>
      </w:r>
      <w:r>
        <w:rPr>
          <w:sz w:val="16"/>
          <w:szCs w:val="16"/>
        </w:rPr>
      </w:r>
    </w:p>
  </w:footnote>
  <w:footnote w:id="3">
    <w:p>
      <w:pPr>
        <w:pStyle w:val="1020"/>
        <w:rPr>
          <w:sz w:val="20"/>
          <w:szCs w:val="20"/>
        </w:rPr>
      </w:pPr>
      <w:r>
        <w:rPr>
          <w:rStyle w:val="1022"/>
        </w:rPr>
        <w:footnoteRef/>
      </w:r>
      <w:r>
        <w:t xml:space="preserve"> </w:t>
      </w:r>
      <w:r>
        <w:rPr>
          <w:i/>
          <w:iCs/>
          <w:sz w:val="20"/>
          <w:szCs w:val="20"/>
          <w:lang w:eastAsia="en-US"/>
        </w:rPr>
        <w:t xml:space="preserve">но не более срока действия исключительного права на программное</w:t>
      </w:r>
      <w:r>
        <w:rPr>
          <w:i/>
          <w:sz w:val="20"/>
          <w:szCs w:val="20"/>
          <w:lang w:eastAsia="en-US"/>
        </w:rPr>
        <w:t xml:space="preserve"> </w:t>
      </w:r>
      <w:r>
        <w:rPr>
          <w:i/>
          <w:iCs/>
          <w:sz w:val="20"/>
          <w:szCs w:val="20"/>
          <w:lang w:eastAsia="en-US"/>
        </w:rPr>
        <w:t xml:space="preserve">обеспечение</w:t>
      </w:r>
      <w:r>
        <w:rPr>
          <w:i/>
          <w:iCs/>
          <w:sz w:val="20"/>
          <w:szCs w:val="20"/>
          <w:lang w:eastAsia="en-US"/>
        </w:rPr>
      </w:r>
      <w:r>
        <w:rPr>
          <w:sz w:val="20"/>
          <w:szCs w:val="20"/>
        </w:rPr>
      </w:r>
    </w:p>
  </w:footnote>
  <w:footnote w:id="4">
    <w:p>
      <w:pPr>
        <w:pStyle w:val="1020"/>
        <w:rPr>
          <w:sz w:val="20"/>
          <w:szCs w:val="20"/>
        </w:rPr>
      </w:pPr>
      <w:r>
        <w:rPr>
          <w:rStyle w:val="1022"/>
        </w:rPr>
        <w:footnoteRef/>
      </w:r>
      <w:r>
        <w:t xml:space="preserve"> </w:t>
      </w:r>
      <w:r>
        <w:rPr>
          <w:i/>
          <w:iCs/>
          <w:sz w:val="20"/>
          <w:szCs w:val="20"/>
          <w:lang w:eastAsia="en-US"/>
        </w:rPr>
        <w:t xml:space="preserve">ЕРРП – </w:t>
      </w:r>
      <w:r>
        <w:rPr>
          <w:i/>
          <w:iCs/>
          <w:sz w:val="20"/>
          <w:szCs w:val="20"/>
          <w:lang w:eastAsia="en-US"/>
        </w:rPr>
        <w:t xml:space="preserve">Единый реестр российских программ для электронных </w:t>
      </w:r>
      <w:r>
        <w:rPr>
          <w:i/>
          <w:iCs/>
          <w:sz w:val="20"/>
          <w:szCs w:val="20"/>
          <w:lang w:eastAsia="en-US"/>
        </w:rPr>
        <w:t xml:space="preserve">вычислительных </w:t>
      </w:r>
      <w:r>
        <w:rPr>
          <w:i/>
          <w:iCs/>
          <w:sz w:val="20"/>
          <w:szCs w:val="20"/>
          <w:lang w:eastAsia="en-US"/>
        </w:rPr>
        <w:t xml:space="preserve">машин и баз данных</w:t>
      </w:r>
      <w:r>
        <w:rPr>
          <w:i/>
          <w:iCs/>
          <w:sz w:val="20"/>
          <w:szCs w:val="20"/>
          <w:lang w:eastAsia="en-US"/>
        </w:rPr>
        <w:t xml:space="preserve"> </w:t>
      </w:r>
      <w:r>
        <w:rPr>
          <w:i/>
          <w:iCs/>
          <w:sz w:val="20"/>
          <w:szCs w:val="20"/>
          <w:lang w:eastAsia="en-US"/>
        </w:rPr>
        <w:t xml:space="preserve">https://reestr.digital.gov.ru/</w:t>
      </w:r>
      <w:r>
        <w:rPr>
          <w:sz w:val="20"/>
          <w:szCs w:val="20"/>
        </w:rPr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992"/>
      <w:isLgl w:val="false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993"/>
      <w:isLgl w:val="false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isLgl w:val="false"/>
      <w:suff w:val="tab"/>
      <w:lvlText w:val="%6."/>
      <w:lvlJc w:val="right"/>
      <w:pPr>
        <w:ind w:left="0" w:firstLine="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isLgl w:val="false"/>
      <w:suff w:val="tab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0" w:firstLine="0"/>
      </w:pPr>
      <w:rPr>
        <w:rFonts w:hint="default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multiLevelType w:val="hybridMultilevel"/>
    <w:lvl w:ilvl="0">
      <w:start w:val="1"/>
      <w:numFmt w:val="decimal"/>
      <w:pStyle w:val="991"/>
      <w:isLgl w:val="false"/>
      <w:suff w:val="tab"/>
      <w:lvlText w:val="%1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ascii="Times New Roman" w:hAnsi="Times New Roman" w:eastAsia="Calibri" w:cs="Times New Roman"/>
        <w:b/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40" w:hanging="480"/>
      </w:pPr>
      <w:rPr>
        <w:rFonts w:hint="default" w:ascii="Times New Roman" w:hAnsi="Times New Roman" w:eastAsia="Times New Roman" w:cs="Times New Roman"/>
        <w:color w:val="0000ff"/>
        <w:sz w:val="28"/>
        <w:u w:val="singl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1417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14"/>
  </w:num>
  <w:num w:numId="2">
    <w:abstractNumId w:val="3"/>
  </w:num>
  <w:num w:numId="3">
    <w:abstractNumId w:val="5"/>
  </w:num>
  <w:num w:numId="4">
    <w:abstractNumId w:val="13"/>
  </w:num>
  <w:num w:numId="5">
    <w:abstractNumId w:val="4"/>
  </w:num>
  <w:num w:numId="6">
    <w:abstractNumId w:val="1"/>
  </w:num>
  <w:num w:numId="7">
    <w:abstractNumId w:val="1"/>
  </w:num>
  <w:num w:numId="8">
    <w:abstractNumId w:val="1"/>
  </w:num>
  <w:num w:numId="9">
    <w:abstractNumId w:val="11"/>
  </w:num>
  <w:num w:numId="10">
    <w:abstractNumId w:val="15"/>
  </w:num>
  <w:num w:numId="11">
    <w:abstractNumId w:val="2"/>
  </w:num>
  <w:num w:numId="12">
    <w:abstractNumId w:val="8"/>
  </w:num>
  <w:num w:numId="13">
    <w:abstractNumId w:val="0"/>
  </w:num>
  <w:num w:numId="14">
    <w:abstractNumId w:val="1"/>
  </w:num>
  <w:num w:numId="15">
    <w:abstractNumId w:val="9"/>
  </w:num>
  <w:num w:numId="16">
    <w:abstractNumId w:val="9"/>
  </w:num>
  <w:num w:numId="17">
    <w:abstractNumId w:val="9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</w:num>
  <w:num w:numId="22">
    <w:abstractNumId w:val="7"/>
  </w:num>
  <w:num w:numId="23">
    <w:abstractNumId w:val="9"/>
  </w:num>
  <w:num w:numId="24">
    <w:abstractNumId w:val="12"/>
  </w:num>
  <w:num w:numId="25">
    <w:abstractNumId w:val="10"/>
  </w:num>
  <w:num w:numId="26">
    <w:abstractNumId w:val="16"/>
  </w:num>
  <w:num w:numId="27">
    <w:abstractNumId w:val="17"/>
  </w:num>
  <w:num w:numId="28">
    <w:abstractNumId w:val="18"/>
  </w:num>
  <w:num w:numId="29">
    <w:abstractNumId w:val="19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826">
    <w:name w:val="Heading 1 Char"/>
    <w:basedOn w:val="994"/>
    <w:link w:val="991"/>
    <w:uiPriority w:val="9"/>
    <w:rPr>
      <w:rFonts w:ascii="Arial" w:hAnsi="Arial" w:eastAsia="Arial" w:cs="Arial"/>
      <w:sz w:val="40"/>
      <w:szCs w:val="40"/>
    </w:rPr>
  </w:style>
  <w:style w:type="character" w:styleId="827">
    <w:name w:val="Heading 2 Char"/>
    <w:basedOn w:val="994"/>
    <w:link w:val="992"/>
    <w:uiPriority w:val="9"/>
    <w:rPr>
      <w:rFonts w:ascii="Arial" w:hAnsi="Arial" w:eastAsia="Arial" w:cs="Arial"/>
      <w:sz w:val="34"/>
    </w:rPr>
  </w:style>
  <w:style w:type="character" w:styleId="828">
    <w:name w:val="Heading 3 Char"/>
    <w:basedOn w:val="994"/>
    <w:link w:val="993"/>
    <w:uiPriority w:val="9"/>
    <w:rPr>
      <w:rFonts w:ascii="Arial" w:hAnsi="Arial" w:eastAsia="Arial" w:cs="Arial"/>
      <w:sz w:val="30"/>
      <w:szCs w:val="30"/>
    </w:rPr>
  </w:style>
  <w:style w:type="paragraph" w:styleId="829">
    <w:name w:val="Heading 4"/>
    <w:basedOn w:val="990"/>
    <w:next w:val="990"/>
    <w:link w:val="83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830">
    <w:name w:val="Heading 4 Char"/>
    <w:basedOn w:val="994"/>
    <w:link w:val="829"/>
    <w:uiPriority w:val="9"/>
    <w:rPr>
      <w:rFonts w:ascii="Arial" w:hAnsi="Arial" w:eastAsia="Arial" w:cs="Arial"/>
      <w:b/>
      <w:bCs/>
      <w:sz w:val="26"/>
      <w:szCs w:val="26"/>
    </w:rPr>
  </w:style>
  <w:style w:type="paragraph" w:styleId="831">
    <w:name w:val="Heading 5"/>
    <w:basedOn w:val="990"/>
    <w:next w:val="990"/>
    <w:link w:val="83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832">
    <w:name w:val="Heading 5 Char"/>
    <w:basedOn w:val="994"/>
    <w:link w:val="831"/>
    <w:uiPriority w:val="9"/>
    <w:rPr>
      <w:rFonts w:ascii="Arial" w:hAnsi="Arial" w:eastAsia="Arial" w:cs="Arial"/>
      <w:b/>
      <w:bCs/>
      <w:sz w:val="24"/>
      <w:szCs w:val="24"/>
    </w:rPr>
  </w:style>
  <w:style w:type="paragraph" w:styleId="833">
    <w:name w:val="Heading 6"/>
    <w:basedOn w:val="990"/>
    <w:next w:val="990"/>
    <w:link w:val="83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834">
    <w:name w:val="Heading 6 Char"/>
    <w:basedOn w:val="994"/>
    <w:link w:val="833"/>
    <w:uiPriority w:val="9"/>
    <w:rPr>
      <w:rFonts w:ascii="Arial" w:hAnsi="Arial" w:eastAsia="Arial" w:cs="Arial"/>
      <w:b/>
      <w:bCs/>
      <w:sz w:val="22"/>
      <w:szCs w:val="22"/>
    </w:rPr>
  </w:style>
  <w:style w:type="paragraph" w:styleId="835">
    <w:name w:val="Heading 7"/>
    <w:basedOn w:val="990"/>
    <w:next w:val="990"/>
    <w:link w:val="83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36">
    <w:name w:val="Heading 7 Char"/>
    <w:basedOn w:val="994"/>
    <w:link w:val="83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837">
    <w:name w:val="Heading 8"/>
    <w:basedOn w:val="990"/>
    <w:next w:val="990"/>
    <w:link w:val="83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838">
    <w:name w:val="Heading 8 Char"/>
    <w:basedOn w:val="994"/>
    <w:link w:val="837"/>
    <w:uiPriority w:val="9"/>
    <w:rPr>
      <w:rFonts w:ascii="Arial" w:hAnsi="Arial" w:eastAsia="Arial" w:cs="Arial"/>
      <w:i/>
      <w:iCs/>
      <w:sz w:val="22"/>
      <w:szCs w:val="22"/>
    </w:rPr>
  </w:style>
  <w:style w:type="paragraph" w:styleId="839">
    <w:name w:val="Heading 9"/>
    <w:basedOn w:val="990"/>
    <w:next w:val="990"/>
    <w:link w:val="84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40">
    <w:name w:val="Heading 9 Char"/>
    <w:basedOn w:val="994"/>
    <w:link w:val="839"/>
    <w:uiPriority w:val="9"/>
    <w:rPr>
      <w:rFonts w:ascii="Arial" w:hAnsi="Arial" w:eastAsia="Arial" w:cs="Arial"/>
      <w:i/>
      <w:iCs/>
      <w:sz w:val="21"/>
      <w:szCs w:val="21"/>
    </w:rPr>
  </w:style>
  <w:style w:type="paragraph" w:styleId="841">
    <w:name w:val="No Spacing"/>
    <w:uiPriority w:val="1"/>
    <w:qFormat/>
    <w:pPr>
      <w:spacing w:before="0" w:after="0" w:line="240" w:lineRule="auto"/>
    </w:pPr>
  </w:style>
  <w:style w:type="paragraph" w:styleId="842">
    <w:name w:val="Title"/>
    <w:basedOn w:val="990"/>
    <w:next w:val="990"/>
    <w:link w:val="84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843">
    <w:name w:val="Title Char"/>
    <w:basedOn w:val="994"/>
    <w:link w:val="842"/>
    <w:uiPriority w:val="10"/>
    <w:rPr>
      <w:sz w:val="48"/>
      <w:szCs w:val="48"/>
    </w:rPr>
  </w:style>
  <w:style w:type="paragraph" w:styleId="844">
    <w:name w:val="Subtitle"/>
    <w:basedOn w:val="990"/>
    <w:next w:val="990"/>
    <w:link w:val="845"/>
    <w:uiPriority w:val="11"/>
    <w:qFormat/>
    <w:pPr>
      <w:spacing w:before="200" w:after="200"/>
    </w:pPr>
    <w:rPr>
      <w:sz w:val="24"/>
      <w:szCs w:val="24"/>
    </w:rPr>
  </w:style>
  <w:style w:type="character" w:styleId="845">
    <w:name w:val="Subtitle Char"/>
    <w:basedOn w:val="994"/>
    <w:link w:val="844"/>
    <w:uiPriority w:val="11"/>
    <w:rPr>
      <w:sz w:val="24"/>
      <w:szCs w:val="24"/>
    </w:rPr>
  </w:style>
  <w:style w:type="paragraph" w:styleId="846">
    <w:name w:val="Quote"/>
    <w:basedOn w:val="990"/>
    <w:next w:val="990"/>
    <w:link w:val="847"/>
    <w:uiPriority w:val="29"/>
    <w:qFormat/>
    <w:pPr>
      <w:ind w:left="720" w:right="720"/>
    </w:pPr>
    <w:rPr>
      <w:i/>
    </w:rPr>
  </w:style>
  <w:style w:type="character" w:styleId="847">
    <w:name w:val="Quote Char"/>
    <w:link w:val="846"/>
    <w:uiPriority w:val="29"/>
    <w:rPr>
      <w:i/>
    </w:rPr>
  </w:style>
  <w:style w:type="paragraph" w:styleId="848">
    <w:name w:val="Intense Quote"/>
    <w:basedOn w:val="990"/>
    <w:next w:val="990"/>
    <w:link w:val="84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49">
    <w:name w:val="Intense Quote Char"/>
    <w:link w:val="848"/>
    <w:uiPriority w:val="30"/>
    <w:rPr>
      <w:i/>
    </w:rPr>
  </w:style>
  <w:style w:type="character" w:styleId="850">
    <w:name w:val="Header Char"/>
    <w:basedOn w:val="994"/>
    <w:link w:val="1002"/>
    <w:uiPriority w:val="99"/>
  </w:style>
  <w:style w:type="character" w:styleId="851">
    <w:name w:val="Footer Char"/>
    <w:basedOn w:val="994"/>
    <w:link w:val="1004"/>
    <w:uiPriority w:val="99"/>
  </w:style>
  <w:style w:type="paragraph" w:styleId="852">
    <w:name w:val="Caption"/>
    <w:basedOn w:val="990"/>
    <w:next w:val="990"/>
    <w:link w:val="85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53">
    <w:name w:val="Caption Char"/>
    <w:basedOn w:val="994"/>
    <w:link w:val="852"/>
    <w:uiPriority w:val="35"/>
    <w:rPr>
      <w:b/>
      <w:bCs/>
      <w:color w:val="4f81bd" w:themeColor="accent1"/>
      <w:sz w:val="18"/>
      <w:szCs w:val="18"/>
    </w:rPr>
  </w:style>
  <w:style w:type="table" w:styleId="854">
    <w:name w:val="Table Grid Light"/>
    <w:basedOn w:val="99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55">
    <w:name w:val="Plain Table 1"/>
    <w:basedOn w:val="99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56">
    <w:name w:val="Plain Table 2"/>
    <w:basedOn w:val="99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57">
    <w:name w:val="Plain Table 3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58">
    <w:name w:val="Plain Table 4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>
    <w:name w:val="Plain Table 5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60">
    <w:name w:val="Grid Table 1 Light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>
    <w:name w:val="Grid Table 1 Light - Accent 1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>
    <w:name w:val="Grid Table 1 Light - Accent 2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>
    <w:name w:val="Grid Table 1 Light - Accent 3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>
    <w:name w:val="Grid Table 1 Light - Accent 4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>
    <w:name w:val="Grid Table 1 Light - Accent 5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>
    <w:name w:val="Grid Table 1 Light - Accent 6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>
    <w:name w:val="Grid Table 2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8">
    <w:name w:val="Grid Table 2 - Accent 1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9">
    <w:name w:val="Grid Table 2 - Accent 2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0">
    <w:name w:val="Grid Table 2 - Accent 3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1">
    <w:name w:val="Grid Table 2 - Accent 4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2">
    <w:name w:val="Grid Table 2 - Accent 5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3">
    <w:name w:val="Grid Table 2 - Accent 6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4">
    <w:name w:val="Grid Table 3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5">
    <w:name w:val="Grid Table 3 - Accent 1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6">
    <w:name w:val="Grid Table 3 - Accent 2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7">
    <w:name w:val="Grid Table 3 - Accent 3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8">
    <w:name w:val="Grid Table 3 - Accent 4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9">
    <w:name w:val="Grid Table 3 - Accent 5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0">
    <w:name w:val="Grid Table 3 - Accent 6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1">
    <w:name w:val="Grid Table 4"/>
    <w:basedOn w:val="9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82">
    <w:name w:val="Grid Table 4 - Accent 1"/>
    <w:basedOn w:val="9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83">
    <w:name w:val="Grid Table 4 - Accent 2"/>
    <w:basedOn w:val="9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84">
    <w:name w:val="Grid Table 4 - Accent 3"/>
    <w:basedOn w:val="9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85">
    <w:name w:val="Grid Table 4 - Accent 4"/>
    <w:basedOn w:val="9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86">
    <w:name w:val="Grid Table 4 - Accent 5"/>
    <w:basedOn w:val="9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87">
    <w:name w:val="Grid Table 4 - Accent 6"/>
    <w:basedOn w:val="9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88">
    <w:name w:val="Grid Table 5 Dark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89">
    <w:name w:val="Grid Table 5 Dark- Accent 1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90">
    <w:name w:val="Grid Table 5 Dark - Accent 2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91">
    <w:name w:val="Grid Table 5 Dark - Accent 3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92">
    <w:name w:val="Grid Table 5 Dark- Accent 4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3">
    <w:name w:val="Grid Table 5 Dark - Accent 5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4">
    <w:name w:val="Grid Table 5 Dark - Accent 6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95">
    <w:name w:val="Grid Table 6 Colorful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6">
    <w:name w:val="Grid Table 6 Colorful - Accent 1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97">
    <w:name w:val="Grid Table 6 Colorful - Accent 2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98">
    <w:name w:val="Grid Table 6 Colorful - Accent 3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99">
    <w:name w:val="Grid Table 6 Colorful - Accent 4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00">
    <w:name w:val="Grid Table 6 Colorful - Accent 5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01">
    <w:name w:val="Grid Table 6 Colorful - Accent 6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02">
    <w:name w:val="Grid Table 7 Colorful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3">
    <w:name w:val="Grid Table 7 Colorful - Accent 1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4">
    <w:name w:val="Grid Table 7 Colorful - Accent 2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5">
    <w:name w:val="Grid Table 7 Colorful - Accent 3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6">
    <w:name w:val="Grid Table 7 Colorful - Accent 4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7">
    <w:name w:val="Grid Table 7 Colorful - Accent 5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8">
    <w:name w:val="Grid Table 7 Colorful - Accent 6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9">
    <w:name w:val="List Table 1 Light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0">
    <w:name w:val="List Table 1 Light - Accent 1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1">
    <w:name w:val="List Table 1 Light - Accent 2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2">
    <w:name w:val="List Table 1 Light - Accent 3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3">
    <w:name w:val="List Table 1 Light - Accent 4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4">
    <w:name w:val="List Table 1 Light - Accent 5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5">
    <w:name w:val="List Table 1 Light - Accent 6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6">
    <w:name w:val="List Table 2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917">
    <w:name w:val="List Table 2 - Accent 1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918">
    <w:name w:val="List Table 2 - Accent 2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919">
    <w:name w:val="List Table 2 - Accent 3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920">
    <w:name w:val="List Table 2 - Accent 4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921">
    <w:name w:val="List Table 2 - Accent 5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922">
    <w:name w:val="List Table 2 - Accent 6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923">
    <w:name w:val="List Table 3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4">
    <w:name w:val="List Table 3 - Accent 1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5">
    <w:name w:val="List Table 3 - Accent 2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6">
    <w:name w:val="List Table 3 - Accent 3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7">
    <w:name w:val="List Table 3 - Accent 4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8">
    <w:name w:val="List Table 3 - Accent 5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9">
    <w:name w:val="List Table 3 - Accent 6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0">
    <w:name w:val="List Table 4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1">
    <w:name w:val="List Table 4 - Accent 1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2">
    <w:name w:val="List Table 4 - Accent 2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3">
    <w:name w:val="List Table 4 - Accent 3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4">
    <w:name w:val="List Table 4 - Accent 4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5">
    <w:name w:val="List Table 4 - Accent 5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6">
    <w:name w:val="List Table 4 - Accent 6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7">
    <w:name w:val="List Table 5 Dark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38">
    <w:name w:val="List Table 5 Dark - Accent 1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39">
    <w:name w:val="List Table 5 Dark - Accent 2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40">
    <w:name w:val="List Table 5 Dark - Accent 3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41">
    <w:name w:val="List Table 5 Dark - Accent 4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42">
    <w:name w:val="List Table 5 Dark - Accent 5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43">
    <w:name w:val="List Table 5 Dark - Accent 6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44">
    <w:name w:val="List Table 6 Colorful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945">
    <w:name w:val="List Table 6 Colorful - Accent 1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946">
    <w:name w:val="List Table 6 Colorful - Accent 2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947">
    <w:name w:val="List Table 6 Colorful - Accent 3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948">
    <w:name w:val="List Table 6 Colorful - Accent 4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949">
    <w:name w:val="List Table 6 Colorful - Accent 5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950">
    <w:name w:val="List Table 6 Colorful - Accent 6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951">
    <w:name w:val="List Table 7 Colorful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952">
    <w:name w:val="List Table 7 Colorful - Accent 1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953">
    <w:name w:val="List Table 7 Colorful - Accent 2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954">
    <w:name w:val="List Table 7 Colorful - Accent 3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955">
    <w:name w:val="List Table 7 Colorful - Accent 4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956">
    <w:name w:val="List Table 7 Colorful - Accent 5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957">
    <w:name w:val="List Table 7 Colorful - Accent 6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958">
    <w:name w:val="Lined - Accent"/>
    <w:basedOn w:val="9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59">
    <w:name w:val="Lined - Accent 1"/>
    <w:basedOn w:val="9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60">
    <w:name w:val="Lined - Accent 2"/>
    <w:basedOn w:val="9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61">
    <w:name w:val="Lined - Accent 3"/>
    <w:basedOn w:val="9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62">
    <w:name w:val="Lined - Accent 4"/>
    <w:basedOn w:val="9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63">
    <w:name w:val="Lined - Accent 5"/>
    <w:basedOn w:val="9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64">
    <w:name w:val="Lined - Accent 6"/>
    <w:basedOn w:val="9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65">
    <w:name w:val="Bordered &amp; Lined - Accent"/>
    <w:basedOn w:val="9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66">
    <w:name w:val="Bordered &amp; Lined - Accent 1"/>
    <w:basedOn w:val="9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67">
    <w:name w:val="Bordered &amp; Lined - Accent 2"/>
    <w:basedOn w:val="9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68">
    <w:name w:val="Bordered &amp; Lined - Accent 3"/>
    <w:basedOn w:val="9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69">
    <w:name w:val="Bordered &amp; Lined - Accent 4"/>
    <w:basedOn w:val="9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70">
    <w:name w:val="Bordered &amp; Lined - Accent 5"/>
    <w:basedOn w:val="9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71">
    <w:name w:val="Bordered &amp; Lined - Accent 6"/>
    <w:basedOn w:val="9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72">
    <w:name w:val="Bordered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73">
    <w:name w:val="Bordered - Accent 1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74">
    <w:name w:val="Bordered - Accent 2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75">
    <w:name w:val="Bordered - Accent 3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76">
    <w:name w:val="Bordered - Accent 4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77">
    <w:name w:val="Bordered - Accent 5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78">
    <w:name w:val="Bordered - Accent 6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79">
    <w:name w:val="Footnote Text Char"/>
    <w:link w:val="1020"/>
    <w:uiPriority w:val="99"/>
    <w:rPr>
      <w:sz w:val="18"/>
    </w:rPr>
  </w:style>
  <w:style w:type="paragraph" w:styleId="980">
    <w:name w:val="endnote text"/>
    <w:basedOn w:val="990"/>
    <w:link w:val="981"/>
    <w:uiPriority w:val="99"/>
    <w:semiHidden/>
    <w:unhideWhenUsed/>
    <w:pPr>
      <w:spacing w:after="0" w:line="240" w:lineRule="auto"/>
    </w:pPr>
    <w:rPr>
      <w:sz w:val="20"/>
    </w:rPr>
  </w:style>
  <w:style w:type="character" w:styleId="981">
    <w:name w:val="Endnote Text Char"/>
    <w:link w:val="980"/>
    <w:uiPriority w:val="99"/>
    <w:rPr>
      <w:sz w:val="20"/>
    </w:rPr>
  </w:style>
  <w:style w:type="character" w:styleId="982">
    <w:name w:val="endnote reference"/>
    <w:basedOn w:val="994"/>
    <w:uiPriority w:val="99"/>
    <w:semiHidden/>
    <w:unhideWhenUsed/>
    <w:rPr>
      <w:vertAlign w:val="superscript"/>
    </w:rPr>
  </w:style>
  <w:style w:type="paragraph" w:styleId="983">
    <w:name w:val="toc 4"/>
    <w:basedOn w:val="990"/>
    <w:next w:val="990"/>
    <w:uiPriority w:val="39"/>
    <w:unhideWhenUsed/>
    <w:pPr>
      <w:ind w:left="850" w:right="0" w:firstLine="0"/>
      <w:spacing w:after="57"/>
    </w:pPr>
  </w:style>
  <w:style w:type="paragraph" w:styleId="984">
    <w:name w:val="toc 5"/>
    <w:basedOn w:val="990"/>
    <w:next w:val="990"/>
    <w:uiPriority w:val="39"/>
    <w:unhideWhenUsed/>
    <w:pPr>
      <w:ind w:left="1134" w:right="0" w:firstLine="0"/>
      <w:spacing w:after="57"/>
    </w:pPr>
  </w:style>
  <w:style w:type="paragraph" w:styleId="985">
    <w:name w:val="toc 6"/>
    <w:basedOn w:val="990"/>
    <w:next w:val="990"/>
    <w:uiPriority w:val="39"/>
    <w:unhideWhenUsed/>
    <w:pPr>
      <w:ind w:left="1417" w:right="0" w:firstLine="0"/>
      <w:spacing w:after="57"/>
    </w:pPr>
  </w:style>
  <w:style w:type="paragraph" w:styleId="986">
    <w:name w:val="toc 7"/>
    <w:basedOn w:val="990"/>
    <w:next w:val="990"/>
    <w:uiPriority w:val="39"/>
    <w:unhideWhenUsed/>
    <w:pPr>
      <w:ind w:left="1701" w:right="0" w:firstLine="0"/>
      <w:spacing w:after="57"/>
    </w:pPr>
  </w:style>
  <w:style w:type="paragraph" w:styleId="987">
    <w:name w:val="toc 8"/>
    <w:basedOn w:val="990"/>
    <w:next w:val="990"/>
    <w:uiPriority w:val="39"/>
    <w:unhideWhenUsed/>
    <w:pPr>
      <w:ind w:left="1984" w:right="0" w:firstLine="0"/>
      <w:spacing w:after="57"/>
    </w:pPr>
  </w:style>
  <w:style w:type="paragraph" w:styleId="988">
    <w:name w:val="toc 9"/>
    <w:basedOn w:val="990"/>
    <w:next w:val="990"/>
    <w:uiPriority w:val="39"/>
    <w:unhideWhenUsed/>
    <w:pPr>
      <w:ind w:left="2268" w:right="0" w:firstLine="0"/>
      <w:spacing w:after="57"/>
    </w:pPr>
  </w:style>
  <w:style w:type="paragraph" w:styleId="989">
    <w:name w:val="table of figures"/>
    <w:basedOn w:val="990"/>
    <w:next w:val="990"/>
    <w:uiPriority w:val="99"/>
    <w:unhideWhenUsed/>
    <w:pPr>
      <w:spacing w:after="0" w:afterAutospacing="0"/>
    </w:pPr>
  </w:style>
  <w:style w:type="paragraph" w:styleId="990" w:default="1">
    <w:name w:val="Normal"/>
    <w:qFormat/>
    <w:rPr>
      <w:rFonts w:ascii="Times New Roman" w:hAnsi="Times New Roman" w:eastAsia="Times New Roman"/>
      <w:sz w:val="24"/>
      <w:szCs w:val="24"/>
    </w:rPr>
  </w:style>
  <w:style w:type="paragraph" w:styleId="991">
    <w:name w:val="Heading 1"/>
    <w:basedOn w:val="990"/>
    <w:next w:val="990"/>
    <w:link w:val="1008"/>
    <w:qFormat/>
    <w:pPr>
      <w:numPr>
        <w:ilvl w:val="0"/>
        <w:numId w:val="15"/>
      </w:numPr>
      <w:jc w:val="both"/>
      <w:keepNext/>
      <w:spacing w:before="120" w:after="60"/>
      <w:outlineLvl w:val="0"/>
    </w:pPr>
    <w:rPr>
      <w:sz w:val="28"/>
      <w:szCs w:val="20"/>
      <w:lang w:eastAsia="en-US"/>
    </w:rPr>
  </w:style>
  <w:style w:type="paragraph" w:styleId="992">
    <w:name w:val="Heading 2"/>
    <w:basedOn w:val="990"/>
    <w:next w:val="990"/>
    <w:link w:val="997"/>
    <w:qFormat/>
    <w:pPr>
      <w:numPr>
        <w:ilvl w:val="1"/>
        <w:numId w:val="8"/>
      </w:numPr>
      <w:keepNext/>
      <w:spacing w:before="120" w:after="120"/>
      <w:outlineLvl w:val="1"/>
    </w:pPr>
    <w:rPr>
      <w:sz w:val="28"/>
      <w:szCs w:val="20"/>
    </w:rPr>
  </w:style>
  <w:style w:type="paragraph" w:styleId="993">
    <w:name w:val="Heading 3"/>
    <w:basedOn w:val="990"/>
    <w:next w:val="990"/>
    <w:link w:val="1011"/>
    <w:qFormat/>
    <w:pPr>
      <w:numPr>
        <w:ilvl w:val="2"/>
        <w:numId w:val="8"/>
      </w:numPr>
      <w:keepNext/>
      <w:spacing w:before="120" w:after="60"/>
      <w:outlineLvl w:val="2"/>
    </w:pPr>
    <w:rPr>
      <w:sz w:val="28"/>
      <w:szCs w:val="20"/>
    </w:rPr>
  </w:style>
  <w:style w:type="character" w:styleId="994" w:default="1">
    <w:name w:val="Default Paragraph Font"/>
    <w:uiPriority w:val="1"/>
    <w:semiHidden/>
    <w:unhideWhenUsed/>
  </w:style>
  <w:style w:type="table" w:styleId="99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96" w:default="1">
    <w:name w:val="No List"/>
    <w:uiPriority w:val="99"/>
    <w:semiHidden/>
    <w:unhideWhenUsed/>
  </w:style>
  <w:style w:type="character" w:styleId="997" w:customStyle="1">
    <w:name w:val="Заголовок 2 Знак"/>
    <w:link w:val="992"/>
    <w:rPr>
      <w:rFonts w:ascii="Times New Roman" w:hAnsi="Times New Roman" w:eastAsia="Times New Roman"/>
      <w:sz w:val="28"/>
    </w:rPr>
  </w:style>
  <w:style w:type="paragraph" w:styleId="998">
    <w:name w:val="Balloon Text"/>
    <w:basedOn w:val="990"/>
    <w:link w:val="999"/>
    <w:uiPriority w:val="99"/>
    <w:semiHidden/>
    <w:rPr>
      <w:rFonts w:ascii="Tahoma" w:hAnsi="Tahoma" w:cs="Tahoma"/>
      <w:sz w:val="16"/>
      <w:szCs w:val="16"/>
    </w:rPr>
  </w:style>
  <w:style w:type="character" w:styleId="999" w:customStyle="1">
    <w:name w:val="Текст выноски Знак"/>
    <w:link w:val="998"/>
    <w:uiPriority w:val="99"/>
    <w:semiHidden/>
    <w:rPr>
      <w:rFonts w:ascii="Tahoma" w:hAnsi="Tahoma" w:cs="Tahoma"/>
      <w:sz w:val="16"/>
      <w:szCs w:val="16"/>
      <w:lang w:eastAsia="ru-RU"/>
    </w:rPr>
  </w:style>
  <w:style w:type="paragraph" w:styleId="1000" w:customStyle="1">
    <w:name w:val="Абзац списка1"/>
    <w:basedOn w:val="990"/>
    <w:uiPriority w:val="99"/>
    <w:qFormat/>
    <w:pPr>
      <w:ind w:left="720"/>
    </w:pPr>
  </w:style>
  <w:style w:type="character" w:styleId="1001">
    <w:name w:val="Hyperlink"/>
    <w:uiPriority w:val="99"/>
    <w:rPr>
      <w:color w:val="0000ff"/>
      <w:u w:val="single"/>
    </w:rPr>
  </w:style>
  <w:style w:type="paragraph" w:styleId="1002">
    <w:name w:val="Header"/>
    <w:basedOn w:val="990"/>
    <w:link w:val="1003"/>
    <w:uiPriority w:val="99"/>
    <w:pPr>
      <w:tabs>
        <w:tab w:val="center" w:pos="4677" w:leader="none"/>
        <w:tab w:val="right" w:pos="9355" w:leader="none"/>
      </w:tabs>
    </w:pPr>
  </w:style>
  <w:style w:type="character" w:styleId="1003" w:customStyle="1">
    <w:name w:val="Верхний колонтитул Знак"/>
    <w:link w:val="1002"/>
    <w:uiPriority w:val="99"/>
    <w:rPr>
      <w:rFonts w:ascii="Times New Roman" w:hAnsi="Times New Roman" w:cs="Times New Roman"/>
      <w:sz w:val="24"/>
      <w:szCs w:val="24"/>
      <w:lang w:eastAsia="ru-RU"/>
    </w:rPr>
  </w:style>
  <w:style w:type="paragraph" w:styleId="1004">
    <w:name w:val="Footer"/>
    <w:basedOn w:val="990"/>
    <w:link w:val="1005"/>
    <w:uiPriority w:val="99"/>
    <w:pPr>
      <w:tabs>
        <w:tab w:val="center" w:pos="4677" w:leader="none"/>
        <w:tab w:val="right" w:pos="9355" w:leader="none"/>
      </w:tabs>
    </w:pPr>
  </w:style>
  <w:style w:type="character" w:styleId="1005" w:customStyle="1">
    <w:name w:val="Нижний колонтитул Знак"/>
    <w:link w:val="1004"/>
    <w:uiPriority w:val="99"/>
    <w:rPr>
      <w:rFonts w:ascii="Times New Roman" w:hAnsi="Times New Roman" w:cs="Times New Roman"/>
      <w:sz w:val="24"/>
      <w:szCs w:val="24"/>
      <w:lang w:eastAsia="ru-RU"/>
    </w:rPr>
  </w:style>
  <w:style w:type="character" w:styleId="1006">
    <w:name w:val="page number"/>
    <w:basedOn w:val="994"/>
  </w:style>
  <w:style w:type="table" w:styleId="1007">
    <w:name w:val="Table Grid"/>
    <w:basedOn w:val="995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008" w:customStyle="1">
    <w:name w:val="Заголовок 1 Знак"/>
    <w:basedOn w:val="994"/>
    <w:link w:val="991"/>
    <w:rPr>
      <w:rFonts w:ascii="Times New Roman" w:hAnsi="Times New Roman" w:eastAsia="Times New Roman"/>
      <w:sz w:val="28"/>
      <w:lang w:eastAsia="en-US"/>
    </w:rPr>
  </w:style>
  <w:style w:type="paragraph" w:styleId="1009">
    <w:name w:val="toc 1"/>
    <w:basedOn w:val="990"/>
    <w:next w:val="990"/>
    <w:uiPriority w:val="39"/>
    <w:pPr>
      <w:spacing w:after="100"/>
      <w:tabs>
        <w:tab w:val="left" w:pos="480" w:leader="none"/>
        <w:tab w:val="right" w:pos="9345" w:leader="dot"/>
      </w:tabs>
    </w:pPr>
    <w:rPr>
      <w:rFonts w:eastAsiaTheme="minorEastAsia"/>
      <w:sz w:val="28"/>
      <w:szCs w:val="28"/>
    </w:rPr>
  </w:style>
  <w:style w:type="paragraph" w:styleId="1010">
    <w:name w:val="toc 2"/>
    <w:basedOn w:val="990"/>
    <w:next w:val="990"/>
    <w:uiPriority w:val="39"/>
    <w:pPr>
      <w:ind w:left="240"/>
      <w:spacing w:after="100"/>
    </w:pPr>
    <w:rPr>
      <w:sz w:val="28"/>
    </w:rPr>
  </w:style>
  <w:style w:type="character" w:styleId="1011" w:customStyle="1">
    <w:name w:val="Заголовок 3 Знак"/>
    <w:basedOn w:val="994"/>
    <w:link w:val="993"/>
    <w:rPr>
      <w:rFonts w:ascii="Times New Roman" w:hAnsi="Times New Roman" w:eastAsia="Times New Roman"/>
      <w:sz w:val="28"/>
    </w:rPr>
  </w:style>
  <w:style w:type="paragraph" w:styleId="1012">
    <w:name w:val="toc 3"/>
    <w:basedOn w:val="990"/>
    <w:next w:val="990"/>
    <w:uiPriority w:val="39"/>
    <w:pPr>
      <w:ind w:left="480"/>
      <w:spacing w:after="100"/>
    </w:pPr>
    <w:rPr>
      <w:sz w:val="28"/>
    </w:rPr>
  </w:style>
  <w:style w:type="paragraph" w:styleId="1013">
    <w:name w:val="TOC Heading"/>
    <w:basedOn w:val="991"/>
    <w:next w:val="990"/>
    <w:uiPriority w:val="39"/>
    <w:unhideWhenUsed/>
    <w:qFormat/>
    <w:pPr>
      <w:numPr>
        <w:ilvl w:val="0"/>
        <w:numId w:val="0"/>
      </w:numPr>
      <w:jc w:val="left"/>
      <w:keepLines/>
      <w:spacing w:before="480" w:after="0" w:line="276" w:lineRule="auto"/>
      <w:outlineLvl w:val="9"/>
    </w:pPr>
    <w:rPr>
      <w:rFonts w:asciiTheme="majorHAnsi" w:hAnsiTheme="majorHAnsi" w:eastAsiaTheme="majorEastAsia" w:cstheme="majorBidi"/>
      <w:b/>
      <w:bCs/>
      <w:color w:val="365f91" w:themeColor="accent1" w:themeShade="BF"/>
      <w:szCs w:val="28"/>
    </w:rPr>
  </w:style>
  <w:style w:type="paragraph" w:styleId="1014">
    <w:name w:val="List Paragraph"/>
    <w:basedOn w:val="990"/>
    <w:uiPriority w:val="34"/>
    <w:qFormat/>
    <w:pPr>
      <w:contextualSpacing/>
      <w:ind w:left="720"/>
    </w:pPr>
  </w:style>
  <w:style w:type="paragraph" w:styleId="1015" w:customStyle="1">
    <w:name w:val="Пункт"/>
    <w:basedOn w:val="990"/>
    <w:pPr>
      <w:ind w:left="1134" w:hanging="1134"/>
      <w:jc w:val="both"/>
      <w:spacing w:line="360" w:lineRule="auto"/>
      <w:tabs>
        <w:tab w:val="num" w:pos="1134" w:leader="none"/>
      </w:tabs>
    </w:pPr>
    <w:rPr>
      <w:sz w:val="28"/>
      <w:szCs w:val="20"/>
    </w:rPr>
  </w:style>
  <w:style w:type="paragraph" w:styleId="1016" w:customStyle="1">
    <w:name w:val="ENDLIST"/>
    <w:basedOn w:val="990"/>
    <w:pPr>
      <w:jc w:val="center"/>
      <w:keepLines/>
      <w:spacing w:before="240" w:after="240" w:line="288" w:lineRule="auto"/>
      <w:widowControl w:val="off"/>
    </w:pPr>
    <w:rPr>
      <w:b/>
      <w:caps/>
      <w:lang w:eastAsia="en-US"/>
    </w:rPr>
  </w:style>
  <w:style w:type="paragraph" w:styleId="1017" w:customStyle="1">
    <w:name w:val="АИС_Обычный текст"/>
    <w:link w:val="1018"/>
    <w:qFormat/>
    <w:pPr>
      <w:jc w:val="both"/>
      <w:spacing w:line="360" w:lineRule="auto"/>
    </w:pPr>
    <w:rPr>
      <w:rFonts w:ascii="Times New Roman" w:hAnsi="Times New Roman" w:eastAsia="Times New Roman"/>
      <w:sz w:val="24"/>
      <w:szCs w:val="28"/>
    </w:rPr>
  </w:style>
  <w:style w:type="character" w:styleId="1018" w:customStyle="1">
    <w:name w:val="АИС_Обычный текст Знак"/>
    <w:link w:val="1017"/>
    <w:rPr>
      <w:rFonts w:ascii="Times New Roman" w:hAnsi="Times New Roman" w:eastAsia="Times New Roman"/>
      <w:sz w:val="24"/>
      <w:szCs w:val="28"/>
    </w:rPr>
  </w:style>
  <w:style w:type="character" w:styleId="1019">
    <w:name w:val="FollowedHyperlink"/>
    <w:basedOn w:val="994"/>
    <w:uiPriority w:val="99"/>
    <w:semiHidden/>
    <w:unhideWhenUsed/>
    <w:rPr>
      <w:color w:val="800080" w:themeColor="followedHyperlink"/>
      <w:u w:val="single"/>
    </w:rPr>
  </w:style>
  <w:style w:type="paragraph" w:styleId="1020">
    <w:name w:val="footnote text"/>
    <w:basedOn w:val="990"/>
    <w:link w:val="1021"/>
    <w:uiPriority w:val="99"/>
    <w:semiHidden/>
    <w:unhideWhenUsed/>
    <w:rPr>
      <w:sz w:val="20"/>
      <w:szCs w:val="20"/>
    </w:rPr>
  </w:style>
  <w:style w:type="character" w:styleId="1021" w:customStyle="1">
    <w:name w:val="Текст сноски Знак"/>
    <w:basedOn w:val="994"/>
    <w:link w:val="1020"/>
    <w:uiPriority w:val="99"/>
    <w:semiHidden/>
    <w:rPr>
      <w:rFonts w:ascii="Times New Roman" w:hAnsi="Times New Roman" w:eastAsia="Times New Roman"/>
    </w:rPr>
  </w:style>
  <w:style w:type="character" w:styleId="1022">
    <w:name w:val="footnote reference"/>
    <w:basedOn w:val="994"/>
    <w:uiPriority w:val="99"/>
    <w:semiHidden/>
    <w:unhideWhenUsed/>
    <w:rPr>
      <w:vertAlign w:val="superscript"/>
    </w:rPr>
  </w:style>
  <w:style w:type="paragraph" w:styleId="1023">
    <w:name w:val="Body Text"/>
    <w:basedOn w:val="990"/>
    <w:link w:val="1024"/>
    <w:uiPriority w:val="1"/>
    <w:qFormat/>
    <w:pPr>
      <w:widowControl w:val="off"/>
    </w:pPr>
    <w:rPr>
      <w:lang w:eastAsia="en-US"/>
    </w:rPr>
  </w:style>
  <w:style w:type="character" w:styleId="1024" w:customStyle="1">
    <w:name w:val="Основной текст Знак"/>
    <w:basedOn w:val="994"/>
    <w:link w:val="1023"/>
    <w:uiPriority w:val="1"/>
    <w:rPr>
      <w:rFonts w:ascii="Times New Roman" w:hAnsi="Times New Roman" w:eastAsia="Times New Roman"/>
      <w:sz w:val="24"/>
      <w:szCs w:val="24"/>
      <w:lang w:eastAsia="en-US"/>
    </w:rPr>
  </w:style>
  <w:style w:type="paragraph" w:styleId="1025" w:customStyle="1">
    <w:name w:val="Основной текст"/>
    <w:basedOn w:val="920"/>
    <w:next w:val="945"/>
    <w:link w:val="946"/>
    <w:uiPriority w:val="1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12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A282AA-14BD-4347-BB74-07A69F3BE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spb01077</cp:lastModifiedBy>
  <cp:revision>11</cp:revision>
  <dcterms:created xsi:type="dcterms:W3CDTF">2024-02-21T10:33:00Z</dcterms:created>
  <dcterms:modified xsi:type="dcterms:W3CDTF">2026-09-01T16:18:25Z</dcterms:modified>
</cp:coreProperties>
</file>