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5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theme/theme1.xml" ContentType="application/vnd.openxmlformats-officedocument.theme+xml"/>
  <Override PartName="/word/header8.xml" ContentType="application/vnd.openxmlformats-officedocument.wordprocessingml.header+xml"/>
  <Override PartName="/word/header11.xml" ContentType="application/vnd.openxmlformats-officedocument.wordprocessingml.header+xml"/>
  <Override PartName="/word/styles.xml" ContentType="application/vnd.openxmlformats-officedocument.wordprocessingml.styles+xml"/>
  <Override PartName="/word/header9.xml" ContentType="application/vnd.openxmlformats-officedocument.wordprocessingml.header+xml"/>
  <Override PartName="/word/_rels/document.xml.rels" ContentType="application/vnd.openxmlformats-package.relationships+xml"/>
  <Override PartName="/word/footer8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9.xml" ContentType="application/vnd.openxmlformats-officedocument.wordprocessingml.footer+xml"/>
  <Override PartName="/word/header2.xml" ContentType="application/vnd.openxmlformats-officedocument.wordprocessingml.header+xml"/>
  <Override PartName="/word/footer11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footer5.xml" ContentType="application/vnd.openxmlformats-officedocument.wordprocessingml.footer+xml"/>
  <Override PartName="/word/footer7.xml" ContentType="application/vnd.openxmlformats-officedocument.wordprocessingml.foot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header6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true"/>
        <w:bidi w:val="0"/>
        <w:spacing w:lineRule="auto" w:line="240" w:before="0" w:after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Технические требования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«</w:t>
      </w:r>
      <w:r>
        <w:rPr>
          <w:rFonts w:eastAsia="Times New Roman" w:cs="Times New Roman" w:ascii="Times New Roman" w:hAnsi="Times New Roman"/>
          <w:b/>
          <w:sz w:val="24"/>
          <w:szCs w:val="24"/>
          <w:shd w:fill="auto" w:val="clear"/>
          <w:lang w:eastAsia="ru-RU"/>
        </w:rPr>
        <w:t>ОКПД2 71.20.19.190 н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а оказание инжиниринговых услуг при выполнении работ по строительству объекта: «Загорской ГАЭС-2 на р. Кунье (достройка)»</w:t>
      </w:r>
      <w:bookmarkStart w:id="0" w:name="_Hlk189123488"/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 </w:t>
      </w:r>
      <w:bookmarkEnd w:id="0"/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  <w:r>
        <w:br w:type="page"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СОДЕРЖАНИЕ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76" w:before="57" w:after="57"/>
        <w:jc w:val="left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right" w:pos="9638" w:leader="dot"/>
            </w:tabs>
            <w:spacing w:lineRule="auto" w:line="276" w:before="57" w:after="57"/>
            <w:jc w:val="both"/>
            <w:rPr/>
          </w:pPr>
          <w:hyperlink w:anchor="__RefHeading___Toc41701_2228714726">
            <w:r>
              <w:rPr>
                <w:rStyle w:val="Style5"/>
                <w:rFonts w:ascii="Times New Roman" w:hAnsi="Times New Roman"/>
                <w:sz w:val="24"/>
                <w:szCs w:val="24"/>
              </w:rPr>
              <w:t>1. Общи</w:t>
            </w:r>
            <w:r>
              <w:rPr>
                <w:rStyle w:val="Style5"/>
                <w:rFonts w:ascii="Times New Roman" w:hAnsi="Times New Roman"/>
                <w:b/>
                <w:bCs/>
                <w:sz w:val="24"/>
                <w:szCs w:val="24"/>
              </w:rPr>
              <w:t>е</w:t>
            </w:r>
            <w:r>
              <w:rPr>
                <w:rStyle w:val="Style5"/>
                <w:rFonts w:cs="Calibri Light (Заголовки)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</w:t>
            </w:r>
            <w:r>
              <w:rPr>
                <w:rStyle w:val="Style5"/>
                <w:rFonts w:cs="Calibri Light (Заголовки)" w:ascii="Times New Roman" w:hAnsi="Times New Roman"/>
                <w:b/>
                <w:bCs/>
                <w:color w:val="000000"/>
                <w:sz w:val="24"/>
                <w:szCs w:val="24"/>
                <w:shd w:fill="auto" w:val="clear"/>
              </w:rPr>
              <w:t>ведения</w:t>
            </w:r>
            <w:r>
              <w:rPr>
                <w:rStyle w:val="Style5"/>
                <w:rFonts w:cs="Calibri Light (Заголовки)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ab/>
              <w:t>3</w:t>
            </w:r>
          </w:hyperlink>
        </w:p>
        <w:p>
          <w:pPr>
            <w:pStyle w:val="TOC1"/>
            <w:widowControl/>
            <w:tabs>
              <w:tab w:val="clear" w:pos="708"/>
              <w:tab w:val="right" w:pos="9638" w:leader="dot"/>
            </w:tabs>
            <w:bidi w:val="0"/>
            <w:spacing w:lineRule="auto" w:line="276" w:before="57" w:after="57"/>
            <w:ind w:left="567" w:right="0" w:hanging="0"/>
            <w:jc w:val="both"/>
            <w:rPr/>
          </w:pPr>
          <w:hyperlink w:anchor="__RefHeading___Toc41703_2228714726">
            <w:r>
              <w:rPr>
                <w:rStyle w:val="Style5"/>
                <w:rFonts w:cs="Calibri Light (Заголовки)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1.1. О</w:t>
            </w:r>
          </w:hyperlink>
          <w:r>
            <w:rPr>
              <w:rStyle w:val="Style5"/>
              <w:rFonts w:cs="Calibri Light (Заголовки)" w:ascii="Times New Roman" w:hAnsi="Times New Roman"/>
              <w:b w:val="false"/>
              <w:bCs w:val="false"/>
              <w:color w:val="000000"/>
              <w:sz w:val="24"/>
              <w:szCs w:val="24"/>
              <w:shd w:fill="auto" w:val="clear"/>
            </w:rPr>
            <w:t>бозначения и сокращения</w:t>
          </w:r>
          <w:hyperlink w:anchor="__RefHeading___Toc41703_2228714726">
            <w:r>
              <w:rPr>
                <w:rStyle w:val="Style5"/>
                <w:rFonts w:cs="Calibri Light (Заголовки)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ab/>
              <w:t>3</w:t>
            </w:r>
          </w:hyperlink>
        </w:p>
        <w:p>
          <w:pPr>
            <w:pStyle w:val="TOC1"/>
            <w:widowControl/>
            <w:tabs>
              <w:tab w:val="clear" w:pos="708"/>
              <w:tab w:val="right" w:pos="9638" w:leader="dot"/>
            </w:tabs>
            <w:bidi w:val="0"/>
            <w:spacing w:lineRule="auto" w:line="276" w:before="57" w:after="57"/>
            <w:ind w:left="567" w:right="0" w:hanging="0"/>
            <w:jc w:val="both"/>
            <w:rPr/>
          </w:pPr>
          <w:r>
            <w:rPr>
              <w:rStyle w:val="Style5"/>
              <w:rFonts w:cs="Calibri Light (Заголовки)" w:ascii="Times New Roman" w:hAnsi="Times New Roman"/>
              <w:b w:val="false"/>
              <w:bCs w:val="false"/>
              <w:color w:val="000000"/>
              <w:sz w:val="24"/>
              <w:szCs w:val="24"/>
              <w:shd w:fill="auto" w:val="clear"/>
            </w:rPr>
            <w:t xml:space="preserve">1.2. </w:t>
          </w:r>
          <w:hyperlink w:anchor="__RefHeading___Toc41703_2228714726">
            <w:r>
              <w:rPr>
                <w:rStyle w:val="Style5"/>
                <w:rFonts w:cs="Calibri Light (Заголовки)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 xml:space="preserve">Наименование </w:t>
            </w:r>
          </w:hyperlink>
          <w:hyperlink w:anchor="__RefHeading___Toc41703_2228714726">
            <w:r>
              <w:rPr>
                <w:rStyle w:val="Style5"/>
                <w:rFonts w:cs="Calibri Light (Заголовки)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оказываемых Услуг</w:t>
            </w:r>
          </w:hyperlink>
          <w:hyperlink w:anchor="__RefHeading___Toc41703_2228714726">
            <w:r>
              <w:rPr>
                <w:rStyle w:val="Style5"/>
                <w:rFonts w:cs="Calibri Light (Заголовки)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ab/>
              <w:t>3</w:t>
            </w:r>
          </w:hyperlink>
        </w:p>
        <w:p>
          <w:pPr>
            <w:pStyle w:val="TOC4"/>
            <w:widowControl/>
            <w:tabs>
              <w:tab w:val="clear" w:pos="1120"/>
              <w:tab w:val="clear" w:pos="9911"/>
              <w:tab w:val="right" w:pos="9638" w:leader="dot"/>
            </w:tabs>
            <w:bidi w:val="0"/>
            <w:spacing w:lineRule="auto" w:line="276" w:before="57" w:after="57"/>
            <w:ind w:left="567" w:right="0" w:hanging="0"/>
            <w:jc w:val="both"/>
            <w:rPr/>
          </w:pPr>
          <w:hyperlink w:anchor="__RefHeading___Toc41705_2228714726">
            <w:r>
              <w:rPr>
                <w:rStyle w:val="Style5"/>
                <w:rFonts w:cs="Calibri Light (Заголовки)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 xml:space="preserve">1.3. Цель </w:t>
            </w:r>
          </w:hyperlink>
          <w:hyperlink w:anchor="__RefHeading___Toc41705_2228714726">
            <w:r>
              <w:rPr>
                <w:rStyle w:val="Style5"/>
                <w:rFonts w:cs="Calibri Light (Заголовки)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оказания Услуг</w:t>
            </w:r>
          </w:hyperlink>
          <w:hyperlink w:anchor="__RefHeading___Toc41705_2228714726">
            <w:r>
              <w:rPr>
                <w:rStyle w:val="Style5"/>
                <w:rFonts w:cs="Calibri Light (Заголовки)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ab/>
              <w:t>3</w:t>
            </w:r>
          </w:hyperlink>
        </w:p>
        <w:p>
          <w:pPr>
            <w:pStyle w:val="TOC4"/>
            <w:widowControl/>
            <w:tabs>
              <w:tab w:val="clear" w:pos="1120"/>
              <w:tab w:val="clear" w:pos="9911"/>
              <w:tab w:val="right" w:pos="9638" w:leader="dot"/>
            </w:tabs>
            <w:bidi w:val="0"/>
            <w:spacing w:lineRule="auto" w:line="276" w:before="57" w:after="57"/>
            <w:ind w:left="567" w:right="0" w:hanging="0"/>
            <w:jc w:val="both"/>
            <w:rPr/>
          </w:pPr>
          <w:hyperlink w:anchor="__RefHeading___Toc41707_2228714726">
            <w:r>
              <w:rPr>
                <w:rStyle w:val="Style5"/>
                <w:rFonts w:cs="Calibri Light (Заголовки)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1.4. Существующее положение</w:t>
              <w:tab/>
              <w:t>3</w:t>
            </w:r>
          </w:hyperlink>
        </w:p>
        <w:p>
          <w:pPr>
            <w:pStyle w:val="TOC1"/>
            <w:widowControl/>
            <w:tabs>
              <w:tab w:val="clear" w:pos="708"/>
              <w:tab w:val="right" w:pos="9638" w:leader="dot"/>
            </w:tabs>
            <w:bidi w:val="0"/>
            <w:spacing w:lineRule="auto" w:line="276" w:before="57" w:after="57"/>
            <w:ind w:left="964" w:right="0" w:hanging="0"/>
            <w:jc w:val="both"/>
            <w:rPr/>
          </w:pPr>
          <w:hyperlink w:anchor="__RefHeading___Toc41709_2228714726">
            <w:r>
              <w:rPr>
                <w:rStyle w:val="Style5"/>
                <w:rFonts w:cs="Calibri Light (Заголовки)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Таблица 1. Перечень объектов заказчика</w:t>
              <w:tab/>
              <w:t>3</w:t>
            </w:r>
          </w:hyperlink>
        </w:p>
        <w:p>
          <w:pPr>
            <w:pStyle w:val="TOC4"/>
            <w:tabs>
              <w:tab w:val="clear" w:pos="1120"/>
              <w:tab w:val="clear" w:pos="9911"/>
              <w:tab w:val="right" w:pos="9638" w:leader="dot"/>
            </w:tabs>
            <w:spacing w:lineRule="auto" w:line="276" w:before="57" w:after="57"/>
            <w:jc w:val="both"/>
            <w:rPr/>
          </w:pPr>
          <w:hyperlink w:anchor="__RefHeading___Toc41711_2228714726">
            <w:r>
              <w:rPr>
                <w:rStyle w:val="Style5"/>
                <w:rFonts w:cs="Calibri Light (Заголовки)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1.5. Информация в отношении исполнения договора, кото</w:t>
            </w:r>
            <w:r>
              <w:rPr>
                <w:rStyle w:val="Style5"/>
                <w:rFonts w:ascii="Times New Roman" w:hAnsi="Times New Roman"/>
                <w:sz w:val="24"/>
                <w:szCs w:val="24"/>
                <w:shd w:fill="auto" w:val="clear"/>
              </w:rPr>
              <w:t>рая должна быть учтена при подготовке заявки (в том числе перечень ресурсов, услуг и документов, предоставляемых заказчиком на этапе исполнения договора)</w:t>
              <w:tab/>
            </w:r>
          </w:hyperlink>
          <w:r>
            <w:rPr>
              <w:rFonts w:ascii="Times New Roman" w:hAnsi="Times New Roman"/>
              <w:sz w:val="24"/>
              <w:szCs w:val="24"/>
              <w:shd w:fill="auto" w:val="clear"/>
            </w:rPr>
            <w:t>4</w:t>
          </w:r>
        </w:p>
        <w:p>
          <w:pPr>
            <w:pStyle w:val="TOC4"/>
            <w:tabs>
              <w:tab w:val="clear" w:pos="1120"/>
              <w:tab w:val="clear" w:pos="9911"/>
              <w:tab w:val="right" w:pos="9638" w:leader="dot"/>
            </w:tabs>
            <w:spacing w:lineRule="auto" w:line="276" w:before="57" w:after="57"/>
            <w:jc w:val="both"/>
            <w:rPr>
              <w:rStyle w:val="Style5"/>
              <w:rFonts w:ascii="Times New Roman" w:hAnsi="Times New Roman"/>
              <w:sz w:val="24"/>
              <w:szCs w:val="24"/>
              <w:highlight w:val="none"/>
              <w:shd w:fill="auto" w:val="clear"/>
            </w:rPr>
          </w:pPr>
          <w:r>
            <w:rPr>
              <w:rFonts w:ascii="Times New Roman" w:hAnsi="Times New Roman"/>
              <w:sz w:val="24"/>
              <w:szCs w:val="24"/>
              <w:shd w:fill="auto" w:val="clear"/>
            </w:rPr>
          </w:r>
        </w:p>
        <w:p>
          <w:pPr>
            <w:pStyle w:val="Normal"/>
            <w:tabs>
              <w:tab w:val="clear" w:pos="708"/>
              <w:tab w:val="right" w:pos="9638" w:leader="dot"/>
            </w:tabs>
            <w:spacing w:lineRule="auto" w:line="276" w:before="57" w:after="57"/>
            <w:jc w:val="both"/>
            <w:rPr>
              <w:rFonts w:ascii="Times New Roman" w:hAnsi="Times New Roman"/>
              <w:sz w:val="24"/>
              <w:szCs w:val="24"/>
              <w:highlight w:val="none"/>
              <w:shd w:fill="auto" w:val="clear"/>
            </w:rPr>
          </w:pPr>
          <w:r>
            <w:rPr>
              <w:rFonts w:ascii="Times New Roman" w:hAnsi="Times New Roman"/>
              <w:b/>
              <w:bCs/>
              <w:iCs/>
              <w:color w:val="000000"/>
              <w:sz w:val="24"/>
              <w:szCs w:val="24"/>
              <w:shd w:fill="auto" w:val="clear"/>
            </w:rPr>
            <w:t>2. Требования к продукции ………………………………………………………….………...…4</w:t>
          </w:r>
        </w:p>
        <w:p>
          <w:pPr>
            <w:pStyle w:val="TOC4"/>
            <w:tabs>
              <w:tab w:val="clear" w:pos="1120"/>
              <w:tab w:val="clear" w:pos="9911"/>
              <w:tab w:val="right" w:pos="9638" w:leader="dot"/>
            </w:tabs>
            <w:spacing w:lineRule="auto" w:line="276" w:before="57" w:after="57"/>
            <w:jc w:val="both"/>
            <w:rPr/>
          </w:pPr>
          <w:hyperlink w:anchor="__RefHeading___Toc41715_2228714726">
            <w:r>
              <w:rPr>
                <w:rStyle w:val="Style5"/>
                <w:rFonts w:ascii="Times New Roman" w:hAnsi="Times New Roman"/>
                <w:sz w:val="24"/>
                <w:szCs w:val="24"/>
                <w:shd w:fill="auto" w:val="clear"/>
              </w:rPr>
              <w:t xml:space="preserve">2.1. Требования к объемам </w:t>
            </w:r>
          </w:hyperlink>
          <w:hyperlink w:anchor="__RefHeading___Toc41715_2228714726">
            <w:r>
              <w:rPr>
                <w:rStyle w:val="Style5"/>
                <w:rFonts w:ascii="Times New Roman" w:hAnsi="Times New Roman"/>
                <w:sz w:val="24"/>
                <w:szCs w:val="24"/>
                <w:shd w:fill="auto" w:val="clear"/>
              </w:rPr>
              <w:t>оказания Услуг</w:t>
            </w:r>
          </w:hyperlink>
          <w:hyperlink w:anchor="__RefHeading___Toc41715_2228714726">
            <w:r>
              <w:rPr>
                <w:rStyle w:val="Style5"/>
                <w:rFonts w:ascii="Times New Roman" w:hAnsi="Times New Roman"/>
                <w:sz w:val="24"/>
                <w:szCs w:val="24"/>
                <w:shd w:fill="auto" w:val="clear"/>
              </w:rPr>
              <w:tab/>
              <w:t>4</w:t>
            </w:r>
          </w:hyperlink>
        </w:p>
        <w:p>
          <w:pPr>
            <w:pStyle w:val="TOC3"/>
            <w:widowControl/>
            <w:tabs>
              <w:tab w:val="clear" w:pos="708"/>
              <w:tab w:val="right" w:pos="9638" w:leader="dot"/>
            </w:tabs>
            <w:bidi w:val="0"/>
            <w:spacing w:lineRule="auto" w:line="276" w:before="57" w:after="57"/>
            <w:ind w:left="624" w:right="0" w:hanging="0"/>
            <w:jc w:val="both"/>
            <w:rPr/>
          </w:pPr>
          <w:hyperlink w:anchor="__RefHeading___Toc41717_2228714726">
            <w:r>
              <w:rPr>
                <w:rStyle w:val="Style5"/>
                <w:rFonts w:ascii="Times New Roman" w:hAnsi="Times New Roman"/>
                <w:sz w:val="24"/>
                <w:szCs w:val="24"/>
                <w:shd w:fill="auto" w:val="clear"/>
              </w:rPr>
              <w:t>2.1.1.Требования к перечню и объемам Услуг</w:t>
              <w:tab/>
              <w:t>4</w:t>
            </w:r>
          </w:hyperlink>
        </w:p>
        <w:p>
          <w:pPr>
            <w:pStyle w:val="TOC1"/>
            <w:widowControl/>
            <w:tabs>
              <w:tab w:val="clear" w:pos="708"/>
              <w:tab w:val="right" w:pos="9638" w:leader="dot"/>
            </w:tabs>
            <w:bidi w:val="0"/>
            <w:spacing w:lineRule="auto" w:line="276" w:before="57" w:after="57"/>
            <w:ind w:left="964" w:right="0" w:hanging="0"/>
            <w:jc w:val="both"/>
            <w:rPr/>
          </w:pPr>
          <w:hyperlink w:anchor="__RefHeading___Toc41719_2228714726">
            <w:r>
              <w:rPr>
                <w:rStyle w:val="Style5"/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 xml:space="preserve">Таблица 2. Перечень и объем </w:t>
            </w:r>
          </w:hyperlink>
          <w:hyperlink w:anchor="__RefHeading___Toc41719_2228714726">
            <w:r>
              <w:rPr>
                <w:rStyle w:val="Style5"/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оказываемых Услуг</w:t>
            </w:r>
          </w:hyperlink>
          <w:hyperlink w:anchor="__RefHeading___Toc41719_2228714726">
            <w:r>
              <w:rPr>
                <w:rStyle w:val="Style5"/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ab/>
              <w:t>4</w:t>
            </w:r>
          </w:hyperlink>
        </w:p>
        <w:p>
          <w:pPr>
            <w:pStyle w:val="TOC3"/>
            <w:widowControl/>
            <w:tabs>
              <w:tab w:val="clear" w:pos="708"/>
              <w:tab w:val="right" w:pos="9638" w:leader="dot"/>
            </w:tabs>
            <w:bidi w:val="0"/>
            <w:spacing w:lineRule="auto" w:line="276" w:before="57" w:after="57"/>
            <w:ind w:left="624" w:right="0" w:hanging="0"/>
            <w:jc w:val="both"/>
            <w:rPr/>
          </w:pPr>
          <w:hyperlink w:anchor="__RefHeading___Toc41721_2228714726">
            <w:r>
              <w:rPr>
                <w:rStyle w:val="Style5"/>
                <w:rFonts w:ascii="Times New Roman" w:hAnsi="Times New Roman"/>
                <w:sz w:val="24"/>
                <w:szCs w:val="24"/>
                <w:shd w:fill="auto" w:val="clear"/>
              </w:rPr>
              <w:t xml:space="preserve">2.1.2. Требования к срокам </w:t>
            </w:r>
          </w:hyperlink>
          <w:hyperlink w:anchor="__RefHeading___Toc41715_2228714726">
            <w:r>
              <w:rPr>
                <w:rStyle w:val="Style5"/>
                <w:rFonts w:ascii="Times New Roman" w:hAnsi="Times New Roman"/>
                <w:sz w:val="24"/>
                <w:szCs w:val="24"/>
                <w:shd w:fill="auto" w:val="clear"/>
              </w:rPr>
              <w:t>оказания Услуг</w:t>
            </w:r>
          </w:hyperlink>
          <w:hyperlink w:anchor="__RefHeading___Toc41721_2228714726">
            <w:r>
              <w:rPr>
                <w:rStyle w:val="Style5"/>
                <w:rFonts w:ascii="Times New Roman" w:hAnsi="Times New Roman"/>
                <w:sz w:val="24"/>
                <w:szCs w:val="24"/>
                <w:shd w:fill="auto" w:val="clear"/>
              </w:rPr>
              <w:tab/>
              <w:t>5</w:t>
            </w:r>
          </w:hyperlink>
        </w:p>
        <w:p>
          <w:pPr>
            <w:pStyle w:val="TOC1"/>
            <w:widowControl/>
            <w:tabs>
              <w:tab w:val="clear" w:pos="708"/>
              <w:tab w:val="right" w:pos="9638" w:leader="dot"/>
            </w:tabs>
            <w:bidi w:val="0"/>
            <w:spacing w:lineRule="auto" w:line="276" w:before="57" w:after="57"/>
            <w:ind w:left="1020" w:right="0" w:hanging="0"/>
            <w:jc w:val="both"/>
            <w:rPr/>
          </w:pPr>
          <w:hyperlink w:anchor="__RefHeading___Toc41723_2228714726">
            <w:r>
              <w:rPr>
                <w:rStyle w:val="Style5"/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 xml:space="preserve">Таблица 3. Требования к срокам </w:t>
            </w:r>
          </w:hyperlink>
          <w:hyperlink w:anchor="__RefHeading___Toc41715_2228714726">
            <w:r>
              <w:rPr>
                <w:rStyle w:val="Style5"/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оказания Услуг</w:t>
            </w:r>
          </w:hyperlink>
          <w:hyperlink w:anchor="__RefHeading___Toc41723_2228714726">
            <w:r>
              <w:rPr>
                <w:rStyle w:val="Style5"/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ab/>
              <w:t>5</w:t>
            </w:r>
          </w:hyperlink>
        </w:p>
        <w:p>
          <w:pPr>
            <w:pStyle w:val="TOC4"/>
            <w:tabs>
              <w:tab w:val="clear" w:pos="1120"/>
              <w:tab w:val="clear" w:pos="9911"/>
              <w:tab w:val="right" w:pos="9638" w:leader="dot"/>
            </w:tabs>
            <w:spacing w:lineRule="auto" w:line="276" w:before="57" w:after="57"/>
            <w:jc w:val="both"/>
            <w:rPr/>
          </w:pPr>
          <w:hyperlink w:anchor="__RefHeading___Toc41725_2228714726">
            <w:r>
              <w:rPr>
                <w:rStyle w:val="Style5"/>
                <w:rFonts w:ascii="Times New Roman" w:hAnsi="Times New Roman"/>
                <w:sz w:val="24"/>
                <w:szCs w:val="24"/>
                <w:shd w:fill="auto" w:val="clear"/>
              </w:rPr>
              <w:t xml:space="preserve">2.2. Требования к качеству </w:t>
            </w:r>
          </w:hyperlink>
          <w:hyperlink w:anchor="__RefHeading___Toc41719_2228714726">
            <w:r>
              <w:rPr>
                <w:rStyle w:val="Style5"/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оказываемых Услуг</w:t>
            </w:r>
          </w:hyperlink>
          <w:hyperlink w:anchor="__RefHeading___Toc41725_2228714726">
            <w:r>
              <w:rPr>
                <w:rStyle w:val="Style5"/>
                <w:rFonts w:ascii="Times New Roman" w:hAnsi="Times New Roman"/>
                <w:sz w:val="24"/>
                <w:szCs w:val="24"/>
                <w:shd w:fill="auto" w:val="clear"/>
              </w:rPr>
              <w:tab/>
            </w:r>
          </w:hyperlink>
          <w:r>
            <w:rPr>
              <w:rStyle w:val="Style5"/>
              <w:rFonts w:ascii="Times New Roman" w:hAnsi="Times New Roman"/>
              <w:sz w:val="24"/>
              <w:szCs w:val="24"/>
              <w:shd w:fill="auto" w:val="clear"/>
            </w:rPr>
            <w:t>5</w:t>
          </w:r>
        </w:p>
        <w:p>
          <w:pPr>
            <w:pStyle w:val="TOC1"/>
            <w:widowControl/>
            <w:tabs>
              <w:tab w:val="clear" w:pos="708"/>
              <w:tab w:val="right" w:pos="9638" w:leader="dot"/>
            </w:tabs>
            <w:bidi w:val="0"/>
            <w:spacing w:lineRule="auto" w:line="276" w:before="57" w:after="57"/>
            <w:ind w:left="1020" w:right="0" w:hanging="0"/>
            <w:jc w:val="both"/>
            <w:rPr/>
          </w:pPr>
          <w:hyperlink w:anchor="__RefHeading___Toc41727_2228714726">
            <w:r>
              <w:rPr>
                <w:rStyle w:val="Style5"/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 xml:space="preserve">Таблица 4. Требования к качеству </w:t>
            </w:r>
          </w:hyperlink>
          <w:hyperlink w:anchor="__RefHeading___Toc41719_2228714726">
            <w:r>
              <w:rPr>
                <w:rStyle w:val="Style5"/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оказываемых Услуг</w:t>
            </w:r>
          </w:hyperlink>
          <w:hyperlink w:anchor="__RefHeading___Toc41727_2228714726">
            <w:r>
              <w:rPr>
                <w:rStyle w:val="Style5"/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ab/>
            </w:r>
          </w:hyperlink>
          <w:r>
            <w:rPr>
              <w:rFonts w:ascii="Times New Roman" w:hAnsi="Times New Roman"/>
              <w:b w:val="false"/>
              <w:bCs w:val="false"/>
              <w:color w:val="000000"/>
              <w:sz w:val="24"/>
              <w:szCs w:val="24"/>
              <w:shd w:fill="auto" w:val="clear"/>
            </w:rPr>
            <w:t>5</w:t>
          </w:r>
        </w:p>
        <w:p>
          <w:pPr>
            <w:pStyle w:val="TOC1"/>
            <w:tabs>
              <w:tab w:val="clear" w:pos="708"/>
              <w:tab w:val="right" w:pos="9638" w:leader="dot"/>
            </w:tabs>
            <w:spacing w:lineRule="auto" w:line="276" w:before="57" w:after="57"/>
            <w:jc w:val="both"/>
            <w:rPr/>
          </w:pPr>
          <w:hyperlink w:anchor="__RefHeading___Toc41729_2228714726">
            <w:r>
              <w:rPr>
                <w:rStyle w:val="Style5"/>
                <w:rFonts w:ascii="Times New Roman" w:hAnsi="Times New Roman"/>
                <w:sz w:val="24"/>
                <w:szCs w:val="24"/>
                <w:shd w:fill="auto" w:val="clear"/>
              </w:rPr>
              <w:t>3. Требования к документации по ценообразованию на этапе заключения договора</w:t>
              <w:tab/>
              <w:t>7</w:t>
            </w:r>
          </w:hyperlink>
        </w:p>
        <w:p>
          <w:pPr>
            <w:pStyle w:val="Normal"/>
            <w:tabs>
              <w:tab w:val="clear" w:pos="708"/>
              <w:tab w:val="right" w:pos="9638" w:leader="dot"/>
            </w:tabs>
            <w:spacing w:lineRule="auto" w:line="276" w:before="57" w:after="57"/>
            <w:jc w:val="both"/>
            <w:rPr>
              <w:highlight w:val="none"/>
              <w:shd w:fill="auto" w:val="clear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shd w:fill="auto" w:val="clear"/>
            </w:rPr>
            <w:t>4. Приложения………………………………………………………………………..…………….7</w:t>
          </w:r>
        </w:p>
      </w:sdtContent>
    </w:sdt>
    <w:p>
      <w:pPr>
        <w:pStyle w:val="BodyText"/>
        <w:spacing w:lineRule="auto" w:line="276" w:before="57" w:after="57"/>
        <w:rPr>
          <w:rFonts w:ascii="Times New Roman" w:hAnsi="Times New Roman"/>
          <w:iCs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iCs/>
          <w:sz w:val="24"/>
          <w:szCs w:val="24"/>
          <w:shd w:fill="auto" w:val="clear"/>
        </w:rPr>
      </w:r>
    </w:p>
    <w:p>
      <w:pPr>
        <w:pStyle w:val="BodyText"/>
        <w:spacing w:lineRule="auto" w:line="276" w:before="57" w:after="57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76" w:before="57" w:after="57"/>
        <w:jc w:val="left"/>
        <w:rPr>
          <w:b w:val="false"/>
          <w:i/>
          <w:i/>
        </w:rPr>
      </w:pPr>
      <w:r>
        <w:rPr>
          <w:b w:val="false"/>
          <w:i/>
        </w:rPr>
      </w:r>
      <w:r>
        <w:br w:type="page"/>
      </w:r>
    </w:p>
    <w:p>
      <w:pPr>
        <w:pStyle w:val="Normal"/>
        <w:numPr>
          <w:ilvl w:val="0"/>
          <w:numId w:val="0"/>
        </w:numPr>
        <w:ind w:left="0" w:hanging="0"/>
        <w:rPr>
          <w:b w:val="false"/>
          <w:i/>
          <w:i/>
        </w:rPr>
      </w:pPr>
      <w:r>
        <w:rPr>
          <w:b w:val="false"/>
          <w:i/>
        </w:rPr>
      </w:r>
    </w:p>
    <w:p>
      <w:pPr>
        <w:pStyle w:val="Normal"/>
        <w:keepNext w:val="true"/>
        <w:keepLines/>
        <w:widowControl/>
        <w:bidi w:val="0"/>
        <w:spacing w:lineRule="auto" w:line="240" w:before="0" w:after="0"/>
        <w:ind w:left="0" w:right="0" w:hanging="0"/>
        <w:jc w:val="center"/>
        <w:rPr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1.</w:t>
        <w:tab/>
      </w:r>
      <w:bookmarkStart w:id="1" w:name="_Toc54643694"/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Общие сведения</w:t>
      </w:r>
      <w:bookmarkEnd w:id="1"/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.</w:t>
      </w:r>
    </w:p>
    <w:p>
      <w:pPr>
        <w:pStyle w:val="Normal"/>
        <w:keepNext w:val="true"/>
        <w:widowControl/>
        <w:numPr>
          <w:ilvl w:val="1"/>
          <w:numId w:val="1"/>
        </w:numPr>
        <w:bidi w:val="0"/>
        <w:spacing w:lineRule="auto" w:line="240" w:before="0" w:after="0"/>
        <w:ind w:left="0" w:right="0" w:hanging="0"/>
        <w:jc w:val="left"/>
        <w:outlineLvl w:val="3"/>
        <w:rPr>
          <w:rFonts w:ascii="Times New Roman" w:hAnsi="Times New Roman" w:eastAsia="Times New Roman" w:cs="Times New Roman"/>
          <w:b/>
          <w:iCs/>
          <w:sz w:val="24"/>
          <w:szCs w:val="24"/>
        </w:rPr>
      </w:pPr>
      <w:bookmarkStart w:id="2" w:name="__RefHeading___Toc23280_2184136601"/>
      <w:bookmarkStart w:id="3" w:name="_Toc46743505"/>
      <w:bookmarkStart w:id="4" w:name="_Toc180849634"/>
      <w:bookmarkStart w:id="5" w:name="_Toc141956619"/>
      <w:bookmarkStart w:id="6" w:name="_Toc144926173"/>
      <w:bookmarkEnd w:id="2"/>
      <w:r>
        <w:rPr>
          <w:rFonts w:eastAsia="Times New Roman" w:cs="Times New Roman" w:ascii="Times New Roman" w:hAnsi="Times New Roman"/>
          <w:b/>
          <w:iCs/>
          <w:sz w:val="24"/>
          <w:szCs w:val="24"/>
        </w:rPr>
        <w:t>Обозначения и сокращения</w:t>
      </w:r>
      <w:bookmarkEnd w:id="3"/>
      <w:bookmarkEnd w:id="4"/>
      <w:bookmarkEnd w:id="5"/>
      <w:bookmarkEnd w:id="6"/>
      <w:r>
        <w:rPr>
          <w:rFonts w:eastAsia="Times New Roman" w:cs="Times New Roman" w:ascii="Times New Roman" w:hAnsi="Times New Roman"/>
          <w:b/>
          <w:iCs/>
          <w:sz w:val="24"/>
          <w:szCs w:val="24"/>
        </w:rPr>
        <w:t>.</w:t>
      </w:r>
    </w:p>
    <w:tbl>
      <w:tblPr>
        <w:tblW w:w="97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85"/>
        <w:gridCol w:w="7997"/>
      </w:tblGrid>
      <w:tr>
        <w:trPr>
          <w:trHeight w:val="397" w:hRule="atLeast"/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val="en-GB" w:eastAsia="ru-RU"/>
              </w:rPr>
              <w:t>ПД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val="en-GB" w:eastAsia="ru-RU"/>
              </w:rPr>
              <w:t>Проектная документация</w:t>
            </w:r>
          </w:p>
        </w:tc>
      </w:tr>
      <w:tr>
        <w:trPr>
          <w:trHeight w:val="304" w:hRule="atLeast"/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val="en-GB" w:eastAsia="ru-RU"/>
              </w:rPr>
              <w:t>РД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val="en-GB" w:eastAsia="ru-RU"/>
              </w:rPr>
              <w:t>Рабочая документация</w:t>
            </w:r>
          </w:p>
        </w:tc>
      </w:tr>
      <w:tr>
        <w:trPr>
          <w:trHeight w:val="304" w:hRule="atLeast"/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val="en-GB" w:eastAsia="ru-RU"/>
              </w:rPr>
              <w:t>СМР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val="en-GB" w:eastAsia="ru-RU"/>
              </w:rPr>
              <w:t>Строительно-монтажные работы</w:t>
            </w:r>
          </w:p>
        </w:tc>
      </w:tr>
      <w:tr>
        <w:trPr>
          <w:trHeight w:val="304" w:hRule="atLeast"/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Cs/>
                <w:color w:val="auto"/>
                <w:kern w:val="0"/>
                <w:sz w:val="24"/>
                <w:szCs w:val="24"/>
                <w:lang w:val="en-GB" w:eastAsia="ru-RU" w:bidi="ar-SA"/>
              </w:rPr>
            </w:pPr>
            <w:r>
              <w:rPr>
                <w:rFonts w:eastAsia="Times New Roman" w:cs="Times New Roman" w:ascii="Times New Roman" w:hAnsi="Times New Roman"/>
                <w:iCs/>
                <w:color w:val="auto"/>
                <w:kern w:val="0"/>
                <w:sz w:val="24"/>
                <w:szCs w:val="24"/>
                <w:lang w:val="en-GB" w:eastAsia="ru-RU" w:bidi="ar-SA"/>
              </w:rPr>
              <w:t>‍</w:t>
            </w:r>
            <w:r>
              <w:rPr>
                <w:rFonts w:eastAsia="Times New Roman" w:cs="Times New Roman" w:ascii="Times New Roman" w:hAnsi="Times New Roman"/>
                <w:iCs/>
                <w:color w:val="auto"/>
                <w:kern w:val="0"/>
                <w:sz w:val="24"/>
                <w:szCs w:val="24"/>
                <w:lang w:val="en-GB" w:eastAsia="ru-RU" w:bidi="ar-SA"/>
              </w:rPr>
              <w:t>РТН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Федеральная служба по экологическому, технологическому и атомному надзору</w:t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outlineLvl w:val="3"/>
        <w:rPr/>
      </w:pPr>
      <w:r>
        <w:rPr/>
      </w:r>
    </w:p>
    <w:p>
      <w:pPr>
        <w:pStyle w:val="Normal"/>
        <w:keepNext w:val="true"/>
        <w:widowControl/>
        <w:numPr>
          <w:ilvl w:val="1"/>
          <w:numId w:val="1"/>
        </w:numPr>
        <w:bidi w:val="0"/>
        <w:spacing w:lineRule="auto" w:line="240" w:before="0" w:after="0"/>
        <w:ind w:left="0" w:right="0" w:hanging="0"/>
        <w:jc w:val="left"/>
        <w:outlineLvl w:val="3"/>
        <w:rPr/>
      </w:pPr>
      <w:bookmarkStart w:id="7" w:name="__RefHeading___Toc23282_2184136601"/>
      <w:bookmarkStart w:id="8" w:name="_Toc54643696"/>
      <w:bookmarkStart w:id="9" w:name="_Toc46743506"/>
      <w:bookmarkEnd w:id="7"/>
      <w:r>
        <w:rPr>
          <w:rFonts w:eastAsia="Times New Roman" w:cs="Times New Roman" w:ascii="Times New Roman" w:hAnsi="Times New Roman"/>
          <w:b/>
          <w:iCs/>
          <w:sz w:val="24"/>
          <w:szCs w:val="24"/>
        </w:rPr>
        <w:t xml:space="preserve">Наименование </w:t>
      </w:r>
      <w:bookmarkEnd w:id="8"/>
      <w:bookmarkEnd w:id="9"/>
      <w:r>
        <w:rPr>
          <w:rFonts w:eastAsia="Times New Roman" w:cs="Times New Roman" w:ascii="Times New Roman" w:hAnsi="Times New Roman"/>
          <w:b/>
          <w:iCs/>
          <w:sz w:val="24"/>
          <w:szCs w:val="24"/>
        </w:rPr>
        <w:t>оказываемых Услуг.</w:t>
      </w:r>
    </w:p>
    <w:p>
      <w:pPr>
        <w:pStyle w:val="Normal"/>
        <w:widowControl/>
        <w:tabs>
          <w:tab w:val="clear" w:pos="708"/>
          <w:tab w:val="left" w:pos="855" w:leader="none"/>
        </w:tabs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Оказание инжиниринговых услуг при выполнении работ по строительству объекта: «Загорской ГАЭС-2 на р. Кунье (достройка)» (ОКПД2 71.20.19.190), включают в себя работы по обследованию технического состояния зданий (сооружений) для оценки возможности их дальнейшей безаварийной эксплуатации или необходимости соответствия нормативным требованиям (далее - восстановление) и усиления конструкций, обследованию технического состояния зданий (сооружений) - объектов незавершенного строительства для оценки возможности завершения их строительства и дальнейшего ввода в эксплуатацию в рамках реализации проекта: «Загорская ГАЭС-2 на р. Кунье (достройка)»</w:t>
      </w:r>
    </w:p>
    <w:p>
      <w:pPr>
        <w:pStyle w:val="Normal"/>
        <w:spacing w:lineRule="auto" w:line="240" w:before="0" w:after="0"/>
        <w:ind w:firstLine="360"/>
        <w:jc w:val="both"/>
        <w:rPr/>
      </w:pPr>
      <w:r>
        <w:rPr/>
      </w:r>
    </w:p>
    <w:p>
      <w:pPr>
        <w:pStyle w:val="Normal"/>
        <w:keepNext w:val="true"/>
        <w:widowControl/>
        <w:numPr>
          <w:ilvl w:val="1"/>
          <w:numId w:val="1"/>
        </w:numPr>
        <w:bidi w:val="0"/>
        <w:spacing w:lineRule="auto" w:line="240" w:before="0" w:after="0"/>
        <w:ind w:left="0" w:right="0" w:hanging="0"/>
        <w:jc w:val="left"/>
        <w:outlineLvl w:val="3"/>
        <w:rPr/>
      </w:pPr>
      <w:bookmarkStart w:id="10" w:name="__RefHeading___Toc23284_2184136601"/>
      <w:bookmarkStart w:id="11" w:name="_Toc46743507"/>
      <w:bookmarkStart w:id="12" w:name="_Toc54643697"/>
      <w:bookmarkEnd w:id="10"/>
      <w:r>
        <w:rPr>
          <w:rFonts w:eastAsia="Times New Roman" w:cs="Times New Roman" w:ascii="Times New Roman" w:hAnsi="Times New Roman"/>
          <w:b/>
          <w:iCs/>
          <w:sz w:val="24"/>
          <w:szCs w:val="24"/>
        </w:rPr>
        <w:t xml:space="preserve">Цель </w:t>
      </w:r>
      <w:bookmarkEnd w:id="11"/>
      <w:bookmarkEnd w:id="12"/>
      <w:r>
        <w:rPr>
          <w:rFonts w:eastAsia="Times New Roman" w:cs="Times New Roman" w:ascii="Times New Roman" w:hAnsi="Times New Roman"/>
          <w:b/>
          <w:iCs/>
          <w:sz w:val="24"/>
          <w:szCs w:val="24"/>
        </w:rPr>
        <w:t>оказания Услуг.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Cs/>
          <w:sz w:val="24"/>
          <w:szCs w:val="24"/>
          <w:lang w:eastAsia="ru-RU"/>
        </w:rPr>
        <w:t>Получение технического (экспертного) заключения о соответствии выполненных работ проектной документации и требованиям нормативно-технической документации Российской Федерации в соответствие с ГОСТ 31937-2024 «Здания и сооружения. Правила обследования и мониторинга технического состояния».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bidi w:val="0"/>
        <w:spacing w:lineRule="auto" w:line="240" w:before="0" w:after="0"/>
        <w:ind w:left="0" w:right="0" w:firstLine="397"/>
        <w:jc w:val="both"/>
        <w:rPr>
          <w:rFonts w:ascii="Times New Roman" w:hAnsi="Times New Roman" w:eastAsia="Times New Roman" w:cs="Times New Roman"/>
          <w:b/>
          <w:i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iCs/>
          <w:sz w:val="24"/>
          <w:szCs w:val="24"/>
          <w:lang w:eastAsia="ru-RU"/>
        </w:rPr>
      </w:r>
    </w:p>
    <w:p>
      <w:pPr>
        <w:pStyle w:val="Normal"/>
        <w:widowControl/>
        <w:numPr>
          <w:ilvl w:val="1"/>
          <w:numId w:val="1"/>
        </w:numPr>
        <w:bidi w:val="0"/>
        <w:spacing w:lineRule="auto" w:line="240" w:before="0" w:after="0"/>
        <w:ind w:left="0" w:right="0" w:hanging="0"/>
        <w:jc w:val="left"/>
        <w:outlineLvl w:val="3"/>
        <w:rPr/>
      </w:pPr>
      <w:bookmarkStart w:id="13" w:name="__RefHeading___Toc23286_2184136601"/>
      <w:bookmarkEnd w:id="13"/>
      <w:r>
        <w:rPr>
          <w:rFonts w:eastAsia="Times New Roman" w:cs="Times New Roman" w:ascii="Times New Roman" w:hAnsi="Times New Roman"/>
          <w:b/>
          <w:iCs/>
          <w:sz w:val="24"/>
          <w:szCs w:val="24"/>
        </w:rPr>
        <w:t>Существующее положение.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bidi w:val="0"/>
        <w:spacing w:lineRule="auto" w:line="240" w:before="0" w:after="0"/>
        <w:ind w:left="0" w:right="0" w:firstLine="454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Cs/>
          <w:sz w:val="24"/>
          <w:szCs w:val="24"/>
          <w:lang w:eastAsia="ru-RU"/>
        </w:rPr>
        <w:t>Услуги</w:t>
      </w:r>
      <w:bookmarkStart w:id="14" w:name="_Toc54643699"/>
      <w:r>
        <w:rPr>
          <w:rFonts w:eastAsia="Times New Roman" w:cs="Times New Roman" w:ascii="Times New Roman" w:hAnsi="Times New Roman"/>
          <w:b w:val="false"/>
          <w:bCs w:val="false"/>
          <w:iCs/>
          <w:sz w:val="24"/>
          <w:szCs w:val="24"/>
          <w:lang w:eastAsia="ru-RU"/>
        </w:rPr>
        <w:t xml:space="preserve"> по Договору оказываются для нужд АО «Загорская ГАЭС-2» - для реализации проекта «Загорская ГАЭС-2 на р. Кунье (достройка)», по которому частично здания (сооружения) возведены и строительно-монтажные работы продолжаются, в том числе: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b w:val="false"/>
          <w:bCs w:val="false"/>
          <w:i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Cs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Таблица 1. </w:t>
      </w:r>
      <w:r>
        <w:rPr>
          <w:rFonts w:eastAsia="Times New Roman" w:cs="Times New Roman" w:ascii="Times New Roman" w:hAnsi="Times New Roman"/>
          <w:sz w:val="24"/>
          <w:szCs w:val="24"/>
          <w:lang w:val="en-GB" w:eastAsia="ru-RU"/>
        </w:rPr>
        <w:t>Перечень объектов Заказчика</w:t>
      </w:r>
      <w:bookmarkEnd w:id="14"/>
      <w:r>
        <w:rPr>
          <w:rFonts w:eastAsia="Times New Roman" w:cs="Times New Roman" w:ascii="Times New Roman" w:hAnsi="Times New Roman"/>
          <w:sz w:val="24"/>
          <w:szCs w:val="24"/>
          <w:lang w:val="en-GB" w:eastAsia="ru-RU"/>
        </w:rPr>
        <w:t>.</w:t>
      </w:r>
    </w:p>
    <w:tbl>
      <w:tblPr>
        <w:tblW w:w="9916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1062"/>
        <w:gridCol w:w="6841"/>
        <w:gridCol w:w="2013"/>
      </w:tblGrid>
      <w:tr>
        <w:trPr/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  <w:lang w:val="en-GB" w:eastAsia="ru-RU"/>
              </w:rPr>
              <w:t>Н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омер на СПОЗУ 2025 г.</w:t>
            </w:r>
          </w:p>
        </w:tc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GB" w:eastAsia="ru-RU"/>
              </w:rPr>
              <w:t>Наименование объекта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GB" w:eastAsia="ru-RU"/>
              </w:rPr>
              <w:t>Примечания</w:t>
            </w:r>
          </w:p>
        </w:tc>
      </w:tr>
      <w:tr>
        <w:trPr>
          <w:trHeight w:val="327" w:hRule="atLeast"/>
        </w:trPr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en-GB" w:eastAsia="ru-RU"/>
              </w:rPr>
              <w:t>1</w:t>
            </w:r>
          </w:p>
        </w:tc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en-GB" w:eastAsia="ru-RU"/>
              </w:rPr>
              <w:t>2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en-GB" w:eastAsia="ru-RU"/>
              </w:rPr>
              <w:t>3</w:t>
            </w:r>
          </w:p>
        </w:tc>
      </w:tr>
      <w:tr>
        <w:trPr>
          <w:trHeight w:val="356" w:hRule="atLeast"/>
        </w:trPr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Станционный узел, том числе: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</w:r>
          </w:p>
        </w:tc>
      </w:tr>
      <w:tr>
        <w:trPr>
          <w:trHeight w:val="330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ГАЭС (в т.ч. машзал, монтажная площадка, площадка трансформаторов)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 </w:t>
            </w: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Достройка</w:t>
            </w:r>
          </w:p>
        </w:tc>
      </w:tr>
      <w:tr>
        <w:trPr>
          <w:trHeight w:val="285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KTП (на ПС-3, ПС-4)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</w:r>
          </w:p>
        </w:tc>
      </w:tr>
      <w:tr>
        <w:trPr>
          <w:trHeight w:val="224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ПТПУ-4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 </w:t>
            </w: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Достройка</w:t>
            </w:r>
          </w:p>
        </w:tc>
      </w:tr>
      <w:tr>
        <w:trPr>
          <w:trHeight w:val="163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Подпорная стена ПС-3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 </w:t>
            </w: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Достройка</w:t>
            </w:r>
          </w:p>
        </w:tc>
      </w:tr>
      <w:tr>
        <w:trPr>
          <w:trHeight w:val="341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Подпорные стены верхние правые IIB-1, 2, 6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Достройка</w:t>
            </w:r>
          </w:p>
        </w:tc>
      </w:tr>
      <w:tr>
        <w:trPr>
          <w:trHeight w:val="341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Реверсивный канал, в том числе: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</w:r>
          </w:p>
        </w:tc>
      </w:tr>
      <w:tr>
        <w:trPr>
          <w:trHeight w:val="341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1.11.1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Подпорная стена ПC-7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Новое строительство</w:t>
            </w:r>
          </w:p>
        </w:tc>
      </w:tr>
      <w:tr>
        <w:trPr>
          <w:trHeight w:val="341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1.11.2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Подпорная стена ПC-8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 </w:t>
            </w: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Достройка</w:t>
            </w:r>
          </w:p>
        </w:tc>
      </w:tr>
      <w:tr>
        <w:trPr>
          <w:trHeight w:val="341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1.11.3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Понур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 </w:t>
            </w: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Достройка</w:t>
            </w:r>
          </w:p>
        </w:tc>
      </w:tr>
      <w:tr>
        <w:trPr>
          <w:trHeight w:val="341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‍</w:t>
            </w:r>
            <w:r>
              <w:rPr>
                <w:rFonts w:ascii="Times New Roman" w:hAnsi="Times New Roman"/>
                <w:sz w:val="24"/>
                <w:szCs w:val="24"/>
              </w:rPr>
              <w:t>1.11.4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Противофильтрационный контур нижнего бьефа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</w:r>
          </w:p>
        </w:tc>
      </w:tr>
      <w:tr>
        <w:trPr>
          <w:trHeight w:val="341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1.11.5‍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бетонных конструктивов станционного узла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</w:r>
          </w:p>
        </w:tc>
      </w:tr>
      <w:tr>
        <w:trPr>
          <w:trHeight w:val="341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Лоток северный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Достройка</w:t>
            </w:r>
          </w:p>
        </w:tc>
      </w:tr>
      <w:tr>
        <w:trPr>
          <w:trHeight w:val="341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CПK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Достройка</w:t>
            </w:r>
          </w:p>
        </w:tc>
      </w:tr>
      <w:tr>
        <w:trPr>
          <w:trHeight w:val="341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Подпорная стена ПС-6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 </w:t>
            </w: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Достройка</w:t>
            </w:r>
          </w:p>
        </w:tc>
      </w:tr>
      <w:tr>
        <w:trPr>
          <w:trHeight w:val="341" w:hRule="atLeast"/>
        </w:trPr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Контрольно-пропускной пункт № 1 (КПП № 1)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Новое строительство</w:t>
            </w:r>
          </w:p>
        </w:tc>
      </w:tr>
      <w:tr>
        <w:trPr>
          <w:trHeight w:val="341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Ограждение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Новое строительство</w:t>
            </w:r>
          </w:p>
        </w:tc>
      </w:tr>
      <w:tr>
        <w:trPr>
          <w:trHeight w:val="341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Дизельная станционного узла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</w:r>
          </w:p>
        </w:tc>
      </w:tr>
      <w:tr>
        <w:trPr>
          <w:trHeight w:val="341" w:hRule="atLeast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yle10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Пригруз верхнего бьефа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left="0" w:hanging="0"/>
        <w:jc w:val="left"/>
        <w:outlineLvl w:val="0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5" w:name="__RefHeading___Toc23288_2184136601"/>
      <w:bookmarkEnd w:id="15"/>
      <w:r>
        <w:rPr>
          <w:rFonts w:ascii="Times New Roman" w:hAnsi="Times New Roman"/>
          <w:b/>
          <w:bCs/>
          <w:sz w:val="24"/>
          <w:szCs w:val="24"/>
        </w:rPr>
        <w:t>1.5.</w:t>
        <w:tab/>
        <w:t>Информация в отношении исполнения договора, которая должна быть учтена при подготовке заявки (в том числе перечень ресурсов, услуг и документов, предоставляемых заказчиком на этапе исполнения договора).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left="0" w:righ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bookmarkStart w:id="16" w:name="__RefHeading___Toc23290_2184136601"/>
      <w:bookmarkEnd w:id="16"/>
      <w:r>
        <w:rPr>
          <w:rFonts w:ascii="Times New Roman" w:hAnsi="Times New Roman"/>
          <w:sz w:val="24"/>
          <w:szCs w:val="24"/>
        </w:rPr>
        <w:t>Перечень документов, предоставляемых Заказчиком: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0" w:leader="none"/>
        </w:tabs>
        <w:bidi w:val="0"/>
        <w:spacing w:lineRule="auto" w:line="240" w:before="0" w:after="0"/>
        <w:ind w:left="0" w:righ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bookmarkStart w:id="17" w:name="__RefHeading___Toc23292_2184136601"/>
      <w:bookmarkEnd w:id="17"/>
      <w:r>
        <w:rPr>
          <w:rFonts w:ascii="Times New Roman" w:hAnsi="Times New Roman"/>
          <w:sz w:val="24"/>
          <w:szCs w:val="24"/>
        </w:rPr>
        <w:t>1)</w:t>
        <w:tab/>
        <w:t>Задание на проектирование;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0" w:leader="none"/>
        </w:tabs>
        <w:bidi w:val="0"/>
        <w:spacing w:lineRule="auto" w:line="240" w:before="0" w:after="0"/>
        <w:ind w:left="0" w:righ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bookmarkStart w:id="18" w:name="__RefHeading___Toc23294_2184136601"/>
      <w:bookmarkEnd w:id="18"/>
      <w:r>
        <w:rPr>
          <w:rFonts w:ascii="Times New Roman" w:hAnsi="Times New Roman"/>
          <w:sz w:val="24"/>
          <w:szCs w:val="24"/>
        </w:rPr>
        <w:t>2)</w:t>
        <w:tab/>
        <w:t>Результаты инженерных изысканий участка строительства;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0" w:leader="none"/>
        </w:tabs>
        <w:bidi w:val="0"/>
        <w:spacing w:lineRule="auto" w:line="240" w:before="0" w:after="0"/>
        <w:ind w:left="0" w:righ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bookmarkStart w:id="19" w:name="__RefHeading___Toc23296_2184136601"/>
      <w:bookmarkEnd w:id="19"/>
      <w:r>
        <w:rPr>
          <w:rFonts w:ascii="Times New Roman" w:hAnsi="Times New Roman"/>
          <w:sz w:val="24"/>
          <w:szCs w:val="24"/>
        </w:rPr>
        <w:t>3)</w:t>
        <w:tab/>
        <w:t>Результаты обследования построенных зданий и сооружений с присвоением категории технического состояния (при наличии);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0" w:leader="none"/>
        </w:tabs>
        <w:bidi w:val="0"/>
        <w:spacing w:lineRule="auto" w:line="240" w:before="0" w:after="0"/>
        <w:ind w:left="0" w:righ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bookmarkStart w:id="20" w:name="__RefHeading___Toc23298_2184136601"/>
      <w:bookmarkEnd w:id="20"/>
      <w:r>
        <w:rPr>
          <w:rFonts w:ascii="Times New Roman" w:hAnsi="Times New Roman"/>
          <w:sz w:val="24"/>
          <w:szCs w:val="24"/>
        </w:rPr>
        <w:t>4)</w:t>
        <w:tab/>
        <w:t>Геоподоснова строительной площадки с нанесением контуров проектируемого сооружения, действующих инженерных коммуникаций окружающей застройки (при их наличии);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0" w:leader="none"/>
        </w:tabs>
        <w:bidi w:val="0"/>
        <w:spacing w:lineRule="auto" w:line="240" w:before="0" w:after="0"/>
        <w:ind w:left="0" w:righ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bookmarkStart w:id="21" w:name="__RefHeading___Toc23300_2184136601"/>
      <w:bookmarkEnd w:id="21"/>
      <w:r>
        <w:rPr>
          <w:rFonts w:ascii="Times New Roman" w:hAnsi="Times New Roman"/>
          <w:sz w:val="24"/>
          <w:szCs w:val="24"/>
        </w:rPr>
        <w:t>5)</w:t>
        <w:tab/>
        <w:t>Разделы проектной документации стадии «ПД» объекта: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left="737" w:right="0" w:hanging="170"/>
        <w:jc w:val="both"/>
        <w:outlineLvl w:val="0"/>
        <w:rPr>
          <w:rFonts w:ascii="Times New Roman" w:hAnsi="Times New Roman"/>
          <w:sz w:val="24"/>
          <w:szCs w:val="24"/>
        </w:rPr>
      </w:pPr>
      <w:bookmarkStart w:id="22" w:name="__RefHeading___Toc23302_2184136601"/>
      <w:bookmarkEnd w:id="22"/>
      <w:r>
        <w:rPr>
          <w:rFonts w:ascii="Times New Roman" w:hAnsi="Times New Roman"/>
          <w:sz w:val="24"/>
          <w:szCs w:val="24"/>
        </w:rPr>
        <w:t>-</w:t>
        <w:tab/>
        <w:t>конструктивные решения, в том числе тома с расчетными обоснованиями;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left="737" w:right="0" w:hanging="170"/>
        <w:jc w:val="both"/>
        <w:outlineLvl w:val="0"/>
        <w:rPr>
          <w:rFonts w:ascii="Times New Roman" w:hAnsi="Times New Roman"/>
          <w:sz w:val="24"/>
          <w:szCs w:val="24"/>
        </w:rPr>
      </w:pPr>
      <w:bookmarkStart w:id="23" w:name="__RefHeading___Toc23304_2184136601"/>
      <w:bookmarkEnd w:id="23"/>
      <w:r>
        <w:rPr>
          <w:rFonts w:ascii="Times New Roman" w:hAnsi="Times New Roman"/>
          <w:sz w:val="24"/>
          <w:szCs w:val="24"/>
        </w:rPr>
        <w:t>-</w:t>
        <w:tab/>
        <w:t>принятые нагрузки в соответствии с заданием на проектирование, нормативными документами и технической документацией;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left="737" w:right="0" w:hanging="170"/>
        <w:jc w:val="both"/>
        <w:outlineLvl w:val="0"/>
        <w:rPr>
          <w:rFonts w:ascii="Times New Roman" w:hAnsi="Times New Roman"/>
          <w:sz w:val="24"/>
          <w:szCs w:val="24"/>
        </w:rPr>
      </w:pPr>
      <w:bookmarkStart w:id="24" w:name="__RefHeading___Toc23306_2184136601"/>
      <w:bookmarkEnd w:id="24"/>
      <w:r>
        <w:rPr>
          <w:rFonts w:ascii="Times New Roman" w:hAnsi="Times New Roman"/>
          <w:sz w:val="24"/>
          <w:szCs w:val="24"/>
        </w:rPr>
        <w:t>-</w:t>
        <w:tab/>
        <w:t>архитектурные решения;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left="737" w:right="0" w:hanging="170"/>
        <w:jc w:val="both"/>
        <w:outlineLvl w:val="0"/>
        <w:rPr>
          <w:rFonts w:ascii="Times New Roman" w:hAnsi="Times New Roman"/>
          <w:sz w:val="24"/>
          <w:szCs w:val="24"/>
        </w:rPr>
      </w:pPr>
      <w:bookmarkStart w:id="25" w:name="__RefHeading___Toc23308_2184136601"/>
      <w:bookmarkEnd w:id="25"/>
      <w:r>
        <w:rPr>
          <w:rFonts w:ascii="Times New Roman" w:hAnsi="Times New Roman"/>
          <w:sz w:val="24"/>
          <w:szCs w:val="24"/>
        </w:rPr>
        <w:t>-</w:t>
        <w:tab/>
        <w:t>технологические решения;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left="737" w:right="0" w:hanging="170"/>
        <w:jc w:val="both"/>
        <w:outlineLvl w:val="0"/>
        <w:rPr>
          <w:rFonts w:ascii="Times New Roman" w:hAnsi="Times New Roman"/>
          <w:sz w:val="24"/>
          <w:szCs w:val="24"/>
        </w:rPr>
      </w:pPr>
      <w:bookmarkStart w:id="26" w:name="__RefHeading___Toc23310_2184136601"/>
      <w:bookmarkEnd w:id="26"/>
      <w:r>
        <w:rPr>
          <w:rFonts w:ascii="Times New Roman" w:hAnsi="Times New Roman"/>
          <w:sz w:val="24"/>
          <w:szCs w:val="24"/>
        </w:rPr>
        <w:t>-</w:t>
        <w:tab/>
        <w:t>схема планировочной организации земельного участка, ситуационный план прилегающей территории;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left="737" w:right="0" w:hanging="170"/>
        <w:jc w:val="both"/>
        <w:outlineLvl w:val="0"/>
        <w:rPr>
          <w:rFonts w:ascii="Times New Roman" w:hAnsi="Times New Roman"/>
          <w:sz w:val="24"/>
          <w:szCs w:val="24"/>
        </w:rPr>
      </w:pPr>
      <w:bookmarkStart w:id="27" w:name="__RefHeading___Toc23312_2184136601"/>
      <w:bookmarkEnd w:id="27"/>
      <w:r>
        <w:rPr>
          <w:rFonts w:ascii="Times New Roman" w:hAnsi="Times New Roman"/>
          <w:sz w:val="24"/>
          <w:szCs w:val="24"/>
        </w:rPr>
        <w:t>- ПОС.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0" w:leader="none"/>
        </w:tabs>
        <w:bidi w:val="0"/>
        <w:spacing w:lineRule="auto" w:line="240" w:before="0" w:after="0"/>
        <w:ind w:left="0" w:righ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</w:t>
        <w:tab/>
        <w:t>Разделы проектной документации стадия «РД»;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0" w:leader="none"/>
        </w:tabs>
        <w:bidi w:val="0"/>
        <w:spacing w:lineRule="auto" w:line="240" w:before="0" w:after="0"/>
        <w:ind w:left="0" w:righ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bookmarkStart w:id="28" w:name="__RefHeading___Toc23316_2184136601"/>
      <w:bookmarkEnd w:id="28"/>
      <w:r>
        <w:rPr>
          <w:rFonts w:ascii="Times New Roman" w:hAnsi="Times New Roman"/>
          <w:sz w:val="24"/>
          <w:szCs w:val="24"/>
        </w:rPr>
        <w:t>7)</w:t>
        <w:tab/>
        <w:t xml:space="preserve">Иная информация, необходимая для создания расчетных моделей, но не включаемая в состав проектной документации, предоставляемая </w:t>
      </w:r>
      <w:r>
        <w:rPr>
          <w:rFonts w:cs="" w:ascii="Times New Roman" w:hAnsi="Times New Roman" w:cstheme="minorBidi"/>
          <w:sz w:val="24"/>
          <w:szCs w:val="24"/>
          <w:shd w:fill="auto" w:val="clear"/>
        </w:rPr>
        <w:t>по запросу Подрядчика.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left"/>
        <w:outlineLvl w:val="0"/>
        <w:rPr>
          <w:rFonts w:ascii="Calibri" w:hAnsi="Calibri" w:eastAsia="Calibri" w:cs="" w:asciiTheme="minorHAnsi" w:cstheme="minorBidi" w:eastAsiaTheme="minorHAnsi" w:hAnsiTheme="minorHAnsi"/>
          <w:highlight w:val="none"/>
          <w:shd w:fill="auto" w:val="clear"/>
        </w:rPr>
      </w:pPr>
      <w:r>
        <w:rPr>
          <w:rFonts w:eastAsia="Calibri" w:cs="" w:cstheme="minorBidi" w:eastAsiaTheme="minorHAnsi"/>
          <w:shd w:fill="auto" w:val="clear"/>
        </w:rPr>
      </w:r>
    </w:p>
    <w:p>
      <w:pPr>
        <w:pStyle w:val="Normal"/>
        <w:keepNext w:val="true"/>
        <w:keepLines/>
        <w:widowControl/>
        <w:numPr>
          <w:ilvl w:val="0"/>
          <w:numId w:val="0"/>
        </w:numPr>
        <w:bidi w:val="0"/>
        <w:spacing w:lineRule="auto" w:line="240" w:before="0" w:after="0"/>
        <w:ind w:left="0" w:right="0" w:hanging="0"/>
        <w:jc w:val="center"/>
        <w:outlineLvl w:val="0"/>
        <w:rPr>
          <w:rFonts w:ascii="Calibri" w:hAnsi="Calibri" w:eastAsia="Calibri" w:cs="" w:asciiTheme="minorHAnsi" w:cstheme="minorBidi" w:eastAsiaTheme="minorHAnsi" w:hAnsiTheme="minorHAnsi"/>
          <w:highlight w:val="none"/>
          <w:shd w:fill="auto" w:val="clear"/>
        </w:rPr>
      </w:pPr>
      <w:bookmarkStart w:id="29" w:name="__RefHeading___Toc23318_2184136601"/>
      <w:bookmarkEnd w:id="29"/>
      <w:r>
        <w:rPr>
          <w:rFonts w:eastAsia="Times New Roman" w:cs="Times New Roman" w:ascii="Times New Roman" w:hAnsi="Times New Roman"/>
          <w:b/>
          <w:bCs/>
          <w:iCs/>
          <w:caps/>
          <w:kern w:val="2"/>
          <w:sz w:val="24"/>
          <w:szCs w:val="24"/>
          <w:shd w:fill="auto" w:val="clear"/>
          <w:lang w:eastAsia="ru-RU"/>
        </w:rPr>
        <w:t>2.</w:t>
        <w:tab/>
      </w:r>
      <w:bookmarkStart w:id="30" w:name="_Toc54643702"/>
      <w:bookmarkStart w:id="31" w:name="_Toc51339693"/>
      <w:r>
        <w:rPr>
          <w:rFonts w:eastAsia="Times New Roman" w:cs="Times New Roman" w:ascii="Times New Roman" w:hAnsi="Times New Roman"/>
          <w:b/>
          <w:bCs/>
          <w:iCs/>
          <w:caps/>
          <w:kern w:val="2"/>
          <w:sz w:val="24"/>
          <w:szCs w:val="24"/>
          <w:shd w:fill="auto" w:val="clear"/>
          <w:lang w:eastAsia="ru-RU"/>
        </w:rPr>
        <w:t>Требования к продукции</w:t>
      </w:r>
      <w:bookmarkEnd w:id="30"/>
      <w:bookmarkEnd w:id="31"/>
      <w:r>
        <w:rPr>
          <w:rFonts w:eastAsia="Times New Roman" w:cs="Times New Roman" w:ascii="Times New Roman" w:hAnsi="Times New Roman"/>
          <w:b/>
          <w:bCs/>
          <w:iCs/>
          <w:caps/>
          <w:kern w:val="2"/>
          <w:sz w:val="24"/>
          <w:szCs w:val="24"/>
          <w:shd w:fill="auto" w:val="clear"/>
          <w:lang w:eastAsia="ru-RU"/>
        </w:rPr>
        <w:t>.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left="0" w:right="0" w:hanging="0"/>
        <w:jc w:val="center"/>
        <w:outlineLvl w:val="0"/>
        <w:rPr>
          <w:rFonts w:ascii="Times New Roman" w:hAnsi="Times New Roman" w:eastAsia="Times New Roman" w:cs="Times New Roman"/>
          <w:b/>
          <w:bCs/>
          <w:iCs/>
          <w:caps/>
          <w:kern w:val="2"/>
          <w:sz w:val="24"/>
          <w:szCs w:val="24"/>
          <w:highlight w:val="none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b/>
          <w:bCs/>
          <w:iCs/>
          <w:caps/>
          <w:kern w:val="2"/>
          <w:sz w:val="24"/>
          <w:szCs w:val="24"/>
          <w:shd w:fill="auto" w:val="clear"/>
          <w:lang w:eastAsia="ru-RU"/>
        </w:rPr>
      </w:r>
    </w:p>
    <w:p>
      <w:pPr>
        <w:pStyle w:val="Normal"/>
        <w:keepNext w:val="true"/>
        <w:widowControl/>
        <w:numPr>
          <w:ilvl w:val="0"/>
          <w:numId w:val="0"/>
        </w:numPr>
        <w:tabs>
          <w:tab w:val="clear" w:pos="708"/>
          <w:tab w:val="left" w:pos="525" w:leader="none"/>
        </w:tabs>
        <w:bidi w:val="0"/>
        <w:spacing w:lineRule="auto" w:line="240" w:before="0" w:after="0"/>
        <w:ind w:left="0" w:right="0" w:hanging="0"/>
        <w:jc w:val="left"/>
        <w:outlineLvl w:val="3"/>
        <w:rPr>
          <w:b/>
          <w:bCs/>
        </w:rPr>
      </w:pPr>
      <w:bookmarkStart w:id="32" w:name="__RefHeading___Toc23320_2184136601"/>
      <w:bookmarkEnd w:id="32"/>
      <w:r>
        <w:rPr>
          <w:rFonts w:eastAsia="Times New Roman" w:cs="Times New Roman" w:ascii="Times New Roman" w:hAnsi="Times New Roman"/>
          <w:b/>
          <w:bCs/>
          <w:iCs/>
          <w:sz w:val="24"/>
          <w:szCs w:val="24"/>
        </w:rPr>
        <w:t>2.1.</w:t>
        <w:tab/>
      </w:r>
      <w:bookmarkStart w:id="33" w:name="_Toc54643703"/>
      <w:r>
        <w:rPr>
          <w:rFonts w:eastAsia="Times New Roman" w:cs="Times New Roman" w:ascii="Times New Roman" w:hAnsi="Times New Roman"/>
          <w:b/>
          <w:bCs/>
          <w:iCs/>
          <w:sz w:val="24"/>
          <w:szCs w:val="24"/>
        </w:rPr>
        <w:t xml:space="preserve">Требования к объемам </w:t>
      </w:r>
      <w:bookmarkEnd w:id="33"/>
      <w:r>
        <w:rPr>
          <w:rFonts w:eastAsia="Times New Roman" w:cs="Times New Roman" w:ascii="Times New Roman" w:hAnsi="Times New Roman"/>
          <w:b/>
          <w:bCs/>
          <w:iCs/>
          <w:sz w:val="24"/>
          <w:szCs w:val="24"/>
        </w:rPr>
        <w:t>оказываемых Услуг.</w:t>
      </w:r>
    </w:p>
    <w:p>
      <w:pPr>
        <w:pStyle w:val="Normal"/>
        <w:keepNext w:val="true"/>
        <w:widowControl/>
        <w:numPr>
          <w:ilvl w:val="0"/>
          <w:numId w:val="0"/>
        </w:numPr>
        <w:tabs>
          <w:tab w:val="clear" w:pos="708"/>
          <w:tab w:val="left" w:pos="525" w:leader="none"/>
        </w:tabs>
        <w:bidi w:val="0"/>
        <w:spacing w:lineRule="auto" w:line="240" w:before="0" w:after="0"/>
        <w:ind w:left="0" w:right="0" w:hanging="0"/>
        <w:jc w:val="left"/>
        <w:outlineLvl w:val="2"/>
        <w:rPr/>
      </w:pPr>
      <w:bookmarkStart w:id="34" w:name="__RefHeading___Toc23322_2184136601"/>
      <w:bookmarkEnd w:id="34"/>
      <w:r>
        <w:rPr>
          <w:rFonts w:eastAsia="Times New Roman" w:cs="Times New Roman" w:ascii="Times New Roman" w:hAnsi="Times New Roman"/>
          <w:bCs/>
          <w:sz w:val="24"/>
          <w:szCs w:val="24"/>
          <w:lang w:eastAsia="x-none"/>
        </w:rPr>
        <w:t>2.1.1.</w:t>
        <w:tab/>
      </w:r>
      <w:bookmarkStart w:id="35" w:name="_Toc54643704"/>
      <w:r>
        <w:rPr>
          <w:rFonts w:eastAsia="Times New Roman" w:cs="Times New Roman" w:ascii="Times New Roman" w:hAnsi="Times New Roman"/>
          <w:bCs/>
          <w:sz w:val="24"/>
          <w:szCs w:val="24"/>
          <w:lang w:eastAsia="x-none"/>
        </w:rPr>
        <w:t xml:space="preserve">Требования к перечню и объему </w:t>
      </w:r>
      <w:bookmarkEnd w:id="35"/>
      <w:r>
        <w:rPr>
          <w:rFonts w:eastAsia="Times New Roman" w:cs="Times New Roman" w:ascii="Times New Roman" w:hAnsi="Times New Roman"/>
          <w:bCs/>
          <w:sz w:val="24"/>
          <w:szCs w:val="24"/>
          <w:lang w:eastAsia="x-none"/>
        </w:rPr>
        <w:t>Услуг.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525" w:leader="none"/>
        </w:tabs>
        <w:bidi w:val="0"/>
        <w:spacing w:lineRule="auto" w:line="240" w:before="0" w:after="0"/>
        <w:ind w:left="0" w:right="0" w:hanging="0"/>
        <w:jc w:val="left"/>
        <w:outlineLvl w:val="2"/>
        <w:rPr/>
      </w:pPr>
      <w:bookmarkStart w:id="36" w:name="__RefHeading___Toc23324_2184136601"/>
      <w:bookmarkStart w:id="37" w:name="_Toc54643705"/>
      <w:bookmarkStart w:id="38" w:name="_Toc51339695"/>
      <w:bookmarkEnd w:id="36"/>
      <w:r>
        <w:rPr>
          <w:rFonts w:eastAsia="Times New Roman" w:cs="Times New Roman" w:ascii="Times New Roman" w:hAnsi="Times New Roman"/>
          <w:bCs/>
          <w:sz w:val="24"/>
          <w:szCs w:val="24"/>
          <w:lang w:eastAsia="x-none"/>
        </w:rPr>
        <w:t xml:space="preserve">Таблица 2. Перечень </w:t>
      </w:r>
      <w:bookmarkEnd w:id="38"/>
      <w:r>
        <w:rPr>
          <w:rFonts w:eastAsia="Times New Roman" w:cs="Times New Roman" w:ascii="Times New Roman" w:hAnsi="Times New Roman"/>
          <w:bCs/>
          <w:sz w:val="24"/>
          <w:szCs w:val="24"/>
          <w:lang w:eastAsia="x-none"/>
        </w:rPr>
        <w:t>и объем</w:t>
      </w:r>
      <w:bookmarkEnd w:id="37"/>
      <w:r>
        <w:rPr>
          <w:rFonts w:eastAsia="Times New Roman" w:cs="Times New Roman" w:ascii="Times New Roman" w:hAnsi="Times New Roman"/>
          <w:bCs/>
          <w:sz w:val="24"/>
          <w:szCs w:val="24"/>
          <w:lang w:eastAsia="x-none"/>
        </w:rPr>
        <w:t xml:space="preserve"> оказываемых Услуг.</w:t>
      </w:r>
    </w:p>
    <w:tbl>
      <w:tblPr>
        <w:tblpPr w:bottomFromText="0" w:horzAnchor="text" w:leftFromText="180" w:rightFromText="180" w:tblpX="0" w:tblpY="1" w:topFromText="0" w:vertAnchor="text"/>
        <w:tblW w:w="9918" w:type="dxa"/>
        <w:jc w:val="left"/>
        <w:tblInd w:w="108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val="04a0" w:noHBand="0" w:noVBand="1" w:firstColumn="1" w:lastRow="0" w:lastColumn="0" w:firstRow="1"/>
      </w:tblPr>
      <w:tblGrid>
        <w:gridCol w:w="810"/>
        <w:gridCol w:w="5310"/>
        <w:gridCol w:w="1800"/>
        <w:gridCol w:w="1997"/>
      </w:tblGrid>
      <w:tr>
        <w:trPr>
          <w:trHeight w:val="268" w:hRule="atLeast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п/п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Наименование Услуг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Единица измерения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Количество</w:t>
            </w:r>
          </w:p>
        </w:tc>
      </w:tr>
      <w:tr>
        <w:trPr>
          <w:trHeight w:val="268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1</w:t>
            </w:r>
          </w:p>
        </w:tc>
        <w:tc>
          <w:tcPr>
            <w:tcW w:w="53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2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3</w:t>
            </w:r>
          </w:p>
        </w:tc>
        <w:tc>
          <w:tcPr>
            <w:tcW w:w="1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4</w:t>
            </w:r>
          </w:p>
        </w:tc>
      </w:tr>
      <w:tr>
        <w:trPr>
          <w:trHeight w:val="314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GB" w:eastAsia="ru-RU"/>
              </w:rPr>
              <w:t>1.</w:t>
            </w:r>
          </w:p>
        </w:tc>
        <w:tc>
          <w:tcPr>
            <w:tcW w:w="53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val="en-GB" w:eastAsia="ru-RU"/>
              </w:rPr>
              <w:t>Инжиниринговые услуги по оценке технического состояния зданий (сооружений):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1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GB" w:eastAsia="ru-RU"/>
              </w:rPr>
              <w:t>1.1.</w:t>
            </w:r>
          </w:p>
        </w:tc>
        <w:tc>
          <w:tcPr>
            <w:tcW w:w="53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Оценка соответствия строительных конструкций зданий и сооружений объекта капитального строительства требованиям проектной (рабочей) документации.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Здания, сооружения, линейные объекты</w:t>
            </w:r>
          </w:p>
        </w:tc>
        <w:tc>
          <w:tcPr>
            <w:tcW w:w="1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1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3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4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GB" w:eastAsia="ru-RU"/>
              </w:rPr>
              <w:t>1.2.</w:t>
            </w:r>
          </w:p>
        </w:tc>
        <w:tc>
          <w:tcPr>
            <w:tcW w:w="53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Оценка положения строительных конструкций, не скрытых последующими работами (геодезический контроль) требованиям проектной (рабочей) документации.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Здания, сооружения, линейные объекты</w:t>
            </w:r>
          </w:p>
        </w:tc>
        <w:tc>
          <w:tcPr>
            <w:tcW w:w="1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GB" w:eastAsia="ru-RU"/>
              </w:rPr>
              <w:t>1.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GB" w:eastAsia="ru-RU"/>
              </w:rPr>
              <w:t>.</w:t>
            </w:r>
          </w:p>
        </w:tc>
        <w:tc>
          <w:tcPr>
            <w:tcW w:w="53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Проверка наличия документов, удостоверяющих качество используемых на строительстве конструкций, изделий и материалов (технических паспортов, сертификатов, результатов лабораторных испытаний).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Условная единица</w:t>
            </w:r>
          </w:p>
        </w:tc>
        <w:tc>
          <w:tcPr>
            <w:tcW w:w="1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GB" w:eastAsia="ru-RU"/>
              </w:rPr>
              <w:t>1.4.</w:t>
            </w:r>
          </w:p>
        </w:tc>
        <w:tc>
          <w:tcPr>
            <w:tcW w:w="53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Составление Технического заключения по результатам обследования зданий (сооружений) и его предоставление как на бумажном носителе в количестве 4-х (четырех) экземпляров, так и в электронной форме.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Отчет</w:t>
            </w:r>
          </w:p>
        </w:tc>
        <w:tc>
          <w:tcPr>
            <w:tcW w:w="1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Промежуточные — по запросу, Итоговый - 1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Next w:val="true"/>
        <w:widowControl/>
        <w:numPr>
          <w:ilvl w:val="0"/>
          <w:numId w:val="0"/>
        </w:numPr>
        <w:tabs>
          <w:tab w:val="clear" w:pos="708"/>
          <w:tab w:val="left" w:pos="525" w:leader="none"/>
        </w:tabs>
        <w:bidi w:val="0"/>
        <w:spacing w:lineRule="auto" w:line="240" w:before="0" w:after="0"/>
        <w:ind w:left="0" w:right="0" w:hanging="0"/>
        <w:jc w:val="left"/>
        <w:outlineLvl w:val="2"/>
        <w:rPr/>
      </w:pPr>
      <w:bookmarkStart w:id="39" w:name="__RefHeading___Toc23326_2184136601"/>
      <w:bookmarkEnd w:id="39"/>
      <w:r>
        <w:rPr>
          <w:rFonts w:eastAsia="Times New Roman" w:cs="Times New Roman" w:ascii="Times New Roman" w:hAnsi="Times New Roman"/>
          <w:bCs/>
          <w:sz w:val="24"/>
          <w:szCs w:val="24"/>
          <w:lang w:eastAsia="x-none"/>
        </w:rPr>
        <w:t>2.1.2.</w:t>
        <w:tab/>
      </w:r>
      <w:bookmarkStart w:id="40" w:name="_Toc54643704_Копия_1"/>
      <w:r>
        <w:rPr>
          <w:rFonts w:eastAsia="Times New Roman" w:cs="Times New Roman" w:ascii="Times New Roman" w:hAnsi="Times New Roman"/>
          <w:bCs/>
          <w:sz w:val="24"/>
          <w:szCs w:val="24"/>
          <w:lang w:eastAsia="x-none"/>
        </w:rPr>
        <w:t xml:space="preserve">Требования к срокам </w:t>
      </w:r>
      <w:bookmarkEnd w:id="40"/>
      <w:r>
        <w:rPr>
          <w:rFonts w:eastAsia="Times New Roman" w:cs="Times New Roman" w:ascii="Times New Roman" w:hAnsi="Times New Roman"/>
          <w:bCs/>
          <w:sz w:val="24"/>
          <w:szCs w:val="24"/>
          <w:lang w:eastAsia="x-none"/>
        </w:rPr>
        <w:t>оказания Услуг.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525" w:leader="none"/>
        </w:tabs>
        <w:bidi w:val="0"/>
        <w:spacing w:lineRule="auto" w:line="240" w:before="0" w:after="0"/>
        <w:ind w:left="0" w:right="0" w:hanging="0"/>
        <w:jc w:val="left"/>
        <w:outlineLvl w:val="2"/>
        <w:rPr>
          <w:rFonts w:ascii="Times New Roman" w:hAnsi="Times New Roman" w:eastAsia="Times New Roman" w:cs="Times New Roman"/>
          <w:bCs/>
          <w:sz w:val="24"/>
          <w:szCs w:val="24"/>
          <w:lang w:eastAsia="x-none"/>
        </w:rPr>
      </w:pPr>
      <w:bookmarkStart w:id="41" w:name="__RefHeading___Toc23328_2184136601"/>
      <w:bookmarkStart w:id="42" w:name="_Toc54643705_Копия_1"/>
      <w:bookmarkStart w:id="43" w:name="_Toc51339695_Копия_1"/>
      <w:bookmarkEnd w:id="41"/>
      <w:r>
        <w:rPr>
          <w:rFonts w:eastAsia="Times New Roman" w:cs="Times New Roman" w:ascii="Times New Roman" w:hAnsi="Times New Roman"/>
          <w:bCs/>
          <w:sz w:val="24"/>
          <w:szCs w:val="24"/>
          <w:lang w:eastAsia="x-none"/>
        </w:rPr>
        <w:t xml:space="preserve">Таблица 3. </w:t>
      </w:r>
      <w:bookmarkEnd w:id="43"/>
      <w:r>
        <w:rPr>
          <w:rFonts w:eastAsia="Times New Roman" w:cs="Times New Roman" w:ascii="Times New Roman" w:hAnsi="Times New Roman"/>
          <w:bCs/>
          <w:sz w:val="24"/>
          <w:szCs w:val="24"/>
          <w:lang w:eastAsia="x-none"/>
        </w:rPr>
        <w:t xml:space="preserve">Требования к срокам </w:t>
      </w:r>
      <w:bookmarkEnd w:id="42"/>
      <w:r>
        <w:rPr>
          <w:rFonts w:eastAsia="Times New Roman" w:cs="Times New Roman" w:ascii="Times New Roman" w:hAnsi="Times New Roman"/>
          <w:bCs/>
          <w:sz w:val="24"/>
          <w:szCs w:val="24"/>
          <w:lang w:eastAsia="x-none"/>
        </w:rPr>
        <w:t>оказания Услуг.</w:t>
      </w:r>
    </w:p>
    <w:tbl>
      <w:tblPr>
        <w:tblpPr w:bottomFromText="0" w:horzAnchor="text" w:leftFromText="180" w:rightFromText="180" w:tblpX="0" w:tblpY="1" w:topFromText="0" w:vertAnchor="text"/>
        <w:tblW w:w="991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685"/>
        <w:gridCol w:w="4495"/>
        <w:gridCol w:w="1509"/>
        <w:gridCol w:w="1535"/>
        <w:gridCol w:w="1694"/>
      </w:tblGrid>
      <w:tr>
        <w:trPr>
          <w:trHeight w:val="268" w:hRule="atLeast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п/п</w:t>
            </w:r>
          </w:p>
        </w:tc>
        <w:tc>
          <w:tcPr>
            <w:tcW w:w="4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Наименование Услуг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Требования к началу срока оказания Услуг/ этапа Услуг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Требования к окончанию срока оказания Услуг/ этапа Услуг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Примечание</w:t>
            </w:r>
          </w:p>
        </w:tc>
      </w:tr>
      <w:tr>
        <w:trPr>
          <w:trHeight w:val="268" w:hRule="atLeast"/>
        </w:trPr>
        <w:tc>
          <w:tcPr>
            <w:tcW w:w="6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1</w:t>
            </w:r>
          </w:p>
        </w:tc>
        <w:tc>
          <w:tcPr>
            <w:tcW w:w="44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2</w:t>
            </w:r>
          </w:p>
        </w:tc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3</w:t>
            </w:r>
          </w:p>
        </w:tc>
        <w:tc>
          <w:tcPr>
            <w:tcW w:w="1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4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5</w:t>
            </w:r>
          </w:p>
        </w:tc>
      </w:tr>
      <w:tr>
        <w:trPr>
          <w:trHeight w:val="390" w:hRule="atLeast"/>
        </w:trPr>
        <w:tc>
          <w:tcPr>
            <w:tcW w:w="6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GB" w:eastAsia="ru-RU"/>
              </w:rPr>
              <w:t>1.1.</w:t>
            </w:r>
          </w:p>
        </w:tc>
        <w:tc>
          <w:tcPr>
            <w:tcW w:w="44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Оценка соответствия строительных конструкций зданий и сооружений объекта капитального строительства требованиям проектной документации.</w:t>
            </w:r>
          </w:p>
        </w:tc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 даты подписания договора</w:t>
            </w:r>
          </w:p>
        </w:tc>
        <w:tc>
          <w:tcPr>
            <w:tcW w:w="1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 течении 240 дней с даты заключения договора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auto" w:val="clear"/>
                <w:lang w:eastAsia="ru-RU"/>
              </w:rPr>
              <w:t>Производится периодически</w:t>
            </w:r>
          </w:p>
        </w:tc>
      </w:tr>
      <w:tr>
        <w:trPr>
          <w:trHeight w:val="390" w:hRule="atLeast"/>
        </w:trPr>
        <w:tc>
          <w:tcPr>
            <w:tcW w:w="6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GB" w:eastAsia="ru-RU"/>
              </w:rPr>
              <w:t>1.2.</w:t>
            </w:r>
          </w:p>
        </w:tc>
        <w:tc>
          <w:tcPr>
            <w:tcW w:w="44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Оценка положения строительных конструкций, не скрытых последующими работами (геодезический контроль) требованиям проектной (рабочей) документации.</w:t>
            </w:r>
          </w:p>
        </w:tc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 даты подписания договора</w:t>
            </w:r>
          </w:p>
        </w:tc>
        <w:tc>
          <w:tcPr>
            <w:tcW w:w="1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 течении 240 дней с даты заключения договора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auto" w:val="clear"/>
                <w:lang w:eastAsia="ru-RU"/>
              </w:rPr>
              <w:t>Производится периодически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</w:tr>
      <w:tr>
        <w:trPr>
          <w:trHeight w:val="390" w:hRule="atLeast"/>
        </w:trPr>
        <w:tc>
          <w:tcPr>
            <w:tcW w:w="6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GB" w:eastAsia="ru-RU"/>
              </w:rPr>
              <w:t>1.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GB" w:eastAsia="ru-RU"/>
              </w:rPr>
              <w:t>.</w:t>
            </w:r>
          </w:p>
        </w:tc>
        <w:tc>
          <w:tcPr>
            <w:tcW w:w="44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Проверка наличия документов, удостоверяющих качество используемых на строительстве конструкций, изделий и материалов (технических паспортов, сертификатов, результатов лабораторных испытаний).</w:t>
            </w:r>
          </w:p>
        </w:tc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 даты подписания договора</w:t>
            </w:r>
          </w:p>
        </w:tc>
        <w:tc>
          <w:tcPr>
            <w:tcW w:w="1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 течении 240 дней с даты заключения договора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>
        <w:trPr>
          <w:trHeight w:val="390" w:hRule="atLeast"/>
        </w:trPr>
        <w:tc>
          <w:tcPr>
            <w:tcW w:w="6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GB" w:eastAsia="ru-RU"/>
              </w:rPr>
              <w:t>1.4.</w:t>
            </w:r>
          </w:p>
        </w:tc>
        <w:tc>
          <w:tcPr>
            <w:tcW w:w="44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Разработка Технического (экспертного) заключения по результатам обследования зданий (сооружений) и его предоставление Заказчику</w:t>
            </w:r>
          </w:p>
        </w:tc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За 14 дней до даты завершения договора</w:t>
            </w:r>
          </w:p>
        </w:tc>
        <w:tc>
          <w:tcPr>
            <w:tcW w:w="1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Дата получения Программы проверок РТН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Next w:val="true"/>
        <w:widowControl/>
        <w:numPr>
          <w:ilvl w:val="0"/>
          <w:numId w:val="0"/>
        </w:numPr>
        <w:tabs>
          <w:tab w:val="clear" w:pos="708"/>
          <w:tab w:val="left" w:pos="525" w:leader="none"/>
        </w:tabs>
        <w:bidi w:val="0"/>
        <w:spacing w:lineRule="auto" w:line="240" w:before="0" w:after="0"/>
        <w:ind w:left="0" w:right="0" w:hanging="0"/>
        <w:jc w:val="left"/>
        <w:outlineLvl w:val="3"/>
        <w:rPr>
          <w:b/>
          <w:bCs/>
        </w:rPr>
      </w:pPr>
      <w:bookmarkStart w:id="44" w:name="__RefHeading___Toc23330_2184136601"/>
      <w:bookmarkEnd w:id="44"/>
      <w:r>
        <w:rPr>
          <w:rFonts w:eastAsia="Times New Roman" w:cs="Times New Roman" w:ascii="Times New Roman" w:hAnsi="Times New Roman"/>
          <w:b/>
          <w:bCs/>
          <w:iCs/>
          <w:sz w:val="24"/>
          <w:szCs w:val="24"/>
        </w:rPr>
        <w:t>2.2.</w:t>
        <w:tab/>
      </w:r>
      <w:bookmarkStart w:id="45" w:name="_Toc54643703_Копия_1"/>
      <w:r>
        <w:rPr>
          <w:rFonts w:eastAsia="Times New Roman" w:cs="Times New Roman" w:ascii="Times New Roman" w:hAnsi="Times New Roman"/>
          <w:b/>
          <w:bCs/>
          <w:iCs/>
          <w:sz w:val="24"/>
          <w:szCs w:val="24"/>
        </w:rPr>
        <w:t xml:space="preserve">Требования к качеству </w:t>
      </w:r>
      <w:bookmarkEnd w:id="45"/>
      <w:r>
        <w:rPr>
          <w:rFonts w:eastAsia="Times New Roman" w:cs="Times New Roman" w:ascii="Times New Roman" w:hAnsi="Times New Roman"/>
          <w:b/>
          <w:bCs/>
          <w:iCs/>
          <w:sz w:val="24"/>
          <w:szCs w:val="24"/>
        </w:rPr>
        <w:t>оказываемых Услуг.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525" w:leader="none"/>
        </w:tabs>
        <w:bidi w:val="0"/>
        <w:spacing w:lineRule="auto" w:line="240" w:before="0" w:after="0"/>
        <w:ind w:left="0" w:right="0" w:hanging="0"/>
        <w:jc w:val="left"/>
        <w:outlineLvl w:val="2"/>
        <w:rPr>
          <w:rFonts w:ascii="Times New Roman" w:hAnsi="Times New Roman"/>
          <w:sz w:val="24"/>
          <w:szCs w:val="24"/>
        </w:rPr>
      </w:pPr>
      <w:bookmarkStart w:id="46" w:name="__RefHeading___Toc23332_2184136601"/>
      <w:bookmarkStart w:id="47" w:name="_Toc51339695_Копия_2"/>
      <w:bookmarkStart w:id="48" w:name="_Toc54643705_Копия_2"/>
      <w:bookmarkEnd w:id="46"/>
      <w:r>
        <w:rPr>
          <w:rFonts w:ascii="Times New Roman" w:hAnsi="Times New Roman"/>
          <w:bCs/>
          <w:sz w:val="24"/>
          <w:szCs w:val="24"/>
          <w:lang w:eastAsia="x-none"/>
        </w:rPr>
        <w:t xml:space="preserve">Таблица 4. </w:t>
      </w:r>
      <w:bookmarkEnd w:id="47"/>
      <w:bookmarkEnd w:id="48"/>
      <w:r>
        <w:rPr>
          <w:rFonts w:ascii="Times New Roman" w:hAnsi="Times New Roman"/>
          <w:bCs/>
          <w:sz w:val="24"/>
          <w:szCs w:val="24"/>
          <w:lang w:eastAsia="x-none"/>
        </w:rPr>
        <w:t>Требования к качеству оказываемых Услуг.</w:t>
      </w:r>
    </w:p>
    <w:tbl>
      <w:tblPr>
        <w:tblpPr w:bottomFromText="0" w:horzAnchor="text" w:leftFromText="180" w:rightFromText="180" w:tblpX="0" w:tblpY="1" w:topFromText="0" w:vertAnchor="text"/>
        <w:tblW w:w="991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810"/>
        <w:gridCol w:w="6205"/>
        <w:gridCol w:w="2903"/>
      </w:tblGrid>
      <w:tr>
        <w:trPr>
          <w:trHeight w:val="268" w:hRule="atLeast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п/п</w:t>
            </w:r>
          </w:p>
        </w:tc>
        <w:tc>
          <w:tcPr>
            <w:tcW w:w="6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Наименование Услуг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Предоставление подтверждающего документа или иной способ подтверждения</w:t>
            </w:r>
          </w:p>
        </w:tc>
      </w:tr>
      <w:tr>
        <w:trPr>
          <w:trHeight w:val="268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1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2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3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val="en-GB" w:eastAsia="ru-RU"/>
              </w:rPr>
              <w:t>1.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Требования к оказанию Услуг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-//-</w:t>
            </w:r>
          </w:p>
        </w:tc>
      </w:tr>
      <w:tr>
        <w:trPr>
          <w:trHeight w:val="429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en-GB" w:eastAsia="ru-RU"/>
              </w:rPr>
              <w:t>1.1.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>Общие требования к оказанию Услуг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-//-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GB" w:eastAsia="ru-RU"/>
              </w:rPr>
              <w:t>1.1.1.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Оказать Услуги с надлежащим качеством в сроки и в объемах, определенных в Договоре и в Задании на возмездное оказание Услуг.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Качество Услуг должно соответствовать условиям Договора и действующим в отрасли нормам и правилам.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1.1.2.‍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Техническое (экспертное) заключение должно быть достаточным для принятия к рассмотрению органами РТН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GB" w:eastAsia="ru-RU"/>
              </w:rPr>
              <w:t>1.1.3.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Применяемое для проведения измерений и анализа оборудование должно иметь действующее свидетельство о поверке.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Свидетельство о поверке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>Требования к способам оказания Услуг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-//-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1.2.1.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 оказанию Услуг необходимо приступить не позднее дня заключения Договора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Требования к ответственности и гарантиям Исполнителя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-//-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Исполнитель несет ответственность за качество и своевременность оказания Услуг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Требования к документации, описывающей результаты Услуг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2.2.1.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Техническое заключение выполняется в виде отчета с приложением материалов, характеризующих оценку состояний обследуемых конструкций зданий и сооружений, соответствие их утвержденной проектной документации, а также требованиям нормативно-технической документации Российской Федерации  и быть достаточными для подтверждения в Федеральной службе по экологическому, технологическому и атомному надзору соответствия построенных зданий и сооружений требованиям утвержденной проектной документации: «Загорской ГАЭС-2 на р. Кунье (достройка)».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2.2.2.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Полный комплект отчетной документации передается Заказчику на бумажном носителе и в виде электронных документов.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Состав и оформление отчетной документации должны соответствовать нормативным требованиям Российской Федерации и быть достаточными для рассмотрения в Федеральную службу по экологическому, технологическому и атомному надзору.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Исполнитель передает Заказчику отчет: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</w:t>
              <w:tab/>
              <w:t>на бумажном носителе в 4-х (четырех) экземплярах;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Отчет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1‍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‍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</w:t>
              <w:tab/>
              <w:t>на электронном носителе в редактируемом и не редактируемом форматах в 1 экземпляре.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Требования к Подрядчику и его обязательствам, влияющим на исполнение Договора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>
          <w:trHeight w:val="390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6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Услуги должны выполняться лицом, имеющим лицензии и допуски, необходимые для выполнения аудиторских работ в проектировании и строительстве, с привлечением квалифицированных специалистов с опытом работы в аналогичных проектах.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Выписки из СРО; копии лицензий, аттестаций сотрудников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highlight w:val="none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</w:r>
    </w:p>
    <w:p>
      <w:pPr>
        <w:pStyle w:val="Heading1"/>
        <w:numPr>
          <w:ilvl w:val="0"/>
          <w:numId w:val="0"/>
        </w:numPr>
        <w:ind w:left="0" w:hanging="0"/>
        <w:jc w:val="left"/>
        <w:rPr>
          <w:highlight w:val="none"/>
          <w:shd w:fill="auto" w:val="clear"/>
        </w:rPr>
      </w:pPr>
      <w:bookmarkStart w:id="49" w:name="__RefHeading___Toc41729_2228714726"/>
      <w:bookmarkEnd w:id="49"/>
      <w:r>
        <w:rPr>
          <w:rFonts w:cs="Times New Roman" w:ascii="Times New Roman" w:hAnsi="Times New Roman"/>
          <w:kern w:val="0"/>
          <w:sz w:val="24"/>
          <w:szCs w:val="24"/>
          <w:shd w:fill="auto" w:val="clear"/>
          <w:lang w:eastAsia="en-US" w:bidi="ar-SA"/>
        </w:rPr>
        <w:t xml:space="preserve">3. </w:t>
      </w:r>
      <w:bookmarkStart w:id="50" w:name="_Toc54279844"/>
      <w:bookmarkStart w:id="51" w:name="_Toc54643469"/>
      <w:r>
        <w:rPr>
          <w:rFonts w:cs="Times New Roman" w:ascii="Times New Roman" w:hAnsi="Times New Roman"/>
          <w:kern w:val="0"/>
          <w:sz w:val="24"/>
          <w:szCs w:val="24"/>
          <w:shd w:fill="auto" w:val="clear"/>
          <w:lang w:eastAsia="en-US" w:bidi="ar-SA"/>
        </w:rPr>
        <w:t xml:space="preserve">Требования к документации по ценообразованию на этапе </w:t>
      </w:r>
      <w:bookmarkEnd w:id="50"/>
      <w:bookmarkEnd w:id="51"/>
      <w:r>
        <w:rPr>
          <w:rFonts w:cs="Times New Roman" w:ascii="Times New Roman" w:hAnsi="Times New Roman"/>
          <w:kern w:val="0"/>
          <w:sz w:val="24"/>
          <w:szCs w:val="24"/>
          <w:shd w:fill="auto" w:val="clear"/>
          <w:lang w:eastAsia="en-US" w:bidi="ar-SA"/>
        </w:rPr>
        <w:t>заключения договора.</w:t>
      </w:r>
    </w:p>
    <w:p>
      <w:pPr>
        <w:pStyle w:val="Normal"/>
        <w:widowControl/>
        <w:suppressAutoHyphens w:val="true"/>
        <w:bidi w:val="0"/>
        <w:spacing w:lineRule="auto" w:line="259" w:before="0" w:after="0"/>
        <w:ind w:left="0" w:right="0" w:firstLine="624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 w:val="24"/>
          <w:szCs w:val="24"/>
          <w:shd w:fill="auto" w:val="clear"/>
        </w:rPr>
        <w:t>3.1. Сметная документация разрабатывается до заключения договора с применением требований Приложения № 1 к настоящим ТТ «Требования к оформлению и составлению сметной документации на выполнение проектных и изыскательских работ».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kern w:val="0"/>
          <w:sz w:val="24"/>
          <w:szCs w:val="24"/>
          <w:highlight w:val="none"/>
          <w:shd w:fill="auto" w:val="clear"/>
          <w:lang w:eastAsia="en-US" w:bidi="ar-SA"/>
        </w:rPr>
      </w:pPr>
      <w:r>
        <w:rPr>
          <w:rFonts w:cs="Times New Roman" w:ascii="Times New Roman" w:hAnsi="Times New Roman"/>
          <w:b/>
          <w:kern w:val="0"/>
          <w:sz w:val="24"/>
          <w:szCs w:val="24"/>
          <w:shd w:fill="auto" w:val="clear"/>
          <w:lang w:eastAsia="en-US" w:bidi="ar-SA"/>
        </w:rPr>
      </w:r>
    </w:p>
    <w:p>
      <w:pPr>
        <w:pStyle w:val="ListParagraph"/>
        <w:spacing w:before="0" w:after="0"/>
        <w:ind w:left="284" w:right="112" w:hanging="284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b/>
          <w:sz w:val="24"/>
          <w:szCs w:val="24"/>
          <w:shd w:fill="auto" w:val="clear"/>
        </w:rPr>
        <w:t>4.</w:t>
        <w:tab/>
        <w:t>Приложения.</w:t>
      </w:r>
    </w:p>
    <w:p>
      <w:pPr>
        <w:pStyle w:val="ListParagraph"/>
        <w:spacing w:before="0" w:after="0"/>
        <w:ind w:left="0" w:right="112" w:hanging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bCs/>
          <w:i w:val="false"/>
          <w:iCs w:val="false"/>
          <w:sz w:val="24"/>
          <w:szCs w:val="24"/>
          <w:shd w:fill="auto" w:val="clear"/>
        </w:rPr>
        <w:t>Приложение № 1: Требования к оформлению и составлению сметной документации на выполнение проектных и изыскательских работ.</w:t>
      </w:r>
    </w:p>
    <w:p>
      <w:pPr>
        <w:pStyle w:val="ListParagraph"/>
        <w:ind w:left="0" w:right="112" w:hanging="0"/>
        <w:jc w:val="both"/>
        <w:rPr>
          <w:rFonts w:ascii="Times New Roman" w:hAnsi="Times New Roman" w:cs="Times New Roman"/>
          <w:b w:val="false"/>
          <w:bCs w:val="false"/>
          <w:kern w:val="0"/>
          <w:sz w:val="24"/>
          <w:szCs w:val="24"/>
          <w:highlight w:val="none"/>
          <w:shd w:fill="auto" w:val="clear"/>
          <w:lang w:eastAsia="en-US" w:bidi="ar-SA"/>
        </w:rPr>
      </w:pPr>
      <w:r>
        <w:rPr>
          <w:rFonts w:cs="Times New Roman" w:ascii="Times New Roman" w:hAnsi="Times New Roman"/>
          <w:b w:val="false"/>
          <w:bCs w:val="false"/>
          <w:kern w:val="0"/>
          <w:sz w:val="24"/>
          <w:szCs w:val="24"/>
          <w:shd w:fill="auto" w:val="clear"/>
          <w:lang w:eastAsia="en-US" w:bidi="ar-SA"/>
        </w:rPr>
      </w:r>
    </w:p>
    <w:p>
      <w:pPr>
        <w:pStyle w:val="ListParagraph"/>
        <w:spacing w:lineRule="auto" w:line="360"/>
        <w:ind w:left="0" w:right="112" w:hanging="0"/>
        <w:jc w:val="both"/>
        <w:rPr>
          <w:rFonts w:ascii="Times New Roman" w:hAnsi="Times New Roman" w:cs="Times New Roman"/>
          <w:b w:val="false"/>
          <w:bCs w:val="false"/>
          <w:kern w:val="0"/>
          <w:sz w:val="24"/>
          <w:szCs w:val="24"/>
          <w:lang w:eastAsia="en-US" w:bidi="ar-SA"/>
        </w:rPr>
      </w:pPr>
      <w:r>
        <w:rPr>
          <w:rFonts w:cs="Times New Roman" w:ascii="Times New Roman" w:hAnsi="Times New Roman"/>
          <w:b w:val="false"/>
          <w:bCs w:val="false"/>
          <w:kern w:val="0"/>
          <w:sz w:val="24"/>
          <w:szCs w:val="24"/>
          <w:lang w:eastAsia="en-US" w:bidi="ar-SA"/>
        </w:rPr>
      </w:r>
    </w:p>
    <w:p>
      <w:pPr>
        <w:pStyle w:val="ListParagraph"/>
        <w:spacing w:lineRule="auto" w:line="360"/>
        <w:ind w:left="0" w:right="112" w:hanging="0"/>
        <w:jc w:val="both"/>
        <w:rPr>
          <w:rFonts w:ascii="Times New Roman" w:hAnsi="Times New Roman" w:cs="Times New Roman"/>
          <w:b w:val="false"/>
          <w:bCs w:val="false"/>
          <w:kern w:val="0"/>
          <w:sz w:val="24"/>
          <w:szCs w:val="24"/>
          <w:lang w:eastAsia="en-US" w:bidi="ar-SA"/>
        </w:rPr>
      </w:pPr>
      <w:r>
        <w:rPr>
          <w:rFonts w:cs="Times New Roman" w:ascii="Times New Roman" w:hAnsi="Times New Roman"/>
          <w:b w:val="false"/>
          <w:bCs w:val="false"/>
          <w:kern w:val="0"/>
          <w:sz w:val="24"/>
          <w:szCs w:val="24"/>
          <w:lang w:eastAsia="en-US" w:bidi="ar-SA"/>
        </w:rPr>
      </w:r>
    </w:p>
    <w:p>
      <w:pPr>
        <w:pStyle w:val="ListParagraph"/>
        <w:ind w:left="0" w:right="112" w:hanging="0"/>
        <w:jc w:val="both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  <w:r>
        <w:br w:type="page"/>
      </w:r>
    </w:p>
    <w:p>
      <w:pPr>
        <w:pStyle w:val="ListParagraph"/>
        <w:ind w:left="0" w:right="112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Приложение № 1</w:t>
      </w:r>
    </w:p>
    <w:p>
      <w:pPr>
        <w:pStyle w:val="Normal"/>
        <w:shd w:val="clear" w:fill="FFFFFF"/>
        <w:tabs>
          <w:tab w:val="clear" w:pos="708"/>
          <w:tab w:val="left" w:pos="900" w:leader="none"/>
        </w:tabs>
        <w:spacing w:lineRule="auto" w:line="240" w:before="0" w:after="0"/>
        <w:ind w:left="0" w:right="0" w:firstLine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к Техническим требованиям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оформлению и составлению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bookmarkStart w:id="52" w:name="_GoBack2"/>
      <w:r>
        <w:rPr>
          <w:rFonts w:ascii="Times New Roman" w:hAnsi="Times New Roman"/>
          <w:b/>
          <w:sz w:val="24"/>
          <w:szCs w:val="24"/>
        </w:rPr>
        <w:t>сметной документации на выполнение проектных и изыскательских работ.</w:t>
      </w:r>
      <w:bookmarkEnd w:id="52"/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ConsPlusNormal"/>
        <w:widowControl w:val="false"/>
        <w:numPr>
          <w:ilvl w:val="0"/>
          <w:numId w:val="0"/>
        </w:numPr>
        <w:tabs>
          <w:tab w:val="clear" w:pos="708"/>
          <w:tab w:val="left" w:pos="333" w:leader="none"/>
        </w:tabs>
        <w:suppressAutoHyphens w:val="true"/>
        <w:bidi w:val="0"/>
        <w:spacing w:before="0" w:after="0"/>
        <w:ind w:left="283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Настоящие требования разработаны для единого подхода к определению стоимости проектных и изыскательских работ (далее - ПИР).</w:t>
      </w:r>
    </w:p>
    <w:p>
      <w:pPr>
        <w:pStyle w:val="ConsPlusNormal"/>
        <w:numPr>
          <w:ilvl w:val="0"/>
          <w:numId w:val="0"/>
        </w:numPr>
        <w:tabs>
          <w:tab w:val="clear" w:pos="708"/>
          <w:tab w:val="left" w:pos="284" w:leader="none"/>
        </w:tabs>
        <w:ind w:left="284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Затраты на проведение инженерных изысканий, подготовку проектной и рабочей документации определяются расчетами на основании сметных нормативов, сведения о которых включены в ФРСН.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284" w:leader="none"/>
        </w:tabs>
        <w:spacing w:lineRule="auto" w:line="240" w:before="0" w:after="0"/>
        <w:ind w:left="284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Сметы на ПИР составлять на основании технических требований (технического задания) заказчика, графиков производства работ, программы изысканий.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284" w:leader="none"/>
        </w:tabs>
        <w:spacing w:lineRule="auto" w:line="240" w:before="0" w:after="0"/>
        <w:ind w:left="284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Сметный расчет стоимости изыскательских работ составляется в соответствии с прилагаемой к сметному расчету программой изысканий. Программа изысканий составляется исполнителем на основе технического задания заказчика с учетом требований соответствующих нормативных документов, регламентирующих состав и объем изыскательских работ. По окончании изысканий составляется сметный расчет – исполнительная смета (необходимо предусмотреть условиями договора) на основе технического отчета по результатам изысканий в соответствии с составом и объемами фактически выполненных работ с учетом категории сложности их выполнения.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284" w:leader="none"/>
        </w:tabs>
        <w:spacing w:lineRule="auto" w:line="240" w:before="0" w:after="0"/>
        <w:ind w:left="284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Стоимость проектных работ на строительство, реконструкцию и техническое перевооружение объектов производственного назначения определяется на основе Справочников базовых цен на соответствующие работы, входящих в ФРСН, «Методических указаний по применению Справочников базовых цен на проектные работы в строительстве», утвержденных Приказом Министерства регионального развития РФ от 29.12.2009 № 620 (далее-МУ) или иных актуальных методических указаний. 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284" w:leader="none"/>
        </w:tabs>
        <w:spacing w:lineRule="auto" w:line="240" w:before="0" w:after="0"/>
        <w:ind w:left="284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Стоимость изыскательских работ определять на основе «Методического пособия по определению стоимости инженерных изысканий для строительства», утвержденного письмом Госстроя России от 31.03.2004 № НЗ-2078/10 и внесенного в ФРСН нормативов или иного актуального документа.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284" w:leader="none"/>
        </w:tabs>
        <w:spacing w:lineRule="auto" w:line="240" w:before="0" w:after="0"/>
        <w:ind w:left="284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При определении стоимости изыскательских работ </w:t>
      </w:r>
      <w:r>
        <w:rPr>
          <w:rFonts w:ascii="Times New Roman" w:hAnsi="Times New Roman"/>
          <w:b/>
          <w:sz w:val="24"/>
          <w:szCs w:val="24"/>
        </w:rPr>
        <w:t>по согласованию с Заказчиком</w:t>
      </w:r>
      <w:r>
        <w:rPr>
          <w:rFonts w:ascii="Times New Roman" w:hAnsi="Times New Roman"/>
          <w:sz w:val="24"/>
          <w:szCs w:val="24"/>
        </w:rPr>
        <w:t xml:space="preserve"> возможно применять следующие коэффициенты в соответствии с письмом ПАО «ПНИИИС» от 03.04.2014 №11/298: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567" w:leader="none"/>
        </w:tabs>
        <w:spacing w:lineRule="auto" w:line="240" w:before="0" w:after="0"/>
        <w:ind w:left="567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- 1,75 – «выполнение картографических работ с составлением планов (продольных профилей) в двух видах: на магнитном и бумажном носителях» (п. 15 е Общих указаний) - при наличии в технических требованиях указания о необходимости составления инженерно-топографических планов (продольных профилей) в двух видах (в электронном виде и на планшете на жесткой основе), либо при выявлении данных требований в процессе выполнения изысканий;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567" w:leader="none"/>
        </w:tabs>
        <w:spacing w:lineRule="auto" w:line="240" w:before="0" w:after="0"/>
        <w:ind w:left="567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- 1,2 – «выполнение камеральных и картографических работ с применением компьютерных технологий» (п. 15 д Общих указаний) – применяется при условии, что топографические планы выполняются только в электронном виде (распечатка является вариантом электронной версии);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567" w:leader="none"/>
        </w:tabs>
        <w:spacing w:lineRule="auto" w:line="240" w:before="0" w:after="0"/>
        <w:ind w:left="567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- 1,15 – «при выполнении полевых работ на территориях гидроэлектростанций» (п. 8 в Общих указаний) – на всех гидроэлектростанциях, кроме станций Северного Кавказа и Амурской области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284" w:leader="none"/>
          <w:tab w:val="left" w:pos="993" w:leader="none"/>
        </w:tabs>
        <w:spacing w:lineRule="auto" w:line="240" w:before="0" w:after="0"/>
        <w:ind w:left="284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Применение расценки, предусмотренной § 4 таблицы 73 «Изготовление копии профиля на кальке с оригинала, вычерченного в карандаше» обоснованно, если такой вид работ в действительности выполнялся (был предусмотрен заданием и/или программой работ).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284" w:leader="none"/>
          <w:tab w:val="left" w:pos="993" w:leader="none"/>
        </w:tabs>
        <w:spacing w:lineRule="auto" w:line="240" w:before="0" w:after="0"/>
        <w:ind w:left="284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При определении стоимости ПИР в сметных расчетах указывать полное наименование нормативного документа, на основании, которого составляется сметная документация с указанием всех реквизитов документа.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284" w:leader="none"/>
          <w:tab w:val="left" w:pos="993" w:leader="none"/>
        </w:tabs>
        <w:spacing w:lineRule="auto" w:line="240" w:before="0" w:after="0"/>
        <w:ind w:left="284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При использовании в сметах коэффициентов (доплат, процентов и т.д.) в графе «Номер частей, глав, таблиц, процентов…» указывать обоснование из методических указаний, общих положений сборников или других нормативных документов и приложений к ним.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284" w:leader="none"/>
          <w:tab w:val="left" w:pos="993" w:leader="none"/>
        </w:tabs>
        <w:spacing w:lineRule="auto" w:line="240" w:before="0" w:after="0"/>
        <w:ind w:left="284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Проектная документация отдельных этапов строительства, реконструкции и различных видов объектов капитального строительства должна быть выполнена в соответствии с «Положением о составе разделов проектной документации и требованиях к их содержанию», утвержденным Постановлением Правительства РФ от 16.02.2008 №87.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284" w:leader="none"/>
          <w:tab w:val="left" w:pos="993" w:leader="none"/>
        </w:tabs>
        <w:spacing w:lineRule="auto" w:line="240" w:before="0" w:after="0"/>
        <w:ind w:left="284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Пересчет сметной стоимости проектных (изыскательских) работ по состоянию на 01.01.2001г, 01.01.1995г. (1991г.) следует производить согласно индексам на указанные (проектные или изыскательские) работы, рекомендованным к применению письмом соответствующего органа исполнительной власти, уполномоченного в области сметного нормирования и ценообразования в сфере градостроительной деятельности (1 кв 2025 (ПР), Письмо Минстроя России от 01.02.2025 года № 5170-ИФ/09, прил.5).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284" w:leader="none"/>
          <w:tab w:val="left" w:pos="993" w:leader="none"/>
        </w:tabs>
        <w:spacing w:lineRule="auto" w:line="240" w:before="0" w:after="0"/>
        <w:ind w:left="284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Стоимость разработки раздела «Оценка воздействия на окружающую среду» принимается в размере не более 4% от общей стоимости проектных работ.</w:t>
      </w:r>
    </w:p>
    <w:p>
      <w:pPr>
        <w:pStyle w:val="ConsPlusNormal"/>
        <w:numPr>
          <w:ilvl w:val="0"/>
          <w:numId w:val="0"/>
        </w:numPr>
        <w:tabs>
          <w:tab w:val="clear" w:pos="708"/>
          <w:tab w:val="left" w:pos="284" w:leader="none"/>
        </w:tabs>
        <w:ind w:left="284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14. В случае отсутствия в сметных нормативах, сведения о которых включены в ФРСН, показателей и нормативов цены проектных работ, стоимость работ по подготовке проектной документации определяется в соответствии с положениями МУ, либо по нормативному акту, пришедшему на смену данному документу.</w:t>
      </w:r>
    </w:p>
    <w:p>
      <w:pPr>
        <w:pStyle w:val="ConsPlusNormal"/>
        <w:numPr>
          <w:ilvl w:val="0"/>
          <w:numId w:val="0"/>
        </w:numPr>
        <w:tabs>
          <w:tab w:val="clear" w:pos="708"/>
          <w:tab w:val="left" w:pos="284" w:leader="none"/>
        </w:tabs>
        <w:ind w:left="284" w:right="0" w:hanging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15. Стоимость работ, цены на которые отсутствуют в СБЦ и СЦ, внесенных в </w:t>
      </w:r>
      <w:r>
        <w:rPr>
          <w:rFonts w:cs="Times New Roman" w:ascii="Times New Roman" w:hAnsi="Times New Roman"/>
          <w:sz w:val="24"/>
          <w:szCs w:val="24"/>
        </w:rPr>
        <w:t>ФРСН</w:t>
      </w:r>
      <w:r>
        <w:rPr>
          <w:rFonts w:ascii="Times New Roman" w:hAnsi="Times New Roman"/>
          <w:sz w:val="24"/>
          <w:szCs w:val="24"/>
        </w:rPr>
        <w:t xml:space="preserve">, возможно определять сметным расчетом по себестоимости и сложившемуся уровню рентабельности (форма </w:t>
      </w:r>
      <w:hyperlink r:id="rId2">
        <w:r>
          <w:rPr>
            <w:rFonts w:ascii="Times New Roman" w:hAnsi="Times New Roman"/>
            <w:sz w:val="24"/>
            <w:szCs w:val="24"/>
          </w:rPr>
          <w:t>3п</w:t>
        </w:r>
      </w:hyperlink>
      <w:r>
        <w:rPr>
          <w:rFonts w:ascii="Times New Roman" w:hAnsi="Times New Roman"/>
          <w:sz w:val="24"/>
          <w:szCs w:val="24"/>
        </w:rPr>
        <w:t>) по согласованию с Заказчиком.</w:t>
      </w:r>
    </w:p>
    <w:p>
      <w:pPr>
        <w:pStyle w:val="ConsPlusNormal"/>
        <w:numPr>
          <w:ilvl w:val="0"/>
          <w:numId w:val="0"/>
        </w:numPr>
        <w:tabs>
          <w:tab w:val="clear" w:pos="708"/>
          <w:tab w:val="left" w:pos="284" w:leader="none"/>
        </w:tabs>
        <w:ind w:left="284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 Стоимость проведения государственной экспертизы проектных работ определяется согласно Постановлению Правительства РФ от 5 марта 2007 г. № 145 «О порядке организации и проведения государственной экспертизы проектной документации и результатов инженерных изысканий».</w:t>
      </w:r>
    </w:p>
    <w:p>
      <w:pPr>
        <w:pStyle w:val="ConsPlusNormal"/>
        <w:widowControl/>
        <w:numPr>
          <w:ilvl w:val="0"/>
          <w:numId w:val="0"/>
        </w:numPr>
        <w:tabs>
          <w:tab w:val="clear" w:pos="708"/>
          <w:tab w:val="left" w:pos="284" w:leader="none"/>
          <w:tab w:val="left" w:pos="993" w:leader="none"/>
        </w:tabs>
        <w:ind w:left="284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17. Сметы на ПИР предоставляются в форматах: «Excel» и «</w:t>
      </w:r>
      <w:r>
        <w:rPr>
          <w:rFonts w:cs="Times New Roman" w:ascii="Times New Roman" w:hAnsi="Times New Roman"/>
          <w:sz w:val="24"/>
          <w:szCs w:val="24"/>
          <w:lang w:val="en-US"/>
        </w:rPr>
        <w:t>pdf</w:t>
      </w:r>
      <w:r>
        <w:rPr>
          <w:rFonts w:cs="Times New Roman" w:ascii="Times New Roman" w:hAnsi="Times New Roman"/>
          <w:sz w:val="24"/>
          <w:szCs w:val="24"/>
        </w:rPr>
        <w:t>» (с подписями и печатью). Сметная документация в формате «Exce</w:t>
      </w:r>
      <w:r>
        <w:rPr>
          <w:rFonts w:cs="Times New Roman" w:ascii="Times New Roman" w:hAnsi="Times New Roman"/>
          <w:sz w:val="24"/>
          <w:szCs w:val="24"/>
          <w:lang w:val="en-US"/>
        </w:rPr>
        <w:t>l</w:t>
      </w:r>
      <w:r>
        <w:rPr>
          <w:rFonts w:cs="Times New Roman" w:ascii="Times New Roman" w:hAnsi="Times New Roman"/>
          <w:sz w:val="24"/>
          <w:szCs w:val="24"/>
        </w:rPr>
        <w:t>» должна быть представлена в одном файле с внесением ССРСС, ЛСР и других расчетов на отдельные листы (вкладки) документа.</w:t>
      </w:r>
    </w:p>
    <w:p>
      <w:pPr>
        <w:pStyle w:val="ConsPlusNormal"/>
        <w:numPr>
          <w:ilvl w:val="0"/>
          <w:numId w:val="0"/>
        </w:numPr>
        <w:tabs>
          <w:tab w:val="clear" w:pos="708"/>
          <w:tab w:val="left" w:pos="284" w:leader="none"/>
        </w:tabs>
        <w:ind w:left="284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 Результаты вычислений </w:t>
      </w:r>
      <w:r>
        <w:rPr>
          <w:rFonts w:cs="Times New Roman" w:ascii="Times New Roman" w:hAnsi="Times New Roman"/>
          <w:sz w:val="24"/>
          <w:szCs w:val="24"/>
        </w:rPr>
        <w:t xml:space="preserve">(построчные) </w:t>
      </w:r>
      <w:r>
        <w:rPr>
          <w:rFonts w:ascii="Times New Roman" w:hAnsi="Times New Roman"/>
          <w:sz w:val="24"/>
          <w:szCs w:val="24"/>
        </w:rPr>
        <w:t xml:space="preserve">и итоговые данные в </w:t>
      </w:r>
      <w:r>
        <w:rPr>
          <w:rFonts w:cs="Times New Roman" w:ascii="Times New Roman" w:hAnsi="Times New Roman"/>
          <w:sz w:val="24"/>
          <w:szCs w:val="24"/>
        </w:rPr>
        <w:t>ЛСР (ЛС), приводятся в рублях,</w:t>
      </w:r>
    </w:p>
    <w:p>
      <w:pPr>
        <w:pStyle w:val="ConsPlusNormal"/>
        <w:numPr>
          <w:ilvl w:val="0"/>
          <w:numId w:val="0"/>
        </w:numPr>
        <w:tabs>
          <w:tab w:val="clear" w:pos="708"/>
          <w:tab w:val="left" w:pos="567" w:leader="none"/>
        </w:tabs>
        <w:ind w:left="567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при базисно-индексном методе, с округлением до двух знаков после запятой (до копеек);</w:t>
      </w:r>
    </w:p>
    <w:p>
      <w:pPr>
        <w:pStyle w:val="ConsPlusNormal"/>
        <w:numPr>
          <w:ilvl w:val="0"/>
          <w:numId w:val="0"/>
        </w:numPr>
        <w:tabs>
          <w:tab w:val="clear" w:pos="708"/>
          <w:tab w:val="left" w:pos="567" w:leader="none"/>
        </w:tabs>
        <w:ind w:left="567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при ресурсно-индексном и ресурсным методах, а также сметных расчетах на отдельные виды затрат - с округлением до целых единиц;</w:t>
      </w:r>
    </w:p>
    <w:p>
      <w:pPr>
        <w:pStyle w:val="ConsPlusNormal"/>
        <w:numPr>
          <w:ilvl w:val="0"/>
          <w:numId w:val="0"/>
        </w:numPr>
        <w:tabs>
          <w:tab w:val="clear" w:pos="708"/>
          <w:tab w:val="left" w:pos="567" w:leader="none"/>
        </w:tabs>
        <w:ind w:left="567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в сводной смете - в рублях с округлением до целых единиц. </w:t>
      </w:r>
    </w:p>
    <w:p>
      <w:pPr>
        <w:pStyle w:val="ConsPlusNormal"/>
        <w:numPr>
          <w:ilvl w:val="0"/>
          <w:numId w:val="0"/>
        </w:numPr>
        <w:tabs>
          <w:tab w:val="clear" w:pos="708"/>
          <w:tab w:val="left" w:pos="284" w:leader="none"/>
        </w:tabs>
        <w:ind w:left="284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19. Командировочные расходы, учтенные в смете, подтверждаются отдельным расчетом.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Лимиты командировочных расходов при производстве ПИР: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993" w:leader="none"/>
          <w:tab w:val="left" w:pos="1080" w:leader="none"/>
        </w:tabs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-суточные - 700 руб./сутки;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993" w:leader="none"/>
          <w:tab w:val="left" w:pos="1080" w:leader="none"/>
        </w:tabs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проживание – 5000 руб./сутки;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993" w:leader="none"/>
          <w:tab w:val="left" w:pos="1080" w:leader="none"/>
        </w:tabs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проезд: поезд (купе) или самолет (класс–эконом с багажом до 20 (двадцати) кг, ручная кладь до 10 (десяти) кг).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Данные лимиты могут быть пересмотрены на этапе согласования технических требований.</w:t>
      </w:r>
    </w:p>
    <w:p>
      <w:pPr>
        <w:pStyle w:val="ConsPlusNormal"/>
        <w:numPr>
          <w:ilvl w:val="0"/>
          <w:numId w:val="0"/>
        </w:numPr>
        <w:tabs>
          <w:tab w:val="clear" w:pos="708"/>
          <w:tab w:val="left" w:pos="284" w:leader="none"/>
        </w:tabs>
        <w:ind w:left="284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20. При одновременной разработке проектной и полной или частичной разработке рабочей 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документации, суммарный процент базовой цены определяется по согласованию между Заказчиком и Подрядчиком в зависимости от архитектурных, функционально-технологических, конструктивных и инженерно-технических решений, содержащихся в проектной документации и степени их детализации.</w:t>
      </w:r>
    </w:p>
    <w:p>
      <w:pPr>
        <w:pStyle w:val="ConsPlusNormal"/>
        <w:numPr>
          <w:ilvl w:val="0"/>
          <w:numId w:val="0"/>
        </w:numPr>
        <w:tabs>
          <w:tab w:val="clear" w:pos="708"/>
          <w:tab w:val="left" w:pos="284" w:leader="none"/>
        </w:tabs>
        <w:ind w:left="284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21. Выполнение обследований и обмерных работ на объектах, подлежащих реконструкции, </w:t>
      </w:r>
    </w:p>
    <w:p>
      <w:pPr>
        <w:pStyle w:val="Normal"/>
        <w:tabs>
          <w:tab w:val="clear" w:pos="708"/>
          <w:tab w:val="left" w:pos="284" w:leader="none"/>
          <w:tab w:val="left" w:pos="993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расширению и техническому перевооружению рассчитывается по соответствующим Справочникам и относится в </w:t>
      </w:r>
      <w:r>
        <w:rPr>
          <w:rFonts w:ascii="Times New Roman" w:hAnsi="Times New Roman"/>
          <w:color w:val="000000"/>
          <w:sz w:val="24"/>
          <w:szCs w:val="24"/>
        </w:rPr>
        <w:t>главу 1 ССРСС.</w:t>
      </w:r>
      <w:r>
        <w:rPr>
          <w:rFonts w:ascii="Times New Roman" w:hAnsi="Times New Roman"/>
          <w:sz w:val="24"/>
          <w:szCs w:val="24"/>
        </w:rPr>
        <w:t xml:space="preserve"> Стоимость данных работ не включается в расчет стоимости проведения государственной экспертизы.</w:t>
      </w:r>
      <w:r>
        <w:br w:type="page"/>
      </w:r>
    </w:p>
    <w:p>
      <w:pPr>
        <w:pStyle w:val="Normal"/>
        <w:spacing w:lineRule="auto" w:line="240" w:before="0" w:after="0"/>
        <w:ind w:left="5811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1</w:t>
      </w:r>
    </w:p>
    <w:p>
      <w:pPr>
        <w:pStyle w:val="Normal"/>
        <w:spacing w:lineRule="auto" w:line="240" w:before="0" w:after="0"/>
        <w:ind w:left="5811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Требованиям к оформлению и составлению сметной документации на выполнение проектных и изыскательских работ</w:t>
      </w:r>
    </w:p>
    <w:p>
      <w:pPr>
        <w:pStyle w:val="Normal"/>
        <w:spacing w:lineRule="auto" w:line="240" w:before="0" w:after="0"/>
        <w:ind w:left="5811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ПОЯСНИТЕЛЬНАЯ ЗАПИСКА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по заполнению формы №3п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при составлении смет на ПИР.</w:t>
      </w:r>
    </w:p>
    <w:p>
      <w:pPr>
        <w:pStyle w:val="Normal"/>
        <w:spacing w:lineRule="auto" w:line="240" w:before="0" w:after="0"/>
        <w:ind w:left="5811" w:hanging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134" w:leader="none"/>
        </w:tabs>
        <w:spacing w:lineRule="auto" w:line="240"/>
        <w:ind w:left="0" w:right="0" w:hanging="0"/>
        <w:jc w:val="both"/>
        <w:rPr>
          <w:rFonts w:ascii="Times New Roman" w:hAnsi="Times New Roman"/>
          <w:sz w:val="24"/>
          <w:szCs w:val="24"/>
        </w:rPr>
      </w:pPr>
      <w:bookmarkStart w:id="53" w:name="RANGE!A1%2525252525252525252525252525252"/>
      <w:bookmarkEnd w:id="53"/>
      <w:r>
        <w:rPr>
          <w:rFonts w:ascii="Times New Roman" w:hAnsi="Times New Roman"/>
          <w:color w:val="000000"/>
          <w:sz w:val="24"/>
          <w:szCs w:val="24"/>
        </w:rPr>
        <w:t>1. При составлении калькуляции затрат (форма №3п), разработанным организацией, выполняющей ПИР, Заказчику предоставляется обоснование расчета. Сметные расчеты составляются в ценах текущего периода.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134" w:leader="none"/>
        </w:tabs>
        <w:spacing w:lineRule="auto" w:line="24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 Калькуляцией затрат (форма №3п) рекомендуется определять стоимость работ, цены на которые отсутствуют в МНЗ и СБЦ, внесенных в ФРСН.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134" w:leader="none"/>
        </w:tabs>
        <w:spacing w:lineRule="auto" w:line="240" w:before="240" w:after="0"/>
        <w:ind w:left="0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 Стоимость работ и расходов в соответствии с калькуляцией затрат определяется согласно положениям Методики №707 с учетом следующего:</w:t>
      </w:r>
    </w:p>
    <w:p>
      <w:pPr>
        <w:pStyle w:val="ConsPlusNormal"/>
        <w:numPr>
          <w:ilvl w:val="0"/>
          <w:numId w:val="0"/>
        </w:numPr>
        <w:tabs>
          <w:tab w:val="clear" w:pos="708"/>
          <w:tab w:val="left" w:pos="1134" w:leader="none"/>
        </w:tabs>
        <w:spacing w:before="240" w:after="20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 Стоимость проектных работ и расходов (</w:t>
      </w:r>
      <w:r>
        <w:rPr/>
      </w:r>
      <m:oMath xmlns:m="http://schemas.openxmlformats.org/officeDocument/2006/math">
        <m:r>
          <m:rPr>
            <m:lit/>
            <m:nor/>
          </m:rPr>
          <w:rPr>
            <w:rFonts w:ascii="Cambria Math" w:hAnsi="Cambria Math"/>
          </w:rPr>
          <m:t xml:space="preserve">Спр</m:t>
        </m:r>
      </m:oMath>
      <w:r>
        <w:rPr>
          <w:rFonts w:cs="Times New Roman" w:ascii="Times New Roman" w:hAnsi="Times New Roman"/>
          <w:sz w:val="24"/>
          <w:szCs w:val="24"/>
        </w:rPr>
        <w:t>) в соответствии с калькуляцией затрат определяется по формуле:</w:t>
      </w:r>
    </w:p>
    <w:p>
      <w:pPr>
        <w:pStyle w:val="ConsPlusNormal"/>
        <w:tabs>
          <w:tab w:val="clear" w:pos="708"/>
          <w:tab w:val="left" w:pos="0" w:leader="none"/>
          <w:tab w:val="left" w:pos="1134" w:leader="none"/>
        </w:tabs>
        <w:ind w:hanging="0"/>
        <w:jc w:val="center"/>
        <w:rPr>
          <w:rFonts w:ascii="Times New Roman" w:hAnsi="Times New Roman" w:cs="Times New Roman"/>
          <w:i/>
          <w:i/>
          <w:sz w:val="22"/>
          <w:szCs w:val="22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sSub>
            <m:e>
              <m:r>
                <w:rPr>
                  <w:rFonts w:ascii="Cambria Math" w:hAnsi="Cambria Math"/>
                </w:rPr>
                <m:t xml:space="preserve">С</m:t>
              </m:r>
            </m:e>
            <m:sub>
              <m:r>
                <w:rPr>
                  <w:rFonts w:ascii="Cambria Math" w:hAnsi="Cambria Math"/>
                </w:rPr>
                <m:t xml:space="preserve">пр</m:t>
              </m:r>
            </m:sub>
          </m:sSub>
          <m:r>
            <w:rPr>
              <w:rFonts w:ascii="Cambria Math" w:hAnsi="Cambria Math"/>
            </w:rPr>
            <m:t xml:space="preserve">=</m:t>
          </m:r>
          <m:sSub>
            <m:e>
              <m:r>
                <w:rPr>
                  <w:rFonts w:ascii="Cambria Math" w:hAnsi="Cambria Math"/>
                </w:rPr>
                <m:t xml:space="preserve">В</m:t>
              </m:r>
            </m:e>
            <m:sub>
              <m:r>
                <w:rPr>
                  <w:rFonts w:ascii="Cambria Math" w:hAnsi="Cambria Math"/>
                </w:rPr>
                <m:t xml:space="preserve">ср</m:t>
              </m:r>
            </m:sub>
          </m:sSub>
          <m:r>
            <w:rPr>
              <w:rFonts w:ascii="Cambria Math" w:hAnsi="Cambria Math"/>
            </w:rPr>
            <m:t xml:space="preserve">×</m:t>
          </m:r>
          <m:sSub>
            <m:e>
              <m:r>
                <w:rPr>
                  <w:rFonts w:ascii="Cambria Math" w:hAnsi="Cambria Math"/>
                </w:rPr>
                <m:t xml:space="preserve">Т</m:t>
              </m:r>
            </m:e>
            <m:sub>
              <m:r>
                <w:rPr>
                  <w:rFonts w:ascii="Cambria Math" w:hAnsi="Cambria Math"/>
                </w:rPr>
                <m:t xml:space="preserve">п</m:t>
              </m:r>
            </m:sub>
          </m:sSub>
          <m:r>
            <w:rPr>
              <w:rFonts w:ascii="Cambria Math" w:hAnsi="Cambria Math"/>
            </w:rPr>
            <m:t xml:space="preserve">×</m:t>
          </m:r>
          <m:sSub>
            <m:e>
              <m:r>
                <w:rPr>
                  <w:rFonts w:ascii="Cambria Math" w:hAnsi="Cambria Math"/>
                </w:rPr>
                <m:t xml:space="preserve">Ч</m:t>
              </m:r>
            </m:e>
            <m:sub>
              <m:r>
                <w:rPr>
                  <w:rFonts w:ascii="Cambria Math" w:hAnsi="Cambria Math"/>
                </w:rPr>
                <m:t xml:space="preserve">общ</m:t>
              </m:r>
            </m:sub>
          </m:sSub>
          <m:r>
            <w:rPr>
              <w:rFonts w:ascii="Cambria Math" w:hAnsi="Cambria Math"/>
            </w:rPr>
            <m:t xml:space="preserve">×</m:t>
          </m:r>
          <m:sSub>
            <m:e>
              <m:r>
                <w:rPr>
                  <w:rFonts w:ascii="Cambria Math" w:hAnsi="Cambria Math"/>
                </w:rPr>
                <m:t xml:space="preserve">К</m:t>
              </m:r>
            </m:e>
            <m:sub>
              <m:r>
                <w:rPr>
                  <w:rFonts w:ascii="Cambria Math" w:hAnsi="Cambria Math"/>
                </w:rPr>
                <m:t xml:space="preserve">кв</m:t>
              </m:r>
              <m:r>
                <w:rPr>
                  <w:rFonts w:ascii="Cambria Math" w:hAnsi="Cambria Math"/>
                </w:rPr>
                <m:t xml:space="preserve">−</m:t>
              </m:r>
              <m:r>
                <w:rPr>
                  <w:rFonts w:ascii="Cambria Math" w:hAnsi="Cambria Math"/>
                </w:rPr>
                <m:t xml:space="preserve">уч</m:t>
              </m:r>
            </m:sub>
          </m:sSub>
        </m:oMath>
      </m:oMathPara>
    </w:p>
    <w:p>
      <w:pPr>
        <w:pStyle w:val="ConsPlusNormal"/>
        <w:tabs>
          <w:tab w:val="clear" w:pos="708"/>
          <w:tab w:val="left" w:pos="1134" w:leader="none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где:</w:t>
      </w:r>
    </w:p>
    <w:p>
      <w:pPr>
        <w:pStyle w:val="ConsPlusNormal"/>
        <w:tabs>
          <w:tab w:val="clear" w:pos="708"/>
          <w:tab w:val="left" w:pos="1134" w:leader="none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/>
      </w:r>
      <m:oMath xmlns:m="http://schemas.openxmlformats.org/officeDocument/2006/math">
        <m:r>
          <m:rPr>
            <m:lit/>
            <m:nor/>
          </m:rPr>
          <w:rPr>
            <w:rFonts w:ascii="Cambria Math" w:hAnsi="Cambria Math"/>
          </w:rPr>
          <m:t xml:space="preserve">Спр</m:t>
        </m:r>
      </m:oMath>
      <w:r>
        <w:rPr>
          <w:rFonts w:cs="Times New Roman" w:ascii="Times New Roman" w:hAnsi="Times New Roman"/>
          <w:sz w:val="24"/>
          <w:szCs w:val="24"/>
          <w:vertAlign w:val="subscript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стоимость проектных работ, определенная в соответствии с калькуляцией затрат, рублей;</w:t>
      </w:r>
    </w:p>
    <w:p>
      <w:pPr>
        <w:pStyle w:val="ConsPlusNormal"/>
        <w:tabs>
          <w:tab w:val="clear" w:pos="708"/>
          <w:tab w:val="left" w:pos="1134" w:leader="none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/>
      </w:r>
      <m:oMath xmlns:m="http://schemas.openxmlformats.org/officeDocument/2006/math">
        <m:r>
          <m:rPr>
            <m:lit/>
            <m:nor/>
          </m:rPr>
          <w:rPr>
            <w:rFonts w:ascii="Cambria Math" w:hAnsi="Cambria Math"/>
          </w:rPr>
          <m:t xml:space="preserve">Вср</m:t>
        </m:r>
      </m:oMath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среднедневная выработка одного непосредственного исполнителя, рублей;</w:t>
      </w:r>
    </w:p>
    <w:p>
      <w:pPr>
        <w:pStyle w:val="ConsPlusNormal"/>
        <w:tabs>
          <w:tab w:val="clear" w:pos="708"/>
          <w:tab w:val="left" w:pos="1134" w:leader="none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/>
      </w:r>
      <m:oMath xmlns:m="http://schemas.openxmlformats.org/officeDocument/2006/math">
        <m:r>
          <m:rPr>
            <m:lit/>
            <m:nor/>
          </m:rPr>
          <w:rPr>
            <w:rFonts w:ascii="Cambria Math" w:hAnsi="Cambria Math"/>
          </w:rPr>
          <m:t xml:space="preserve">Тп</m:t>
        </m:r>
      </m:oMath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плановая продолжительность выполнения проектных работ, предусмотренных калькуляцией затрат, дни;</w:t>
      </w:r>
    </w:p>
    <w:p>
      <w:pPr>
        <w:pStyle w:val="ConsPlusNormal"/>
        <w:tabs>
          <w:tab w:val="clear" w:pos="708"/>
          <w:tab w:val="left" w:pos="1134" w:leader="none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/>
      </w:r>
      <m:oMath xmlns:m="http://schemas.openxmlformats.org/officeDocument/2006/math">
        <m:r>
          <m:rPr>
            <m:lit/>
            <m:nor/>
          </m:rPr>
          <w:rPr>
            <w:rFonts w:ascii="Cambria Math" w:hAnsi="Cambria Math"/>
          </w:rPr>
          <m:t xml:space="preserve">Чобщ</m:t>
        </m:r>
      </m:oMath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общая численность непосредственных исполнителей-проектировщиков, занятых в выполнении проектных работ, предусмотренных калькуляцией затрат, чел.;</w:t>
      </w:r>
    </w:p>
    <w:p>
      <w:pPr>
        <w:pStyle w:val="ConsPlusNormal"/>
        <w:tabs>
          <w:tab w:val="clear" w:pos="708"/>
          <w:tab w:val="left" w:pos="1134" w:leader="none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/>
      </w:r>
      <m:oMath xmlns:m="http://schemas.openxmlformats.org/officeDocument/2006/math">
        <m:r>
          <m:rPr>
            <m:lit/>
            <m:nor/>
          </m:rPr>
          <w:rPr>
            <w:rFonts w:ascii="Cambria Math" w:hAnsi="Cambria Math"/>
          </w:rPr>
          <m:t xml:space="preserve">Ккв-уч</m:t>
        </m:r>
      </m:oMath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корректирующий коэффициент, учитывающий степень участия исполнителей различной квалификации в выполнении проектных работ, предусмотренных калькуляцией затрат (далее - коэффициент квалификации-участия);</w:t>
      </w:r>
    </w:p>
    <w:p>
      <w:pPr>
        <w:pStyle w:val="ConsPlusNormal"/>
        <w:numPr>
          <w:ilvl w:val="0"/>
          <w:numId w:val="0"/>
        </w:numPr>
        <w:tabs>
          <w:tab w:val="clear" w:pos="708"/>
          <w:tab w:val="left" w:pos="1134" w:leader="none"/>
        </w:tabs>
        <w:spacing w:before="240" w:after="20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среднедневная выработка (</w:t>
      </w: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В</m:t>
        </m:r>
        <m:r>
          <m:rPr>
            <m:lit/>
            <m:nor/>
          </m:rPr>
          <w:rPr>
            <w:rFonts w:ascii="Cambria Math" w:hAnsi="Cambria Math"/>
          </w:rPr>
          <m:t xml:space="preserve">ср</m:t>
        </m:r>
      </m:oMath>
      <w:r>
        <w:rPr>
          <w:rFonts w:cs="Times New Roman" w:ascii="Times New Roman" w:hAnsi="Times New Roman"/>
          <w:sz w:val="24"/>
          <w:szCs w:val="24"/>
        </w:rPr>
        <w:t>) определяется по формуле:</w:t>
      </w:r>
    </w:p>
    <w:p>
      <w:pPr>
        <w:pStyle w:val="ConsPlusNormal"/>
        <w:tabs>
          <w:tab w:val="clear" w:pos="708"/>
          <w:tab w:val="left" w:pos="1134" w:leader="none"/>
        </w:tabs>
        <w:ind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tabs>
          <w:tab w:val="clear" w:pos="708"/>
          <w:tab w:val="left" w:pos="0" w:leader="none"/>
          <w:tab w:val="left" w:pos="1134" w:leader="none"/>
        </w:tabs>
        <w:ind w:hanging="0"/>
        <w:jc w:val="center"/>
        <w:rPr>
          <w:rFonts w:ascii="Times New Roman" w:hAnsi="Times New Roman"/>
          <w:sz w:val="24"/>
          <w:szCs w:val="24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sSub>
            <m:e>
              <m:r>
                <w:rPr>
                  <w:rFonts w:ascii="Cambria Math" w:hAnsi="Cambria Math"/>
                </w:rPr>
                <m:t xml:space="preserve">В</m:t>
              </m:r>
            </m:e>
            <m:sub>
              <m:r>
                <w:rPr>
                  <w:rFonts w:ascii="Cambria Math" w:hAnsi="Cambria Math"/>
                </w:rPr>
                <m:t xml:space="preserve">ср</m:t>
              </m:r>
            </m:sub>
          </m:sSub>
          <m:r>
            <w:rPr>
              <w:rFonts w:ascii="Cambria Math" w:hAnsi="Cambria Math"/>
            </w:rPr>
            <m:t xml:space="preserve">=</m:t>
          </m:r>
          <m:f>
            <m:num>
              <m:sSub>
                <m:e>
                  <m:r>
                    <w:rPr>
                      <w:rFonts w:ascii="Cambria Math" w:hAnsi="Cambria Math"/>
                    </w:rPr>
                    <m:t xml:space="preserve">ЗП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ср</m:t>
                  </m:r>
                </m:sub>
              </m:sSub>
              <m:r>
                <w:rPr>
                  <w:rFonts w:ascii="Cambria Math" w:hAnsi="Cambria Math"/>
                </w:rPr>
                <m:t xml:space="preserve">×</m:t>
              </m:r>
              <m:d>
                <m:dPr>
                  <m:begChr m:val="("/>
                  <m:endChr m:val=")"/>
                </m:dP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Р</m:t>
                  </m:r>
                </m:e>
              </m:d>
            </m:num>
            <m:den>
              <m:sSub>
                <m:e>
                  <m:r>
                    <w:rPr>
                      <w:rFonts w:ascii="Cambria Math" w:hAnsi="Cambria Math"/>
                    </w:rPr>
                    <m:t xml:space="preserve">К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з</m:t>
                  </m:r>
                </m:sub>
              </m:sSub>
            </m:den>
          </m:f>
        </m:oMath>
      </m:oMathPara>
    </w:p>
    <w:p>
      <w:pPr>
        <w:pStyle w:val="ConsPlusNormal"/>
        <w:tabs>
          <w:tab w:val="clear" w:pos="708"/>
          <w:tab w:val="left" w:pos="1134" w:leader="none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где:</w:t>
      </w:r>
    </w:p>
    <w:p>
      <w:pPr>
        <w:pStyle w:val="ConsPlusNormal"/>
        <w:tabs>
          <w:tab w:val="clear" w:pos="708"/>
          <w:tab w:val="left" w:pos="1134" w:leader="none"/>
        </w:tabs>
        <w:ind w:firstLine="567"/>
        <w:jc w:val="both"/>
        <w:rPr/>
      </w:pP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Р</m:t>
        </m:r>
      </m:oMath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- коэффициент уровня рентабельности (сметной прибыли), принимается Р = 0,1 (1%) согласно </w:t>
      </w:r>
      <w:hyperlink w:anchor="P1643">
        <w:r>
          <w:rPr>
            <w:rStyle w:val="Hyperlink"/>
            <w:rFonts w:cs="Times New Roman" w:ascii="Times New Roman" w:hAnsi="Times New Roman"/>
            <w:sz w:val="24"/>
            <w:szCs w:val="24"/>
          </w:rPr>
          <w:t>таблице 1.2</w:t>
        </w:r>
      </w:hyperlink>
      <w:r>
        <w:rPr>
          <w:rFonts w:cs="Times New Roman" w:ascii="Times New Roman" w:hAnsi="Times New Roman"/>
          <w:sz w:val="24"/>
          <w:szCs w:val="24"/>
        </w:rPr>
        <w:t>, приведенной в приложении N 2 к Методике №707;</w:t>
      </w:r>
    </w:p>
    <w:p>
      <w:pPr>
        <w:pStyle w:val="ConsPlusNormal"/>
        <w:tabs>
          <w:tab w:val="clear" w:pos="708"/>
          <w:tab w:val="left" w:pos="1134" w:leader="none"/>
        </w:tabs>
        <w:ind w:firstLine="567"/>
        <w:jc w:val="both"/>
        <w:rPr/>
      </w:pP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ЗП</m:t>
        </m:r>
        <m:r>
          <m:rPr>
            <m:lit/>
            <m:nor/>
          </m:rPr>
          <w:rPr>
            <w:rFonts w:ascii="Cambria Math" w:hAnsi="Cambria Math"/>
          </w:rPr>
          <m:t xml:space="preserve">ср</m:t>
        </m:r>
      </m:oMath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среднедневная заработная плата, тыс. руб. Принимается по данным Росстата о среднемесячной номинальной начисленной заработной плате работающих в экономике, по видам экономической деятельности в Российской Федерации для деятельности в области архитектуры (</w:t>
      </w:r>
      <w:hyperlink r:id="rId3">
        <w:r>
          <w:rPr>
            <w:rStyle w:val="Hyperlink"/>
            <w:rFonts w:cs="Times New Roman" w:ascii="Times New Roman" w:hAnsi="Times New Roman"/>
            <w:sz w:val="24"/>
            <w:szCs w:val="24"/>
          </w:rPr>
          <w:t>код 71.11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согласно ОК 029-2014 (КДЕС ред. 2) "Общероссийский классификатор видов экономической деятельности" (далее - Общероссийский классификатор) за год, предшествующий году определения сметной стоимости объекта проектирования (среднее значение за период январь - декабрь), исходя из усредненного на основании производственного календаря количества рабочих дней в месяце для года, предшествующего году определения сметной стоимости проектных работ. Для работ по проектированию объектов, являющихся особо опасными, технически сложными, уникальными объектами согласно </w:t>
      </w:r>
      <w:hyperlink r:id="rId4">
        <w:r>
          <w:rPr>
            <w:rStyle w:val="Hyperlink"/>
            <w:rFonts w:cs="Times New Roman" w:ascii="Times New Roman" w:hAnsi="Times New Roman"/>
            <w:sz w:val="24"/>
            <w:szCs w:val="24"/>
          </w:rPr>
          <w:t>статье 48.1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Градостроительного кодекса Российской Федерации, а также для работ по подготовке проектной документации, содержащей материалы в форме информационной модели, среднемесячная заработная плата принимается для деятельности в области инженерно-технического проектирования (</w:t>
      </w:r>
      <w:hyperlink r:id="rId5">
        <w:r>
          <w:rPr>
            <w:rStyle w:val="Hyperlink"/>
            <w:rFonts w:cs="Times New Roman" w:ascii="Times New Roman" w:hAnsi="Times New Roman"/>
            <w:sz w:val="24"/>
            <w:szCs w:val="24"/>
          </w:rPr>
          <w:t>код 71.12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согласно ОК 029-2014 (КДЕС ред. 2) Общероссийского классификатора)</w:t>
      </w:r>
      <w:r>
        <w:rPr>
          <w:rStyle w:val="FootnoteReference"/>
          <w:rFonts w:cs="Times New Roman" w:ascii="Times New Roman" w:hAnsi="Times New Roman"/>
          <w:sz w:val="24"/>
          <w:szCs w:val="24"/>
        </w:rPr>
        <w:footnoteReference w:id="2"/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ConsPlusNormal"/>
        <w:tabs>
          <w:tab w:val="clear" w:pos="708"/>
          <w:tab w:val="left" w:pos="1134" w:leader="none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Кз</m:t>
        </m:r>
      </m:oMath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коэффициент, учитывающий долю оплаты труда производственного персонала в себестоимости проектных работ: К3 принимается в размере 40,06%;</w:t>
      </w:r>
    </w:p>
    <w:p>
      <w:pPr>
        <w:pStyle w:val="ConsPlusNormal"/>
        <w:numPr>
          <w:ilvl w:val="0"/>
          <w:numId w:val="0"/>
        </w:numPr>
        <w:tabs>
          <w:tab w:val="clear" w:pos="708"/>
          <w:tab w:val="left" w:pos="1134" w:leader="none"/>
        </w:tabs>
        <w:spacing w:before="220" w:after="20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3.3. коэффициент, квалификации-участия (</w:t>
      </w: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К</m:t>
            </m:r>
          </m:e>
          <m:sub>
            <m:r>
              <w:rPr>
                <w:rFonts w:ascii="Cambria Math" w:hAnsi="Cambria Math"/>
              </w:rPr>
              <m:t xml:space="preserve">кв</m:t>
            </m:r>
            <m:r>
              <w:rPr>
                <w:rFonts w:ascii="Cambria Math" w:hAnsi="Cambria Math"/>
              </w:rPr>
              <m:t xml:space="preserve">−</m:t>
            </m:r>
            <m:r>
              <w:rPr>
                <w:rFonts w:ascii="Cambria Math" w:hAnsi="Cambria Math"/>
              </w:rPr>
              <m:t xml:space="preserve">уч</m:t>
            </m:r>
          </m:sub>
        </m:sSub>
      </m:oMath>
      <w:r>
        <w:rPr>
          <w:rFonts w:cs="Times New Roman" w:ascii="Times New Roman" w:hAnsi="Times New Roman"/>
          <w:sz w:val="24"/>
          <w:szCs w:val="24"/>
        </w:rPr>
        <w:t>), определяется по формуле:</w:t>
      </w:r>
    </w:p>
    <w:p>
      <w:pPr>
        <w:pStyle w:val="ConsPlusNormal"/>
        <w:tabs>
          <w:tab w:val="clear" w:pos="708"/>
          <w:tab w:val="left" w:pos="1134" w:leader="none"/>
        </w:tabs>
        <w:spacing w:before="220" w:after="200"/>
        <w:ind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tabs>
          <w:tab w:val="clear" w:pos="708"/>
          <w:tab w:val="left" w:pos="1134" w:leader="none"/>
        </w:tabs>
        <w:ind w:hanging="0"/>
        <w:jc w:val="center"/>
        <w:rPr>
          <w:rFonts w:ascii="Times New Roman" w:hAnsi="Times New Roman"/>
          <w:sz w:val="24"/>
          <w:szCs w:val="24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sSub>
            <m:e>
              <m:r>
                <w:rPr>
                  <w:rFonts w:ascii="Cambria Math" w:hAnsi="Cambria Math"/>
                </w:rPr>
                <m:t xml:space="preserve">К</m:t>
              </m:r>
            </m:e>
            <m:sub>
              <m:r>
                <w:rPr>
                  <w:rFonts w:ascii="Cambria Math" w:hAnsi="Cambria Math"/>
                </w:rPr>
                <m:t xml:space="preserve">кв</m:t>
              </m:r>
              <m:r>
                <w:rPr>
                  <w:rFonts w:ascii="Cambria Math" w:hAnsi="Cambria Math"/>
                </w:rPr>
                <m:t xml:space="preserve">−</m:t>
              </m:r>
              <m:r>
                <w:rPr>
                  <w:rFonts w:ascii="Cambria Math" w:hAnsi="Cambria Math"/>
                </w:rPr>
                <m:t xml:space="preserve">уч</m:t>
              </m:r>
            </m:sub>
          </m:sSub>
          <m:r>
            <w:rPr>
              <w:rFonts w:ascii="Cambria Math" w:hAnsi="Cambria Math"/>
            </w:rPr>
            <m:t xml:space="preserve">=</m:t>
          </m:r>
          <m:f>
            <m:num>
              <m:nary>
                <m:naryPr>
                  <m:chr m:val="∑"/>
                </m:naryPr>
                <m:sub>
                  <m:r>
                    <w:rPr>
                      <w:rFonts w:ascii="Cambria Math" w:hAnsi="Cambria Math"/>
                    </w:rPr>
                    <m:t xml:space="preserve">i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  <m:sup>
                  <m:r>
                    <w:rPr>
                      <w:rFonts w:ascii="Cambria Math" w:hAnsi="Cambria Math"/>
                    </w:rPr>
                    <m:t xml:space="preserve">n</m:t>
                  </m:r>
                </m:sup>
                <m:e>
                  <m:f>
                    <m:num>
                      <m:sSub>
                        <m:e>
                          <m:r>
                            <w:rPr>
                              <w:rFonts w:ascii="Cambria Math" w:hAnsi="Cambria Math"/>
                            </w:rPr>
                            <m:t xml:space="preserve"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ф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i</m:t>
                          </m:r>
                        </m:sub>
                      </m:sSub>
                    </m:num>
                    <m:den>
                      <m:sSub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Т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общ</m:t>
                          </m:r>
                        </m:sub>
                      </m:sSub>
                    </m:den>
                  </m:f>
                </m:e>
              </m:nary>
              <m:r>
                <w:rPr>
                  <w:rFonts w:ascii="Cambria Math" w:hAnsi="Cambria Math"/>
                </w:rPr>
                <m:t xml:space="preserve">×</m:t>
              </m:r>
              <m:sSub>
                <m:e>
                  <m:r>
                    <w:rPr>
                      <w:rFonts w:ascii="Cambria Math" w:hAnsi="Cambria Math"/>
                    </w:rPr>
                    <m:t xml:space="preserve">Ч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i</m:t>
                  </m:r>
                </m:sub>
              </m:sSub>
              <m:r>
                <w:rPr>
                  <w:rFonts w:ascii="Cambria Math" w:hAnsi="Cambria Math"/>
                </w:rPr>
                <m:t xml:space="preserve">×</m:t>
              </m:r>
              <m:sSub>
                <m:e>
                  <m:r>
                    <w:rPr>
                      <w:rFonts w:ascii="Cambria Math" w:hAnsi="Cambria Math"/>
                    </w:rPr>
                    <m:t xml:space="preserve">И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i</m:t>
                  </m:r>
                </m:sub>
              </m:sSub>
            </m:num>
            <m:den>
              <m:sSub>
                <m:e>
                  <m:r>
                    <w:rPr>
                      <w:rFonts w:ascii="Cambria Math" w:hAnsi="Cambria Math"/>
                    </w:rPr>
                    <m:t xml:space="preserve">Ч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общ</m:t>
                  </m:r>
                </m:sub>
              </m:sSub>
            </m:den>
          </m:f>
        </m:oMath>
      </m:oMathPara>
    </w:p>
    <w:p>
      <w:pPr>
        <w:pStyle w:val="ConsPlusNormal"/>
        <w:tabs>
          <w:tab w:val="clear" w:pos="708"/>
          <w:tab w:val="left" w:pos="1134" w:leader="none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где:</w:t>
      </w:r>
    </w:p>
    <w:p>
      <w:pPr>
        <w:pStyle w:val="ConsPlusNormal"/>
        <w:tabs>
          <w:tab w:val="clear" w:pos="708"/>
          <w:tab w:val="left" w:pos="1134" w:leader="none"/>
        </w:tabs>
        <w:ind w:firstLine="567"/>
        <w:jc w:val="both"/>
        <w:rPr/>
      </w:pP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И</m:t>
            </m:r>
          </m:e>
          <m:sub>
            <m:r>
              <w:rPr>
                <w:rFonts w:ascii="Cambria Math" w:hAnsi="Cambria Math"/>
              </w:rPr>
              <m:t xml:space="preserve">i</m:t>
            </m:r>
          </m:sub>
        </m:sSub>
      </m:oMath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- индекс квалификации непосредственных исполнителей согласно </w:t>
      </w:r>
      <w:hyperlink w:anchor="P1654">
        <w:r>
          <w:rPr>
            <w:rStyle w:val="Hyperlink"/>
            <w:rFonts w:cs="Times New Roman" w:ascii="Times New Roman" w:hAnsi="Times New Roman"/>
            <w:sz w:val="24"/>
            <w:szCs w:val="24"/>
          </w:rPr>
          <w:t>таблицам 1.3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- </w:t>
      </w:r>
      <w:hyperlink w:anchor="P1701">
        <w:r>
          <w:rPr>
            <w:rStyle w:val="Hyperlink"/>
            <w:rFonts w:cs="Times New Roman" w:ascii="Times New Roman" w:hAnsi="Times New Roman"/>
            <w:sz w:val="24"/>
            <w:szCs w:val="24"/>
          </w:rPr>
          <w:t>1.4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приведенным в приложении N 2 к Методике №707. Для отдельных отраслей индексы, приведенные в </w:t>
      </w:r>
      <w:hyperlink w:anchor="P1654">
        <w:r>
          <w:rPr>
            <w:rStyle w:val="Hyperlink"/>
            <w:rFonts w:cs="Times New Roman" w:ascii="Times New Roman" w:hAnsi="Times New Roman"/>
            <w:sz w:val="24"/>
            <w:szCs w:val="24"/>
          </w:rPr>
          <w:t>таблицах 1.3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- </w:t>
      </w:r>
      <w:hyperlink w:anchor="P1701">
        <w:r>
          <w:rPr>
            <w:rStyle w:val="Hyperlink"/>
            <w:rFonts w:cs="Times New Roman" w:ascii="Times New Roman" w:hAnsi="Times New Roman"/>
            <w:sz w:val="24"/>
            <w:szCs w:val="24"/>
          </w:rPr>
          <w:t>1.4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приложения N 2 к Методике №707, подлежат уточнению при предоставлении соответствующих обоснований (бухгалтерских справок и аналогичных документов), документально подтвержденных уполномоченными лицами проектной организации;</w:t>
      </w:r>
    </w:p>
    <w:p>
      <w:pPr>
        <w:pStyle w:val="ConsPlusNormal"/>
        <w:tabs>
          <w:tab w:val="clear" w:pos="708"/>
          <w:tab w:val="left" w:pos="1134" w:leader="none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Ч</m:t>
            </m:r>
          </m:e>
          <m:sub>
            <m:r>
              <w:rPr>
                <w:rFonts w:ascii="Cambria Math" w:hAnsi="Cambria Math"/>
              </w:rPr>
              <m:t xml:space="preserve">i</m:t>
            </m:r>
          </m:sub>
        </m:sSub>
      </m:oMath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численность исполнителей одинаковой квалификации, чел.;</w:t>
      </w:r>
    </w:p>
    <w:p>
      <w:pPr>
        <w:pStyle w:val="ConsPlusNormal"/>
        <w:tabs>
          <w:tab w:val="clear" w:pos="708"/>
          <w:tab w:val="left" w:pos="1134" w:leader="none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T</m:t>
            </m:r>
          </m:e>
          <m:sub>
            <m:r>
              <w:rPr>
                <w:rFonts w:ascii="Cambria Math" w:hAnsi="Cambria Math"/>
              </w:rPr>
              <m:t xml:space="preserve">ф</m:t>
            </m:r>
            <m:r>
              <w:rPr>
                <w:rFonts w:ascii="Cambria Math" w:hAnsi="Cambria Math"/>
              </w:rPr>
              <m:t xml:space="preserve">i</m:t>
            </m:r>
          </m:sub>
        </m:sSub>
      </m:oMath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фактическое время работы исполнителей одинаковой квалификации, дни.</w:t>
      </w:r>
    </w:p>
    <w:p>
      <w:pPr>
        <w:pStyle w:val="ConsPlusNormal"/>
        <w:tabs>
          <w:tab w:val="clear" w:pos="708"/>
          <w:tab w:val="left" w:pos="1134" w:leader="none"/>
        </w:tabs>
        <w:spacing w:before="220" w:after="20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Численность и должностные категории (квалификация) исполнителей, фактическое время работы исполнителей одинаковой квалификации определяются на основании положений документов по стандартизации согласно </w:t>
      </w:r>
      <w:hyperlink r:id="rId6">
        <w:r>
          <w:rPr>
            <w:rStyle w:val="Hyperlink"/>
            <w:rFonts w:cs="Times New Roman" w:ascii="Times New Roman" w:hAnsi="Times New Roman"/>
            <w:sz w:val="24"/>
            <w:szCs w:val="24"/>
          </w:rPr>
          <w:t>статье 14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Федерального закона от 29 июня 2015 г. N 162-ФЗ "О стандартизации в Российской Федерации" (Собрание законодательства Российской Федерации, 2015, N 27, ст. 3953; 2021, N 1, ст. 62), стандартов процесса подготовки проектной документации согласно </w:t>
      </w:r>
      <w:hyperlink r:id="rId7">
        <w:r>
          <w:rPr>
            <w:rStyle w:val="Hyperlink"/>
            <w:rFonts w:cs="Times New Roman" w:ascii="Times New Roman" w:hAnsi="Times New Roman"/>
            <w:sz w:val="24"/>
            <w:szCs w:val="24"/>
          </w:rPr>
          <w:t>пункту 10 части 8 статьи 55.20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Градостроительного кодекса Российской Федерации (Собрание законодательства Российской Федерации, 2005, N 1, ст. 16; 2018, N 32, ст. 5133), норм проектирования, данных о трудоемкости объектов-аналогов, результатов опроса, проведенного среди не менее трех проектных организаций, специализирующихся на выполнение проектных работ, на которые подготавливается смета, таблиц технологического процесса выполнения проектных работ по объекту, продолжительности выполняемых работ, указанных в календарном плане к договору на выполнение проектных работ, данных о времени и количестве исполнителей определенной квалификации, принимающих участие в выполнении проектных работ, которые должны быть подписаны руководителем проектной организации, предоставляющей такие данные, и заверены ее печатью;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Общий срок проектирования объекта в месяцах не должен превышать нормативные сроки установленные положениями Приказа Минстроя РФ от 15.05.2020г. № 264/пр «Об установлении срока, необходимого для выполнения инженерных изысканий, осуществления архитектурно-строительного проектирования и строительства зданий, сооружений, в целях расчета срока договора аренды земельного участка, находящегося в государственной или муниципальной собственности» которые устанавливают зависимость срока проектирования объекта в месяцах от его общей площади. 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объектов, сроки проектирования которых невозможно определить в соответствии с указанным Приказом, допустимо применение иных документов, не противоречащих действующему законодательству</w:t>
      </w:r>
      <w:r>
        <w:rPr>
          <w:rFonts w:cs="TimesNewRomanPSMT" w:ascii="Times New Roman" w:hAnsi="Times New Roman"/>
          <w:sz w:val="24"/>
          <w:szCs w:val="24"/>
        </w:rPr>
        <w:t>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134" w:leader="none"/>
        </w:tabs>
        <w:spacing w:lineRule="auto" w:line="240" w:before="240" w:after="0"/>
        <w:ind w:left="0" w:righ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 стоимость проектных работ, определяемых в соответствии с калькуляцией затрат, не учитывает командировочные расходы, непосредственно связанные с проектированием объекта, определяемые дополнительно.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134" w:leader="none"/>
        </w:tabs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 Для обоснования командировочных расходов предоставляется отдельно выполненный расчет (форма 4п) с расшифровкой затрат на проезд, проживание, суточные расходы. Размер расходов на проезд и стоимость проживания в гостинице определяется на момент составления расчета.</w:t>
      </w:r>
    </w:p>
    <w:p>
      <w:pPr>
        <w:pStyle w:val="Normal"/>
        <w:tabs>
          <w:tab w:val="clear" w:pos="708"/>
          <w:tab w:val="left" w:pos="1080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Размеры возмещения расходов, связанных со служебными командировками, определяются коллективным договором и/или локальным нормативным актом организации–исполнителя, но не выше нормативов возмещения расходов, связанных со служебными командировками, установленных локальным нормативным актом организации–заказчика.</w:t>
      </w:r>
    </w:p>
    <w:p>
      <w:pPr>
        <w:pStyle w:val="ConsPlusNormal"/>
        <w:tabs>
          <w:tab w:val="clear" w:pos="708"/>
          <w:tab w:val="left" w:pos="284" w:leader="none"/>
          <w:tab w:val="left" w:pos="1134" w:leader="none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Лимиты командировочных расходов при производстве ПИР не более: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851" w:leader="none"/>
          <w:tab w:val="left" w:pos="1080" w:leader="none"/>
          <w:tab w:val="left" w:pos="1134" w:leader="none"/>
        </w:tabs>
        <w:spacing w:lineRule="auto" w:line="24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суточные - 700 руб./сутки;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851" w:leader="none"/>
          <w:tab w:val="left" w:pos="1080" w:leader="none"/>
          <w:tab w:val="left" w:pos="1134" w:leader="none"/>
        </w:tabs>
        <w:spacing w:lineRule="auto" w:line="24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проживание – 5000 руб./сутки;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851" w:leader="none"/>
          <w:tab w:val="left" w:pos="1080" w:leader="none"/>
          <w:tab w:val="left" w:pos="1134" w:leader="none"/>
        </w:tabs>
        <w:spacing w:lineRule="auto" w:line="24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- проезд: поезд (купе) или самолет (класс–эконом с багажом до 20 (двадцати) кг, ручная кладь до 10 (десяти) кг).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Данные лимиты могут быть пересмотрены на этапе согласования технических требований</w:t>
      </w:r>
      <w:r>
        <w:rPr>
          <w:rFonts w:ascii="Times New Roman" w:hAnsi="Times New Roman"/>
          <w:color w:val="000000" w:themeColor="text1"/>
          <w:sz w:val="24"/>
          <w:szCs w:val="24"/>
        </w:rPr>
        <w:t>».</w:t>
      </w:r>
    </w:p>
    <w:p>
      <w:pPr>
        <w:pStyle w:val="ListParagraph"/>
        <w:tabs>
          <w:tab w:val="clear" w:pos="708"/>
          <w:tab w:val="left" w:pos="1080" w:leader="none"/>
          <w:tab w:val="left" w:pos="1134" w:leader="none"/>
        </w:tabs>
        <w:spacing w:lineRule="auto" w:line="240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учете командировочных расходов стоимость проезда (авиа-, ж/д, …) определяется методами, предусмотренными Методикой ПЦ (методы без использования сметных нормативов).</w:t>
      </w:r>
      <w:bookmarkStart w:id="54" w:name="_GoBack_Копия_1"/>
      <w:bookmarkEnd w:id="54"/>
    </w:p>
    <w:p>
      <w:pPr>
        <w:sectPr>
          <w:footnotePr>
            <w:numFmt w:val="decimal"/>
          </w:footnotePr>
          <w:type w:val="nextPage"/>
          <w:pgSz w:w="11906" w:h="16838"/>
          <w:pgMar w:left="1170" w:right="850" w:gutter="0" w:header="0" w:top="630" w:footer="0" w:bottom="1134"/>
          <w:pgNumType w:fmt="decimal"/>
          <w:formProt w:val="false"/>
          <w:textDirection w:val="lrTb"/>
          <w:docGrid w:type="default" w:linePitch="360" w:charSpace="4096"/>
        </w:sectPr>
        <w:pStyle w:val="ListParagraph"/>
        <w:tabs>
          <w:tab w:val="clear" w:pos="708"/>
          <w:tab w:val="left" w:pos="1080" w:leader="none"/>
          <w:tab w:val="left" w:pos="1134" w:leader="none"/>
        </w:tabs>
        <w:spacing w:lineRule="auto" w:line="240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наличии командированных расходов необходимо составлять общий реестр стоимости проездных билетов с разбивкой по сметам, к которым они относятся.</w:t>
      </w:r>
    </w:p>
    <w:p>
      <w:pPr>
        <w:pStyle w:val="Normal"/>
        <w:spacing w:lineRule="auto" w:line="240" w:before="0" w:after="0"/>
        <w:ind w:left="5811" w:right="-2" w:hanging="0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2</w:t>
      </w:r>
    </w:p>
    <w:p>
      <w:pPr>
        <w:pStyle w:val="Normal"/>
        <w:spacing w:lineRule="auto" w:line="240" w:before="0" w:after="0"/>
        <w:ind w:left="5811" w:right="-2" w:hanging="0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Требованиям к оформлению и составлению сметной документации на выполнение ПИР</w:t>
      </w:r>
    </w:p>
    <w:p>
      <w:pPr>
        <w:pStyle w:val="Normal"/>
        <w:shd w:val="clear" w:color="auto" w:fill="FFFFFF"/>
        <w:spacing w:lineRule="auto" w:line="240" w:before="0" w:after="0"/>
        <w:ind w:left="720" w:firstLine="284"/>
        <w:contextualSpacing/>
        <w:jc w:val="center"/>
        <w:rPr>
          <w:rFonts w:ascii="Times New Roman" w:hAnsi="Times New Roman"/>
          <w:b/>
          <w:bCs/>
          <w:iCs/>
          <w:spacing w:val="-4"/>
        </w:rPr>
      </w:pPr>
      <w:r>
        <w:rPr>
          <w:rFonts w:ascii="Times New Roman" w:hAnsi="Times New Roman"/>
          <w:b/>
          <w:bCs/>
          <w:iCs/>
          <w:spacing w:val="-4"/>
        </w:rPr>
      </w:r>
    </w:p>
    <w:tbl>
      <w:tblPr>
        <w:tblW w:w="935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356"/>
      </w:tblGrid>
      <w:tr>
        <w:trPr/>
        <w:tc>
          <w:tcPr>
            <w:tcW w:w="9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Образец сметы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основные и дополнительные проектные работы,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также сопутствующие работы (форма 2п)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СМЕТА №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проектные работы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(наименование объекта)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 __________________________________________________________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наименование организации)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Проектная организация ________________________________________________________________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(наименование организации)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Составлена в уровне цен на ___________ 20__ г.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tbl>
            <w:tblPr>
              <w:tblW w:w="9521" w:type="dxa"/>
              <w:jc w:val="left"/>
              <w:tblInd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noHBand="0" w:noVBand="1" w:firstColumn="1" w:lastRow="0" w:lastColumn="0" w:firstRow="1"/>
            </w:tblPr>
            <w:tblGrid>
              <w:gridCol w:w="454"/>
              <w:gridCol w:w="1811"/>
              <w:gridCol w:w="3419"/>
              <w:gridCol w:w="1988"/>
              <w:gridCol w:w="1849"/>
            </w:tblGrid>
            <w:tr>
              <w:trPr/>
              <w:tc>
                <w:tcPr>
                  <w:tcW w:w="4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N пп</w:t>
                  </w:r>
                </w:p>
              </w:tc>
              <w:tc>
                <w:tcPr>
                  <w:tcW w:w="1811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Наименование объекта проектирования или вида проектных работ</w:t>
                  </w:r>
                </w:p>
              </w:tc>
              <w:tc>
                <w:tcPr>
                  <w:tcW w:w="3419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Наименование, номера глав, таблиц, параграфов и пунктов МНЗ (СБЦ) на проектные работы</w:t>
                  </w:r>
                </w:p>
              </w:tc>
              <w:tc>
                <w:tcPr>
                  <w:tcW w:w="1988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Расчет стоимости</w:t>
                  </w:r>
                </w:p>
              </w:tc>
              <w:tc>
                <w:tcPr>
                  <w:tcW w:w="1849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ind w:left="187" w:hanging="0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Сметная стоимость, руб.</w:t>
                  </w:r>
                </w:p>
              </w:tc>
            </w:tr>
            <w:tr>
              <w:trPr>
                <w:trHeight w:val="255" w:hRule="atLeast"/>
              </w:trPr>
              <w:tc>
                <w:tcPr>
                  <w:tcW w:w="454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811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bookmarkStart w:id="55" w:name="P3725"/>
                  <w:bookmarkEnd w:id="55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419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bookmarkStart w:id="56" w:name="P3726"/>
                  <w:bookmarkEnd w:id="56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988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bookmarkStart w:id="57" w:name="P3727"/>
                  <w:bookmarkEnd w:id="57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849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ind w:left="187" w:hanging="0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bookmarkStart w:id="58" w:name="P3728"/>
                  <w:bookmarkEnd w:id="58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</w:tr>
            <w:tr>
              <w:trPr/>
              <w:tc>
                <w:tcPr>
                  <w:tcW w:w="454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1811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3419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1988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1849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ind w:left="187" w:hanging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454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1811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3419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1988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1849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ind w:left="187" w:hanging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454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1811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3419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1988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1849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ind w:left="187" w:hanging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54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5230" w:type="dxa"/>
                  <w:gridSpan w:val="2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Итого без учета НДС</w:t>
                  </w:r>
                </w:p>
              </w:tc>
              <w:tc>
                <w:tcPr>
                  <w:tcW w:w="1988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1849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ind w:left="187" w:hanging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eastAsiaTheme="minorHAnsi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проектной организации _____________________________________________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[подпись (инициалы, фамилия)]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инженер проекта _______________________________________________________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[подпись (инициалы, фамилия)]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i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 отдела 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                           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(наименование)    подпись (инициалы, фамилия)]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i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 ______________________________________________________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</w:rPr>
            </w:pPr>
            <w:bookmarkStart w:id="59" w:name="_Hlk149126469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[должность, подпись (инициалы, фамилия)]</w:t>
            </w:r>
            <w:bookmarkEnd w:id="59"/>
          </w:p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sectPr>
          <w:headerReference w:type="even" r:id="rId8"/>
          <w:headerReference w:type="default" r:id="rId9"/>
          <w:footerReference w:type="even" r:id="rId10"/>
          <w:footerReference w:type="default" r:id="rId11"/>
          <w:footnotePr>
            <w:numFmt w:val="decimal"/>
          </w:footnotePr>
          <w:type w:val="nextPage"/>
          <w:pgSz w:w="11906" w:h="16838"/>
          <w:pgMar w:left="992" w:right="1134" w:gutter="0" w:header="680" w:top="1134" w:footer="0" w:bottom="851"/>
          <w:pgNumType w:fmt="decimal"/>
          <w:formProt w:val="false"/>
          <w:textDirection w:val="lrTb"/>
          <w:docGrid w:type="default" w:linePitch="381" w:charSpace="12288"/>
        </w:sectPr>
      </w:pPr>
    </w:p>
    <w:p>
      <w:pPr>
        <w:pStyle w:val="Normal"/>
        <w:spacing w:lineRule="auto" w:line="240" w:before="0" w:after="0"/>
        <w:ind w:left="5811" w:hanging="0"/>
        <w:contextualSpacing/>
        <w:jc w:val="right"/>
        <w:rPr>
          <w:rFonts w:ascii="Times New Roman" w:hAnsi="Times New Roman"/>
          <w:sz w:val="24"/>
          <w:szCs w:val="24"/>
        </w:rPr>
      </w:pPr>
      <w:bookmarkStart w:id="60" w:name="P3836"/>
      <w:bookmarkStart w:id="61" w:name="P3838"/>
      <w:bookmarkStart w:id="62" w:name="P3835"/>
      <w:bookmarkStart w:id="63" w:name="P3837"/>
      <w:bookmarkStart w:id="64" w:name="P3833"/>
      <w:bookmarkStart w:id="65" w:name="P3839"/>
      <w:bookmarkStart w:id="66" w:name="P3831"/>
      <w:bookmarkStart w:id="67" w:name="P3816"/>
      <w:bookmarkStart w:id="68" w:name="P3834"/>
      <w:bookmarkStart w:id="69" w:name="P3832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>
        <w:rPr>
          <w:rFonts w:ascii="Times New Roman" w:hAnsi="Times New Roman"/>
          <w:sz w:val="24"/>
          <w:szCs w:val="24"/>
        </w:rPr>
        <w:t>Приложение № 3</w:t>
      </w:r>
    </w:p>
    <w:p>
      <w:pPr>
        <w:pStyle w:val="Normal"/>
        <w:spacing w:lineRule="auto" w:line="240" w:before="0" w:after="0"/>
        <w:ind w:left="5811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Требованиям к оформлению и составлению сметной документации на выполнение ПИР</w:t>
      </w:r>
    </w:p>
    <w:tbl>
      <w:tblPr>
        <w:tblW w:w="14853" w:type="dxa"/>
        <w:jc w:val="left"/>
        <w:tblInd w:w="2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214"/>
        <w:gridCol w:w="238"/>
        <w:gridCol w:w="2183"/>
        <w:gridCol w:w="1095"/>
        <w:gridCol w:w="306"/>
        <w:gridCol w:w="236"/>
        <w:gridCol w:w="1580"/>
      </w:tblGrid>
      <w:tr>
        <w:trPr>
          <w:trHeight w:val="20" w:hRule="atLeast"/>
        </w:trPr>
        <w:tc>
          <w:tcPr>
            <w:tcW w:w="9214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к Договору    от___ ______202___  №_________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СОГЛАСОВАНО:                                                                                   УТВЕРЖДЕНО:</w:t>
            </w:r>
          </w:p>
        </w:tc>
        <w:tc>
          <w:tcPr>
            <w:tcW w:w="238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83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01" w:type="dxa"/>
            <w:gridSpan w:val="2"/>
            <w:tcBorders/>
            <w:shd w:color="auto"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627" w:leader="none"/>
              </w:tabs>
              <w:spacing w:lineRule="auto" w:line="240" w:before="0" w:after="0"/>
              <w:ind w:left="-526" w:hanging="133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6" w:type="dxa"/>
            <w:tcBorders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80" w:type="dxa"/>
            <w:tcBorders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176" w:hRule="atLeast"/>
        </w:trPr>
        <w:tc>
          <w:tcPr>
            <w:tcW w:w="9214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8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78" w:type="dxa"/>
            <w:gridSpan w:val="2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42" w:type="dxa"/>
            <w:gridSpan w:val="2"/>
            <w:tcBorders/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80" w:type="dxa"/>
            <w:tcBorders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11635" w:type="dxa"/>
            <w:gridSpan w:val="3"/>
            <w:tcBorders/>
          </w:tcPr>
          <w:tbl>
            <w:tblPr>
              <w:tblW w:w="9575" w:type="dxa"/>
              <w:jc w:val="left"/>
              <w:tblInd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noHBand="0" w:noVBand="0" w:firstColumn="0" w:lastRow="0" w:lastColumn="0" w:firstRow="0"/>
            </w:tblPr>
            <w:tblGrid>
              <w:gridCol w:w="968"/>
              <w:gridCol w:w="2704"/>
              <w:gridCol w:w="1780"/>
              <w:gridCol w:w="2047"/>
              <w:gridCol w:w="2076"/>
            </w:tblGrid>
            <w:tr>
              <w:trPr/>
              <w:tc>
                <w:tcPr>
                  <w:tcW w:w="9575" w:type="dxa"/>
                  <w:gridSpan w:val="5"/>
                  <w:tcBorders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СВОДНАЯ СМЕТА №</w:t>
                  </w:r>
                </w:p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на проектные работы и инженерные изыскания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_________________________________________________________________________________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t>(наименование объекта)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Заказчик ___________________________________________________________________________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t>(наименование организации)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Проектная организация ______________________________________________________________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t>(наименование организации)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Составлена в уровне цен на ___________ 20__ г.</w:t>
                  </w:r>
                </w:p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>
                <w:trHeight w:val="365" w:hRule="atLeast"/>
              </w:trPr>
              <w:tc>
                <w:tcPr>
                  <w:tcW w:w="96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N№ п/п</w:t>
                  </w:r>
                </w:p>
              </w:tc>
              <w:tc>
                <w:tcPr>
                  <w:tcW w:w="270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Наименование смет на проектные работы и инженерные изыскания, затрат</w:t>
                  </w:r>
                </w:p>
              </w:tc>
              <w:tc>
                <w:tcPr>
                  <w:tcW w:w="17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Обоснование</w:t>
                  </w:r>
                </w:p>
              </w:tc>
              <w:tc>
                <w:tcPr>
                  <w:tcW w:w="412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Сметная стоимость, руб.</w:t>
                  </w:r>
                </w:p>
              </w:tc>
            </w:tr>
            <w:tr>
              <w:trPr>
                <w:trHeight w:val="74" w:hRule="atLeast"/>
              </w:trPr>
              <w:tc>
                <w:tcPr>
                  <w:tcW w:w="968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spacing w:before="0"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704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spacing w:before="0"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1780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spacing w:before="0"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инженерных изысканий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проектных работ</w:t>
                  </w:r>
                </w:p>
              </w:tc>
            </w:tr>
            <w:tr>
              <w:trPr>
                <w:trHeight w:val="19" w:hRule="atLeast"/>
              </w:trPr>
              <w:tc>
                <w:tcPr>
                  <w:tcW w:w="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firstLine="2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</w:tr>
            <w:tr>
              <w:trPr>
                <w:trHeight w:val="274" w:hRule="atLeast"/>
              </w:trPr>
              <w:tc>
                <w:tcPr>
                  <w:tcW w:w="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I</w:t>
                  </w:r>
                </w:p>
              </w:tc>
              <w:tc>
                <w:tcPr>
                  <w:tcW w:w="2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Инженерные изыскания</w:t>
                  </w:r>
                </w:p>
              </w:tc>
              <w:tc>
                <w:tcPr>
                  <w:tcW w:w="1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>
                <w:trHeight w:val="493" w:hRule="atLeast"/>
              </w:trPr>
              <w:tc>
                <w:tcPr>
                  <w:tcW w:w="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Наименование сметы на инженерные изыскания</w:t>
                  </w:r>
                </w:p>
              </w:tc>
              <w:tc>
                <w:tcPr>
                  <w:tcW w:w="1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&lt;X&gt;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>
                <w:trHeight w:val="281" w:hRule="atLeast"/>
              </w:trPr>
              <w:tc>
                <w:tcPr>
                  <w:tcW w:w="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II</w:t>
                  </w:r>
                </w:p>
              </w:tc>
              <w:tc>
                <w:tcPr>
                  <w:tcW w:w="2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Проектная документация</w:t>
                  </w:r>
                </w:p>
              </w:tc>
              <w:tc>
                <w:tcPr>
                  <w:tcW w:w="1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Наименование сметы на проектные работы</w:t>
                  </w:r>
                </w:p>
              </w:tc>
              <w:tc>
                <w:tcPr>
                  <w:tcW w:w="1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&lt;X&gt;</w:t>
                  </w:r>
                </w:p>
              </w:tc>
            </w:tr>
            <w:tr>
              <w:trPr>
                <w:trHeight w:val="323" w:hRule="atLeast"/>
              </w:trPr>
              <w:tc>
                <w:tcPr>
                  <w:tcW w:w="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III</w:t>
                  </w:r>
                </w:p>
              </w:tc>
              <w:tc>
                <w:tcPr>
                  <w:tcW w:w="2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Рабочая документация</w:t>
                  </w:r>
                </w:p>
              </w:tc>
              <w:tc>
                <w:tcPr>
                  <w:tcW w:w="1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Наименование сметы на проектные работы</w:t>
                  </w:r>
                </w:p>
              </w:tc>
              <w:tc>
                <w:tcPr>
                  <w:tcW w:w="1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&lt;X&gt;</w:t>
                  </w:r>
                </w:p>
              </w:tc>
            </w:tr>
            <w:tr>
              <w:trPr/>
              <w:tc>
                <w:tcPr>
                  <w:tcW w:w="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Итого по видам работ</w:t>
                  </w:r>
                </w:p>
              </w:tc>
              <w:tc>
                <w:tcPr>
                  <w:tcW w:w="1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&lt;X&gt;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&lt;X&gt;</w:t>
                  </w:r>
                </w:p>
              </w:tc>
            </w:tr>
            <w:tr>
              <w:trPr/>
              <w:tc>
                <w:tcPr>
                  <w:tcW w:w="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412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ConsPlusNormal"/>
                    <w:widowControl w:val="false"/>
                    <w:ind w:hanging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&lt;X&gt;</w:t>
                  </w:r>
                </w:p>
              </w:tc>
            </w:tr>
          </w:tbl>
          <w:p>
            <w:pPr>
              <w:pStyle w:val="ConsPlusNormal"/>
              <w:widowControl w:val="false"/>
              <w:ind w:right="-5522" w:firstLine="7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3217" w:type="dxa"/>
            <w:gridSpan w:val="4"/>
            <w:tcBorders/>
          </w:tcPr>
          <w:p>
            <w:pPr>
              <w:pStyle w:val="ConsPlusNormal"/>
              <w:widowControl w:val="fals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Руководитель проектной организации 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4"/>
          <w:szCs w:val="24"/>
        </w:rPr>
        <w:t>[подпись (инициалы, фамилия)]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Главный инженер проекта 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4"/>
          <w:szCs w:val="24"/>
        </w:rPr>
        <w:t>[подпись (инициалы, фамилия)]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Начальник ___________________ отдела 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                             </w:t>
      </w:r>
      <w:r>
        <w:rPr>
          <w:rFonts w:ascii="Times New Roman" w:hAnsi="Times New Roman"/>
          <w:i/>
          <w:iCs/>
          <w:sz w:val="24"/>
          <w:szCs w:val="24"/>
        </w:rPr>
        <w:t>(наименование)                            [подпись (инициалы, фамилия)]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Заказчик _____________________________________________________________________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4"/>
          <w:szCs w:val="24"/>
        </w:rPr>
        <w:t>[должность, подпись (инициалы, фамилия)]</w:t>
      </w:r>
    </w:p>
    <w:p>
      <w:pPr>
        <w:pStyle w:val="Normal"/>
        <w:spacing w:lineRule="auto" w:line="240" w:before="0" w:after="0"/>
        <w:ind w:left="5811" w:hanging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5811" w:hanging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5811" w:hanging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br w:type="page"/>
      </w:r>
    </w:p>
    <w:p>
      <w:pPr>
        <w:pStyle w:val="Normal"/>
        <w:spacing w:lineRule="auto" w:line="240" w:before="0" w:after="0"/>
        <w:ind w:left="5811" w:hanging="0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>
      <w:pPr>
        <w:pStyle w:val="Normal"/>
        <w:spacing w:lineRule="auto" w:line="240" w:before="0" w:after="0"/>
        <w:ind w:left="5811" w:hanging="0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к пояснительной записке</w:t>
      </w:r>
    </w:p>
    <w:p>
      <w:pPr>
        <w:pStyle w:val="Normal"/>
        <w:spacing w:lineRule="auto" w:line="240" w:before="0" w:after="0"/>
        <w:ind w:left="5811" w:hanging="0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заполнению формы 3П</w:t>
      </w:r>
    </w:p>
    <w:p>
      <w:pPr>
        <w:pStyle w:val="Normal"/>
        <w:spacing w:lineRule="auto" w:line="240" w:before="0" w:after="0"/>
        <w:ind w:left="637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bookmarkStart w:id="70" w:name="_Hlk146878269"/>
      <w:bookmarkEnd w:id="70"/>
      <w:r>
        <w:rPr>
          <w:rFonts w:ascii="Times New Roman" w:hAnsi="Times New Roman"/>
          <w:sz w:val="24"/>
          <w:szCs w:val="24"/>
        </w:rPr>
        <w:t>Образец сметы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на проектные работы в соответствии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с калькуляцией затрат (форма 3п)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СМЕТА №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на проектные работы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right="1246"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4"/>
          <w:szCs w:val="24"/>
        </w:rPr>
        <w:t>(наименование объекта)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right="142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Заказчик 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4"/>
          <w:szCs w:val="24"/>
        </w:rPr>
        <w:t>(наименование организации)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right="1246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Проектная организация 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4"/>
          <w:szCs w:val="24"/>
        </w:rPr>
        <w:t>(наименование организации)</w:t>
      </w:r>
    </w:p>
    <w:p>
      <w:pPr>
        <w:pStyle w:val="Normal"/>
        <w:spacing w:lineRule="auto" w:line="240" w:before="0" w:after="0"/>
        <w:ind w:right="1246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Составлена в уровне цен на ___________ 20__ г.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Расчет коэффициента, учитывающего степень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участия исполнителей-проектировщиков различной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квалификации в выполнении проектных работ (Ккв-уч)</w:t>
      </w:r>
    </w:p>
    <w:tbl>
      <w:tblPr>
        <w:tblW w:w="10055" w:type="dxa"/>
        <w:jc w:val="left"/>
        <w:tblInd w:w="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noHBand="0" w:noVBand="1" w:firstColumn="1" w:lastRow="0" w:lastColumn="0" w:firstRow="1"/>
      </w:tblPr>
      <w:tblGrid>
        <w:gridCol w:w="558"/>
        <w:gridCol w:w="1396"/>
        <w:gridCol w:w="1581"/>
        <w:gridCol w:w="1985"/>
        <w:gridCol w:w="1558"/>
        <w:gridCol w:w="1419"/>
        <w:gridCol w:w="1557"/>
      </w:tblGrid>
      <w:tr>
        <w:trPr/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ConsPlusNormal"/>
              <w:widowControl w:val="false"/>
              <w:ind w:hanging="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3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должностей исполнителей</w:t>
            </w:r>
          </w:p>
        </w:tc>
        <w:tc>
          <w:tcPr>
            <w:tcW w:w="15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ConsPlusNormal"/>
              <w:widowControl w:val="false"/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Фактическое время участия исполнителя в работе, Тф (дни)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ConsPlusNormal"/>
              <w:widowControl w:val="false"/>
              <w:ind w:firstLine="5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Плановая продолжительность выполнения проектных работ, предусмотренных калькуляцией, Тп (дни)</w:t>
            </w:r>
          </w:p>
        </w:tc>
        <w:tc>
          <w:tcPr>
            <w:tcW w:w="15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ConsPlusNormal"/>
              <w:widowControl w:val="false"/>
              <w:ind w:hanging="56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Численность исполнителей одной квалификации Чi (чел)</w:t>
            </w:r>
          </w:p>
        </w:tc>
        <w:tc>
          <w:tcPr>
            <w:tcW w:w="14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Индекс уровня квалификации специалистов исполнителей работы И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55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ConsPlusNormal"/>
              <w:widowControl w:val="false"/>
              <w:ind w:firstLine="6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Коэффициент квалификации (участия) специалистов одной квалификации,</w:t>
            </w:r>
          </w:p>
          <w:p>
            <w:pPr>
              <w:pStyle w:val="ConsPlusNormal"/>
              <w:widowControl w:val="false"/>
              <w:ind w:firstLine="6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∑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(гр.3/итог гр.4 х гр.5 х гр.6) / ∑гр.5</w:t>
            </w:r>
          </w:p>
        </w:tc>
      </w:tr>
      <w:tr>
        <w:trPr/>
        <w:tc>
          <w:tcPr>
            <w:tcW w:w="5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81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6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8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5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96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8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51"/>
              <w:jc w:val="center"/>
              <w:rPr/>
            </w:pPr>
            <w:hyperlink w:anchor="P3816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*</w:t>
              </w:r>
            </w:hyperlink>
          </w:p>
        </w:tc>
        <w:tc>
          <w:tcPr>
            <w:tcW w:w="155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5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96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8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51"/>
              <w:jc w:val="center"/>
              <w:rPr/>
            </w:pPr>
            <w:hyperlink w:anchor="P3816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*</w:t>
              </w:r>
            </w:hyperlink>
          </w:p>
        </w:tc>
        <w:tc>
          <w:tcPr>
            <w:tcW w:w="155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5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96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8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51"/>
              <w:jc w:val="center"/>
              <w:rPr/>
            </w:pPr>
            <w:hyperlink w:anchor="P3816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*</w:t>
              </w:r>
            </w:hyperlink>
          </w:p>
        </w:tc>
        <w:tc>
          <w:tcPr>
            <w:tcW w:w="155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5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96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jc w:val="righ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58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/>
            </w:pPr>
            <w:hyperlink w:anchor="P3816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*</w:t>
              </w:r>
            </w:hyperlink>
          </w:p>
        </w:tc>
        <w:tc>
          <w:tcPr>
            <w:tcW w:w="198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5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/>
            </w:pPr>
            <w:hyperlink w:anchor="P3816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*</w:t>
              </w:r>
            </w:hyperlink>
          </w:p>
        </w:tc>
        <w:tc>
          <w:tcPr>
            <w:tcW w:w="155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sectPr>
          <w:headerReference w:type="even" r:id="rId12"/>
          <w:headerReference w:type="default" r:id="rId13"/>
          <w:headerReference w:type="first" r:id="rId14"/>
          <w:footerReference w:type="even" r:id="rId15"/>
          <w:footerReference w:type="default" r:id="rId16"/>
          <w:footerReference w:type="first" r:id="rId17"/>
          <w:footnotePr>
            <w:numFmt w:val="decimal"/>
          </w:footnotePr>
          <w:type w:val="nextPage"/>
          <w:pgSz w:w="11906" w:h="16838"/>
          <w:pgMar w:left="1134" w:right="1134" w:gutter="0" w:header="888" w:top="1001" w:footer="1134" w:bottom="1417"/>
          <w:pgNumType w:fmt="decimal"/>
          <w:formProt w:val="false"/>
          <w:textDirection w:val="lrTb"/>
          <w:docGrid w:type="default" w:linePitch="100" w:charSpace="12288"/>
        </w:sectPr>
        <w:pStyle w:val="ConsPlusNonformat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2"/>
          <w:szCs w:val="22"/>
        </w:rPr>
        <w:t>Примечание: &lt;*&gt; Графы для расчета коэффициента в таблице не заполняются</w:t>
      </w:r>
      <w:r>
        <w:br w:type="page"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Расчет стоимости проектных работ в соответствии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с калькуляцией затрат на проектирование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5501" w:type="dxa"/>
        <w:jc w:val="left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noHBand="0" w:noVBand="1" w:firstColumn="1" w:lastRow="0" w:lastColumn="0" w:firstRow="1"/>
      </w:tblPr>
      <w:tblGrid>
        <w:gridCol w:w="1833"/>
        <w:gridCol w:w="1278"/>
        <w:gridCol w:w="1700"/>
        <w:gridCol w:w="1845"/>
        <w:gridCol w:w="1133"/>
        <w:gridCol w:w="1703"/>
        <w:gridCol w:w="1420"/>
        <w:gridCol w:w="1708"/>
        <w:gridCol w:w="1667"/>
        <w:gridCol w:w="1212"/>
      </w:tblGrid>
      <w:tr>
        <w:trPr/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Среднемесячная зарплата исполнителей, руб.</w:t>
            </w: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Кол-во рабочих дней в месяце, дни</w:t>
            </w:r>
          </w:p>
        </w:tc>
        <w:tc>
          <w:tcPr>
            <w:tcW w:w="1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Среднедневная зарплата исполнителей, руб.</w:t>
            </w:r>
          </w:p>
          <w:p>
            <w:pPr>
              <w:pStyle w:val="ConsPlusNormal"/>
              <w:widowControl w:val="false"/>
              <w:ind w:firstLine="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</w:t>
            </w:r>
            <w:hyperlink w:anchor="P3831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гр 1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/ </w:t>
            </w:r>
            <w:hyperlink w:anchor="P3832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гр 2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Удельный вес зарплаты в себестоимости работ - Кз, %</w:t>
            </w: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Рентабель-ность, %</w:t>
            </w:r>
          </w:p>
        </w:tc>
        <w:tc>
          <w:tcPr>
            <w:tcW w:w="17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Среднедневная единичная выработка, руб. (</w:t>
            </w:r>
            <w:hyperlink w:anchor="P3833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гр. 3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x (1 + </w:t>
            </w:r>
            <w:hyperlink w:anchor="P3835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гр. 5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)) / </w:t>
            </w:r>
            <w:hyperlink w:anchor="P3834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гр. 4</w:t>
              </w:r>
            </w:hyperlink>
          </w:p>
        </w:tc>
        <w:tc>
          <w:tcPr>
            <w:tcW w:w="14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Продолжи-тельность разработки (дни)</w:t>
            </w:r>
          </w:p>
        </w:tc>
        <w:tc>
          <w:tcPr>
            <w:tcW w:w="1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Численность исполнителей (чел.)</w:t>
            </w:r>
          </w:p>
        </w:tc>
        <w:tc>
          <w:tcPr>
            <w:tcW w:w="16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Коэффициент квалификации (участия)</w:t>
            </w:r>
          </w:p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Ккв-уч</w:t>
            </w:r>
          </w:p>
        </w:tc>
        <w:tc>
          <w:tcPr>
            <w:tcW w:w="12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Стоимость работ, руб.</w:t>
            </w:r>
          </w:p>
          <w:p>
            <w:pPr>
              <w:pStyle w:val="ConsPlusNormal"/>
              <w:widowControl w:val="false"/>
              <w:ind w:firstLine="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= (</w:t>
            </w:r>
            <w:hyperlink w:anchor="P3836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гр. 6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x </w:t>
            </w:r>
            <w:hyperlink w:anchor="P3837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гр. 7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x </w:t>
            </w:r>
            <w:hyperlink w:anchor="P3838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гр. 8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x </w:t>
            </w:r>
            <w:hyperlink w:anchor="P3839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гр. 9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>)</w:t>
            </w:r>
          </w:p>
        </w:tc>
      </w:tr>
      <w:tr>
        <w:trPr/>
        <w:tc>
          <w:tcPr>
            <w:tcW w:w="18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57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20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6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3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18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4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20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eastAsia="Calibri" w:cs="Times New Roman" w:eastAsiaTheme="minorHAnsi"/>
          <w:sz w:val="24"/>
          <w:szCs w:val="24"/>
        </w:rPr>
      </w:pPr>
      <w:r>
        <w:rPr>
          <w:rFonts w:eastAsia="Calibri" w:cs="Times New Roman" w:eastAsiaTheme="minorHAnsi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right="294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Руководитель</w:t>
      </w:r>
    </w:p>
    <w:p>
      <w:pPr>
        <w:pStyle w:val="Normal"/>
        <w:spacing w:lineRule="auto" w:line="240" w:before="0" w:after="0"/>
        <w:ind w:right="294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проектной организации ___________________________________________________________________________</w:t>
      </w:r>
    </w:p>
    <w:p>
      <w:pPr>
        <w:pStyle w:val="Normal"/>
        <w:spacing w:lineRule="auto" w:line="240" w:before="0" w:after="0"/>
        <w:ind w:right="2947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4"/>
          <w:szCs w:val="24"/>
        </w:rPr>
        <w:t>[подпись (инициалы, фамилия)]</w:t>
      </w:r>
    </w:p>
    <w:p>
      <w:pPr>
        <w:pStyle w:val="Normal"/>
        <w:spacing w:lineRule="auto" w:line="240" w:before="0" w:after="0"/>
        <w:ind w:right="2947" w:hanging="0"/>
        <w:jc w:val="both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240" w:before="0" w:after="0"/>
        <w:ind w:right="294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Главный инженер</w:t>
      </w:r>
    </w:p>
    <w:p>
      <w:pPr>
        <w:pStyle w:val="Normal"/>
        <w:spacing w:lineRule="auto" w:line="240" w:before="0" w:after="0"/>
        <w:ind w:right="294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проекта _______________________________________________________________________________________________</w:t>
      </w:r>
    </w:p>
    <w:p>
      <w:pPr>
        <w:sectPr>
          <w:headerReference w:type="even" r:id="rId18"/>
          <w:headerReference w:type="default" r:id="rId19"/>
          <w:headerReference w:type="first" r:id="rId20"/>
          <w:footerReference w:type="even" r:id="rId21"/>
          <w:footerReference w:type="default" r:id="rId22"/>
          <w:footerReference w:type="first" r:id="rId23"/>
          <w:footnotePr>
            <w:numFmt w:val="decimal"/>
          </w:footnotePr>
          <w:type w:val="nextPage"/>
          <w:pgSz w:orient="landscape" w:w="16838" w:h="11906"/>
          <w:pgMar w:left="1134" w:right="1134" w:gutter="0" w:header="1134" w:top="1640" w:footer="1134" w:bottom="1640"/>
          <w:pgNumType w:fmt="decimal"/>
          <w:formProt w:val="false"/>
          <w:textDirection w:val="lrTb"/>
          <w:docGrid w:type="default" w:linePitch="100" w:charSpace="12288"/>
        </w:sectPr>
        <w:pStyle w:val="Normal"/>
        <w:spacing w:lineRule="auto" w:line="240" w:before="0" w:after="0"/>
        <w:ind w:right="2947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4"/>
          <w:szCs w:val="24"/>
        </w:rPr>
        <w:t>[подпись (инициалы, фамилия)]</w:t>
      </w:r>
      <w:bookmarkStart w:id="71" w:name="_MON_1758635370"/>
      <w:bookmarkStart w:id="72" w:name="_MON_1758635370_Копия_1"/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bookmarkStart w:id="73" w:name="_MON_1758635370_Копия_1_Копия_1_Копия_1_"/>
      <w:bookmarkStart w:id="74" w:name="_MON_1758635370_Копия_1_Копия_1"/>
      <w:bookmarkStart w:id="75" w:name="P3865_Копия_1"/>
      <w:bookmarkStart w:id="76" w:name="_MON_1758635370_Копия_1_Копия_1_Копия_1"/>
      <w:bookmarkEnd w:id="71"/>
      <w:bookmarkEnd w:id="72"/>
      <w:bookmarkEnd w:id="73"/>
      <w:bookmarkEnd w:id="74"/>
      <w:bookmarkEnd w:id="75"/>
      <w:bookmarkEnd w:id="76"/>
      <w:r>
        <w:rPr>
          <w:rFonts w:ascii="Times New Roman" w:hAnsi="Times New Roman"/>
          <w:sz w:val="24"/>
          <w:szCs w:val="24"/>
        </w:rPr>
        <w:t>Образец сметного расчета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на командировочные расходы по работам,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связанным с проектированием объекта (форма 4п)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5038" w:type="dxa"/>
        <w:jc w:val="left"/>
        <w:tblInd w:w="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noHBand="0" w:noVBand="1" w:firstColumn="1" w:lastRow="0" w:lastColumn="0" w:firstRow="1"/>
      </w:tblPr>
      <w:tblGrid>
        <w:gridCol w:w="491"/>
        <w:gridCol w:w="1627"/>
        <w:gridCol w:w="1698"/>
        <w:gridCol w:w="1973"/>
        <w:gridCol w:w="2666"/>
        <w:gridCol w:w="1271"/>
        <w:gridCol w:w="1917"/>
        <w:gridCol w:w="2064"/>
        <w:gridCol w:w="1329"/>
      </w:tblGrid>
      <w:tr>
        <w:trPr>
          <w:trHeight w:val="644" w:hRule="atLeast"/>
        </w:trPr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6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Пункт назначения</w:t>
            </w:r>
          </w:p>
        </w:tc>
        <w:tc>
          <w:tcPr>
            <w:tcW w:w="16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Количество специалистов</w:t>
            </w:r>
          </w:p>
        </w:tc>
        <w:tc>
          <w:tcPr>
            <w:tcW w:w="19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Проезд к месту командировки (туда и обратно)</w:t>
            </w:r>
          </w:p>
        </w:tc>
        <w:tc>
          <w:tcPr>
            <w:tcW w:w="26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Проживание в номере гостиницы класса "3 звезды",</w:t>
            </w:r>
          </w:p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 чел/сутки.</w:t>
            </w:r>
          </w:p>
        </w:tc>
        <w:tc>
          <w:tcPr>
            <w:tcW w:w="12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Суточные</w:t>
            </w:r>
          </w:p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 сутки/руб.</w:t>
            </w:r>
          </w:p>
        </w:tc>
        <w:tc>
          <w:tcPr>
            <w:tcW w:w="19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Продолжительность командировки, сутки</w:t>
            </w:r>
          </w:p>
        </w:tc>
        <w:tc>
          <w:tcPr>
            <w:tcW w:w="20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Продолжительность проживания в гостинице, сутки</w:t>
            </w:r>
          </w:p>
        </w:tc>
        <w:tc>
          <w:tcPr>
            <w:tcW w:w="132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Итого затрат, рубли</w:t>
            </w:r>
          </w:p>
        </w:tc>
      </w:tr>
      <w:tr>
        <w:trPr/>
        <w:tc>
          <w:tcPr>
            <w:tcW w:w="4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9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7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66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1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6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4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2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9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7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66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1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6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2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9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7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66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1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6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2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9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7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66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1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6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3816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Итого по сметному расчету</w:t>
            </w:r>
          </w:p>
        </w:tc>
        <w:tc>
          <w:tcPr>
            <w:tcW w:w="197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66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1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6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ConsPlusNormal"/>
              <w:widowControl w:val="false"/>
              <w:ind w:firstLine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eastAsia="Calibri" w:cs="Times New Roman" w:eastAsiaTheme="minorHAnsi"/>
          <w:sz w:val="24"/>
          <w:szCs w:val="24"/>
        </w:rPr>
      </w:pPr>
      <w:r>
        <w:rPr>
          <w:rFonts w:eastAsia="Calibri" w:cs="Times New Roman" w:eastAsiaTheme="minorHAnsi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right="294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Руководитель</w:t>
      </w:r>
    </w:p>
    <w:p>
      <w:pPr>
        <w:pStyle w:val="Normal"/>
        <w:spacing w:lineRule="auto" w:line="240" w:before="0" w:after="0"/>
        <w:ind w:right="294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проектной организации ________________________________________________________________________________</w:t>
      </w:r>
    </w:p>
    <w:p>
      <w:pPr>
        <w:pStyle w:val="Normal"/>
        <w:spacing w:lineRule="auto" w:line="240" w:before="0" w:after="0"/>
        <w:ind w:right="2947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4"/>
          <w:szCs w:val="24"/>
        </w:rPr>
        <w:t>[подпись (инициалы, фамилия)]</w:t>
      </w:r>
    </w:p>
    <w:p>
      <w:pPr>
        <w:pStyle w:val="Normal"/>
        <w:spacing w:lineRule="auto" w:line="240" w:before="0" w:after="0"/>
        <w:ind w:right="2947" w:hanging="0"/>
        <w:jc w:val="both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240" w:before="0" w:after="0"/>
        <w:ind w:right="294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Главный инженер</w:t>
      </w:r>
    </w:p>
    <w:p>
      <w:pPr>
        <w:pStyle w:val="Normal"/>
        <w:spacing w:lineRule="auto" w:line="240" w:before="0" w:after="0"/>
        <w:ind w:right="294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проекта ________________________________________________________________________________</w:t>
      </w:r>
    </w:p>
    <w:p>
      <w:pPr>
        <w:pStyle w:val="Normal"/>
        <w:spacing w:lineRule="auto" w:line="240" w:before="0" w:after="0"/>
        <w:ind w:right="2947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4"/>
          <w:szCs w:val="24"/>
        </w:rPr>
        <w:t>[подпись (инициалы, фамилия)]</w:t>
      </w:r>
    </w:p>
    <w:p>
      <w:pPr>
        <w:pStyle w:val="Normal"/>
        <w:spacing w:lineRule="auto" w:line="240" w:before="0" w:after="0"/>
        <w:ind w:right="2947" w:hanging="0"/>
        <w:jc w:val="center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240" w:before="0" w:after="0"/>
        <w:ind w:right="2947" w:hanging="0"/>
        <w:jc w:val="center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240" w:before="0" w:after="0"/>
        <w:ind w:right="2947" w:hanging="0"/>
        <w:jc w:val="center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</w:r>
    </w:p>
    <w:p>
      <w:pPr>
        <w:pStyle w:val="Normal"/>
        <w:suppressAutoHyphens w:val="false"/>
        <w:spacing w:lineRule="auto" w:line="240" w:before="0" w:after="0"/>
        <w:ind w:right="61" w:hanging="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ind w:left="0" w:right="112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  <w:bookmarkStart w:id="77" w:name="P3865"/>
      <w:bookmarkStart w:id="78" w:name="P3865"/>
      <w:bookmarkEnd w:id="78"/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/>
      </w:r>
    </w:p>
    <w:sectPr>
      <w:headerReference w:type="even" r:id="rId24"/>
      <w:headerReference w:type="default" r:id="rId25"/>
      <w:headerReference w:type="first" r:id="rId26"/>
      <w:footerReference w:type="even" r:id="rId27"/>
      <w:footerReference w:type="default" r:id="rId28"/>
      <w:footerReference w:type="first" r:id="rId29"/>
      <w:footnotePr>
        <w:numFmt w:val="decimal"/>
      </w:footnotePr>
      <w:type w:val="nextPage"/>
      <w:pgSz w:orient="landscape" w:w="16838" w:h="11906"/>
      <w:pgMar w:left="1304" w:right="924" w:gutter="0" w:header="0" w:top="709" w:footer="709" w:bottom="766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16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="0" w:after="200"/>
      <w:ind w:firstLine="284"/>
      <w:jc w:val="left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="0" w:after="200"/>
      <w:ind w:firstLine="284"/>
      <w:jc w:val="left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="0" w:after="200"/>
      <w:ind w:firstLine="284"/>
      <w:jc w:val="left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="0" w:after="200"/>
      <w:ind w:firstLine="284"/>
      <w:jc w:val="left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  <w:p>
    <w:pPr>
      <w:pStyle w:val="Footer"/>
      <w:spacing w:before="0" w:after="200"/>
      <w:rPr/>
    </w:pPr>
    <w:r>
      <w:rPr/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  <w:p>
    <w:pPr>
      <w:pStyle w:val="Footer"/>
      <w:spacing w:before="0" w:after="200"/>
      <w:rPr/>
    </w:pPr>
    <w:r>
      <w:rPr/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Style w:val="Style6"/>
        </w:rPr>
        <w:footnoteRef/>
      </w:r>
      <w:r>
        <w:rPr/>
        <w:t xml:space="preserve"> </w:t>
      </w:r>
      <w:r>
        <w:rPr>
          <w:sz w:val="20"/>
          <w:szCs w:val="20"/>
        </w:rPr>
        <w:t xml:space="preserve">На официальном сайте единой межведомственной информационно-статистической системы (ЕМИСС) https://www.fedstat.ru указанная информация представлена по показателю «Среднемесячная номинальная начисленная заработная плата работающих в экономике с 2017 г.», в графе «Классификатор видов экономической деятельности» следует выбрать «Деятельность в области архитектуры и инженерно-технического проектирования; технических испытаний, исследований и анализа». </w:t>
      </w:r>
    </w:p>
    <w:p>
      <w:pPr>
        <w:pStyle w:val="Normal"/>
        <w:spacing w:lineRule="auto" w:line="240" w:before="0" w:after="0"/>
        <w:jc w:val="both"/>
        <w:rPr/>
      </w:pPr>
      <w:r>
        <w:rPr>
          <w:sz w:val="20"/>
          <w:szCs w:val="20"/>
        </w:rPr>
        <w:t>Для работ по проектированию объектов, являющихся особо опасными, технически сложными, уникальными объектами следует выбрать «Деятельность в области архитектуры, инженерных изысканий и предоставление технических консультаций в этих областях».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35369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353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spacing w:before="0" w:after="160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14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43.9pt;margin-top:0.05pt;width:1.1pt;height:27.8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spacing w:before="0" w:after="160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14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200"/>
      <w:ind w:hanging="0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200"/>
      <w:ind w:hanging="0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="0" w:after="200"/>
      <w:ind w:firstLine="284"/>
      <w:jc w:val="left"/>
      <w:rPr/>
    </w:pPr>
    <w:r>
      <w:rPr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="0" w:after="200"/>
      <w:ind w:firstLine="284"/>
      <w:jc w:val="left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="0" w:after="200"/>
      <w:ind w:firstLine="284"/>
      <w:jc w:val="left"/>
      <w:rPr/>
    </w:pPr>
    <w:r>
      <w:rPr/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="0" w:after="200"/>
      <w:ind w:firstLine="284"/>
      <w:jc w:val="left"/>
      <w:rPr/>
    </w:pPr>
    <w:r>
      <w:rPr/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sz w:val="24"/>
        <w:b/>
        <w:szCs w:val="24"/>
        <w:bCs/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trackRevisions/>
  <w:defaultTabStop w:val="708"/>
  <w:autoHyphenation w:val="true"/>
  <w:evenAndOddHeaders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Heading3"/>
    <w:next w:val="Normal"/>
    <w:qFormat/>
    <w:pPr>
      <w:numPr>
        <w:ilvl w:val="0"/>
      </w:num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qFormat/>
    <w:pPr>
      <w:outlineLvl w:val="1"/>
    </w:pPr>
    <w:rPr/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2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qFormat/>
    <w:pPr>
      <w:numPr>
        <w:ilvl w:val="1"/>
      </w:numPr>
      <w:outlineLvl w:val="3"/>
    </w:pPr>
    <w:rPr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Style5">
    <w:name w:val="Ссылка указателя"/>
    <w:qFormat/>
    <w:rPr/>
  </w:style>
  <w:style w:type="character" w:styleId="FollowedHyperlink">
    <w:name w:val="FollowedHyperlink"/>
    <w:rPr>
      <w:color w:val="954F72"/>
      <w:u w:val="single"/>
    </w:rPr>
  </w:style>
  <w:style w:type="character" w:styleId="Pagenumber">
    <w:name w:val="page number"/>
    <w:basedOn w:val="DefaultParagraphFont"/>
    <w:qFormat/>
    <w:rPr/>
  </w:style>
  <w:style w:type="character" w:styleId="Style6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7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LineNumber">
    <w:name w:val="Line Number"/>
    <w:rPr/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Arial Unicode MS"/>
    </w:rPr>
  </w:style>
  <w:style w:type="paragraph" w:styleId="Style10">
    <w:name w:val="Содержимое таблицы"/>
    <w:basedOn w:val="Normal"/>
    <w:qFormat/>
    <w:pPr>
      <w:widowControl w:val="false"/>
      <w:suppressLineNumbers/>
    </w:pPr>
    <w:rPr/>
  </w:style>
  <w:style w:type="paragraph" w:styleId="Style11">
    <w:name w:val="Заголовок таблицы"/>
    <w:basedOn w:val="Style10"/>
    <w:qFormat/>
    <w:pPr>
      <w:suppressLineNumbers/>
      <w:jc w:val="center"/>
    </w:pPr>
    <w:rPr>
      <w:b/>
      <w:bCs/>
    </w:rPr>
  </w:style>
  <w:style w:type="paragraph" w:styleId="TOC1">
    <w:name w:val="TOC 1"/>
    <w:basedOn w:val="Normal"/>
    <w:next w:val="Normal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4">
    <w:name w:val="TOC 4"/>
    <w:basedOn w:val="Normal"/>
    <w:next w:val="Normal"/>
    <w:pPr>
      <w:tabs>
        <w:tab w:val="clear" w:pos="708"/>
        <w:tab w:val="left" w:pos="1120" w:leader="none"/>
        <w:tab w:val="right" w:pos="9911" w:leader="none"/>
      </w:tabs>
      <w:ind w:left="560" w:hanging="0"/>
    </w:pPr>
    <w:rPr>
      <w:rFonts w:cs="Calibri" w:cstheme="minorHAnsi"/>
      <w:sz w:val="20"/>
      <w:szCs w:val="20"/>
    </w:rPr>
  </w:style>
  <w:style w:type="paragraph" w:styleId="TOC3">
    <w:name w:val="TOC 3"/>
    <w:basedOn w:val="Normal"/>
    <w:next w:val="Normal"/>
    <w:pPr>
      <w:ind w:left="280" w:hanging="0"/>
    </w:pPr>
    <w:rPr>
      <w:rFonts w:cs="Calibri" w:cstheme="minorHAnsi"/>
      <w:sz w:val="20"/>
      <w:szCs w:val="20"/>
    </w:rPr>
  </w:style>
  <w:style w:type="paragraph" w:styleId="ListParagraph">
    <w:name w:val="List Paragraph"/>
    <w:basedOn w:val="Normal"/>
    <w:qFormat/>
    <w:pPr>
      <w:spacing w:before="0" w:after="0"/>
      <w:ind w:left="550" w:right="0" w:hanging="0"/>
      <w:contextualSpacing/>
    </w:pPr>
    <w:rPr>
      <w:rFonts w:eastAsia="Calibri"/>
    </w:rPr>
  </w:style>
  <w:style w:type="paragraph" w:styleId="ConsPlusNormal">
    <w:name w:val="ConsPlusNormal"/>
    <w:qFormat/>
    <w:pPr>
      <w:widowControl w:val="false"/>
      <w:suppressAutoHyphens w:val="true"/>
      <w:bidi w:val="0"/>
      <w:spacing w:lineRule="auto" w:line="259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FootnoteText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paragraph" w:styleId="Style12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Style12"/>
    <w:pPr/>
    <w:rPr/>
  </w:style>
  <w:style w:type="paragraph" w:styleId="ConsPlusNonformat">
    <w:name w:val="ConsPlusNonformat"/>
    <w:qFormat/>
    <w:pPr>
      <w:widowControl w:val="false"/>
      <w:suppressAutoHyphens w:val="true"/>
      <w:bidi w:val="0"/>
      <w:spacing w:lineRule="auto" w:line="259" w:before="0" w:after="0"/>
      <w:jc w:val="left"/>
    </w:pPr>
    <w:rPr>
      <w:rFonts w:ascii="Courier New" w:hAnsi="Courier New" w:eastAsia="Calibri" w:cs="Courier New"/>
      <w:color w:val="auto"/>
      <w:kern w:val="0"/>
      <w:sz w:val="20"/>
      <w:szCs w:val="20"/>
      <w:lang w:val="ru-RU" w:eastAsia="ru-RU" w:bidi="ar-SA"/>
    </w:rPr>
  </w:style>
  <w:style w:type="paragraph" w:styleId="Style1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&#1044;&#1086;&#1082;&#1091;&#1084;&#1077;&#1085;&#1090;&#1099;/&#1047;&#1072;&#1043;&#1040;&#1069;&#1057;-2/&#1044;&#1086;&#1075;&#1086;&#1074;&#1086;&#1088;&#1072;/drives/dfsmount/temp/&#1054;&#1055;&#1055;&#1080;&#1055;&#1055;&#1056;/&#1041;&#1072;&#1088;&#1082;&#1086;&#1074;&#1072;%20&#1086;&#1090;&#1087;&#1091;&#1089;&#1082;/tmp/&#1042;&#1086;&#1076;&#1086;&#1087;&#1088;&#1080;&#1077;&#1084;&#1085;&#1080;&#1082;/3&#1055;" TargetMode="External"/><Relationship Id="rId3" Type="http://schemas.openxmlformats.org/officeDocument/2006/relationships/hyperlink" Target="consultantplus://offline/ref=B32CDE0E905E401B1BFF323EF993DB2C6865F0A971913444C3F7F56C5AF257E783F32977DF4E2DA4F5ACBC60359FF614F9C1315096B586250A26N" TargetMode="External"/><Relationship Id="rId4" Type="http://schemas.openxmlformats.org/officeDocument/2006/relationships/hyperlink" Target="consultantplus://offline/ref=B32CDE0E905E401B1BFF323EF993DB2C6F6DF7AA75973444C3F7F56C5AF257E783F32977DC422FF8A5E3BD3C70CDE515FFC133518A0B25N" TargetMode="External"/><Relationship Id="rId5" Type="http://schemas.openxmlformats.org/officeDocument/2006/relationships/hyperlink" Target="consultantplus://offline/ref=B32CDE0E905E401B1BFF323EF993DB2C6865F0A971913444C3F7F56C5AF257E783F32977DF4D24ACF0ACBC60359FF614F9C1315096B586250A26N" TargetMode="External"/><Relationship Id="rId6" Type="http://schemas.openxmlformats.org/officeDocument/2006/relationships/hyperlink" Target="consultantplus://offline/ref=B32CDE0E905E401B1BFF323EF993DB2C6F62F6A7789C3444C3F7F56C5AF257E783F32977DF4B25AAFDACBC60359FF614F9C1315096B586250A26N" TargetMode="External"/><Relationship Id="rId7" Type="http://schemas.openxmlformats.org/officeDocument/2006/relationships/hyperlink" Target="consultantplus://offline/ref=B32CDE0E905E401B1BFF323EF993DB2C6F6DF7AA75973444C3F7F56C5AF257E783F32974D8482DA7A0F6AC647CCBFC0BFEDE2F5388B50824N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header" Target="header4.xml"/><Relationship Id="rId14" Type="http://schemas.openxmlformats.org/officeDocument/2006/relationships/header" Target="header5.xml"/><Relationship Id="rId15" Type="http://schemas.openxmlformats.org/officeDocument/2006/relationships/footer" Target="footer3.xml"/><Relationship Id="rId16" Type="http://schemas.openxmlformats.org/officeDocument/2006/relationships/footer" Target="footer4.xml"/><Relationship Id="rId17" Type="http://schemas.openxmlformats.org/officeDocument/2006/relationships/footer" Target="footer5.xml"/><Relationship Id="rId18" Type="http://schemas.openxmlformats.org/officeDocument/2006/relationships/header" Target="header6.xml"/><Relationship Id="rId19" Type="http://schemas.openxmlformats.org/officeDocument/2006/relationships/header" Target="header7.xml"/><Relationship Id="rId20" Type="http://schemas.openxmlformats.org/officeDocument/2006/relationships/header" Target="header8.xml"/><Relationship Id="rId21" Type="http://schemas.openxmlformats.org/officeDocument/2006/relationships/footer" Target="footer6.xml"/><Relationship Id="rId22" Type="http://schemas.openxmlformats.org/officeDocument/2006/relationships/footer" Target="footer7.xml"/><Relationship Id="rId23" Type="http://schemas.openxmlformats.org/officeDocument/2006/relationships/footer" Target="footer8.xml"/><Relationship Id="rId24" Type="http://schemas.openxmlformats.org/officeDocument/2006/relationships/header" Target="header9.xml"/><Relationship Id="rId25" Type="http://schemas.openxmlformats.org/officeDocument/2006/relationships/header" Target="header10.xml"/><Relationship Id="rId26" Type="http://schemas.openxmlformats.org/officeDocument/2006/relationships/header" Target="header11.xml"/><Relationship Id="rId27" Type="http://schemas.openxmlformats.org/officeDocument/2006/relationships/footer" Target="footer9.xml"/><Relationship Id="rId28" Type="http://schemas.openxmlformats.org/officeDocument/2006/relationships/footer" Target="footer10.xml"/><Relationship Id="rId29" Type="http://schemas.openxmlformats.org/officeDocument/2006/relationships/footer" Target="footer11.xml"/><Relationship Id="rId30" Type="http://schemas.openxmlformats.org/officeDocument/2006/relationships/footnotes" Target="footnotes.xml"/><Relationship Id="rId31" Type="http://schemas.openxmlformats.org/officeDocument/2006/relationships/numbering" Target="numbering.xml"/><Relationship Id="rId32" Type="http://schemas.openxmlformats.org/officeDocument/2006/relationships/fontTable" Target="fontTable.xml"/><Relationship Id="rId33" Type="http://schemas.openxmlformats.org/officeDocument/2006/relationships/settings" Target="settings.xml"/><Relationship Id="rId3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Application>AlterOffice/3.4.0.9$Linux_X86_64 LibreOffice_project/b8daf9e823b1a5463a2f48435ddc2e8696e7d4fc</Application>
  <AppVersion>15.0000</AppVersion>
  <Pages>19</Pages>
  <Words>3641</Words>
  <Characters>26529</Characters>
  <CharactersWithSpaces>27078</CharactersWithSpaces>
  <Paragraphs>504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2026-08-14T08:48:00Z</dcterms:created>
  <dc:creator>Анастасия</dc:creator>
  <dc:description/>
  <dc:language>ru-RU</dc:language>
  <cp:lastModifiedBy>khromovms@corp.gidroogk.com</cp:lastModifiedBy>
  <dcterms:modified xsi:type="dcterms:W3CDTF">2026-09-04T15:11:41Z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