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color w:val="000000" w:themeColor="text1"/>
          <w:sz w:val="26"/>
          <w:szCs w:val="26"/>
        </w:rPr>
      </w:pPr>
      <w:r>
        <w:rPr>
          <w:rFonts w:eastAsia="Calibri"/>
          <w:b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color w:val="000000" w:themeColor="text1"/>
          <w:sz w:val="26"/>
          <w:szCs w:val="26"/>
        </w:rPr>
      </w:pPr>
      <w:r>
        <w:rPr>
          <w:rFonts w:eastAsia="Calibri"/>
          <w:b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color w:val="000000" w:themeColor="text1"/>
          <w:sz w:val="26"/>
          <w:szCs w:val="26"/>
        </w:rPr>
      </w:pPr>
      <w:r>
        <w:rPr>
          <w:rFonts w:eastAsia="Calibri"/>
          <w:b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color w:val="000000" w:themeColor="text1"/>
          <w:sz w:val="26"/>
          <w:szCs w:val="26"/>
        </w:rPr>
      </w:pPr>
      <w:r>
        <w:rPr>
          <w:rFonts w:eastAsia="Calibri"/>
          <w:b/>
          <w:color w:val="000000" w:themeColor="text1"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color w:val="000000" w:themeColor="text1"/>
          <w:sz w:val="26"/>
          <w:szCs w:val="26"/>
        </w:rPr>
      </w:pPr>
      <w:r>
        <w:rPr>
          <w:rFonts w:eastAsia="Calibri"/>
          <w:b/>
          <w:color w:val="000000" w:themeColor="text1"/>
          <w:sz w:val="26"/>
          <w:szCs w:val="26"/>
        </w:rPr>
        <w:t>Технические требования на поставку МТР</w:t>
      </w:r>
    </w:p>
    <w:p>
      <w:pPr>
        <w:pStyle w:val="Normal"/>
        <w:spacing w:before="120" w:after="0"/>
        <w:ind w:firstLine="360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>ОКПД2 22.19.40.110 Поставка конвейерной ленты</w:t>
      </w:r>
    </w:p>
    <w:p>
      <w:pPr>
        <w:pStyle w:val="Normal"/>
        <w:spacing w:before="60" w:after="0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  <w:t xml:space="preserve"> </w:t>
      </w:r>
      <w:r>
        <w:rPr>
          <w:rFonts w:eastAsia="Calibri"/>
          <w:b/>
          <w:color w:val="000000" w:themeColor="text1"/>
          <w:sz w:val="24"/>
          <w:szCs w:val="24"/>
        </w:rPr>
        <w:t>для нужд филиала ПАО «РусГидро» - «Воткинская ГЭС»</w:t>
      </w:r>
    </w:p>
    <w:p>
      <w:pPr>
        <w:pStyle w:val="Normal"/>
        <w:spacing w:before="120" w:after="0"/>
        <w:ind w:firstLine="360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ind w:firstLine="357"/>
        <w:jc w:val="center"/>
        <w:rPr>
          <w:rFonts w:eastAsia="Calibri"/>
          <w:b/>
          <w:color w:val="000000" w:themeColor="text1"/>
          <w:sz w:val="24"/>
          <w:szCs w:val="24"/>
        </w:rPr>
      </w:pPr>
      <w:r>
        <w:rPr>
          <w:rFonts w:eastAsia="Calibri"/>
          <w:b/>
          <w:color w:val="000000" w:themeColor="text1"/>
          <w:sz w:val="24"/>
          <w:szCs w:val="24"/>
        </w:rPr>
      </w:r>
    </w:p>
    <w:p>
      <w:pPr>
        <w:pStyle w:val="Normal"/>
        <w:keepNext w:val="true"/>
        <w:keepLines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sz w:val="24"/>
              <w:u w:val="single"/>
              <w:b/>
              <w:szCs w:val="24"/>
              <w:bCs/>
              <w:vanish w:val="false"/>
              <w:rFonts w:cs="Calibri Light (Заголовки)"/>
              <w:color w:val="0000FF"/>
            </w:rPr>
            <w:instrText xml:space="preserve"> TOC \z \o "1-3" \u \h</w:instrText>
          </w:r>
          <w:r>
            <w:rPr>
              <w:webHidden/>
              <w:rStyle w:val="Style14"/>
              <w:sz w:val="24"/>
              <w:u w:val="single"/>
              <w:b/>
              <w:szCs w:val="24"/>
              <w:bCs/>
              <w:vanish w:val="false"/>
              <w:rFonts w:cs="Calibri Light (Заголовки)"/>
              <w:color w:val="0000FF"/>
            </w:rPr>
            <w:fldChar w:fldCharType="separate"/>
          </w:r>
          <w:hyperlink w:anchor="_Toc120633204">
            <w:r>
              <w:rPr>
                <w:webHidden/>
                <w:rStyle w:val="Style14"/>
                <w:rFonts w:cs="Calibri Light (Заголовки)"/>
                <w:b/>
                <w:bCs/>
                <w:vanish w:val="false"/>
                <w:color w:val="0000FF"/>
                <w:sz w:val="24"/>
                <w:szCs w:val="24"/>
                <w:u w:val="single"/>
              </w:rPr>
              <w:t>1.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cs="Calibri Light (Заголовки)"/>
                <w:b/>
                <w:bCs/>
                <w:color w:val="0000FF"/>
                <w:sz w:val="24"/>
                <w:szCs w:val="24"/>
                <w:u w:val="single"/>
              </w:rPr>
              <w:t>Общие сведения</w:t>
            </w:r>
            <w:r>
              <w:rPr>
                <w:rStyle w:val="Style14"/>
                <w:rFonts w:cs="Calibri Light (Заголовки)"/>
                <w:b/>
                <w:bCs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_Toc120633204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Calibri Light (Заголовки)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0633205">
            <w:r>
              <w:rPr>
                <w:webHidden/>
                <w:rStyle w:val="Style14"/>
                <w:rFonts w:cs="Calibri Light (Заголовки)"/>
                <w:b/>
                <w:bCs/>
                <w:vanish w:val="false"/>
                <w:color w:val="0000FF"/>
                <w:sz w:val="24"/>
                <w:szCs w:val="24"/>
                <w:u w:val="single"/>
              </w:rPr>
              <w:t>2.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cs="Calibri Light (Заголовки)"/>
                <w:b/>
                <w:bCs/>
                <w:color w:val="0000FF"/>
                <w:sz w:val="24"/>
                <w:szCs w:val="24"/>
                <w:u w:val="single"/>
              </w:rPr>
              <w:t>Требования к продукции</w:t>
            </w:r>
            <w:r>
              <w:rPr>
                <w:rStyle w:val="Style14"/>
                <w:rFonts w:cs="Calibri Light (Заголовки)"/>
                <w:b/>
                <w:bCs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_Toc120633205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Calibri Light (Заголовки)"/>
                <w:b/>
                <w:bCs/>
                <w:sz w:val="24"/>
                <w:szCs w:val="2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r>
            <w:rPr>
              <w:rFonts w:cs="Calibri" w:cstheme="minorHAnsi"/>
              <w:sz w:val="24"/>
              <w:szCs w:val="24"/>
              <w:lang w:val="en-US"/>
            </w:rPr>
            <w:t xml:space="preserve">     </w:t>
          </w:r>
          <w:hyperlink w:anchor="_Toc120633206">
            <w:r>
              <w:rPr>
                <w:webHidden/>
                <w:rStyle w:val="Style14"/>
                <w:rFonts w:cs="Calibri" w:cstheme="minorHAnsi"/>
                <w:vanish w:val="false"/>
                <w:color w:val="0000FF"/>
                <w:sz w:val="24"/>
                <w:szCs w:val="24"/>
                <w:u w:val="single"/>
              </w:rPr>
              <w:t>2.1.1.Перечень и объем закупаемой продукции</w:t>
            </w:r>
            <w:r>
              <w:rPr>
                <w:rStyle w:val="Style14"/>
                <w:rFonts w:cs="Calibri" w:cs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_Toc120633206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Calibri" w:cstheme="minorHAnsi"/>
                <w:sz w:val="24"/>
                <w:szCs w:val="2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1120" w:leader="none"/>
              <w:tab w:val="right" w:pos="9911" w:leader="dot"/>
            </w:tabs>
            <w:ind w:left="280" w:hanging="0"/>
            <w:rPr>
              <w:rFonts w:ascii="Calibri" w:hAnsi="Calibri" w:eastAsia="新細明體" w:cs="Arial" w:asciiTheme="minorHAnsi" w:cstheme="minorBidi" w:eastAsiaTheme="minorEastAsia" w:hAnsiTheme="minorHAnsi"/>
              <w:sz w:val="24"/>
              <w:szCs w:val="24"/>
            </w:rPr>
          </w:pPr>
          <w:hyperlink w:anchor="_Toc120633207">
            <w:r>
              <w:rPr>
                <w:webHidden/>
                <w:rStyle w:val="Style14"/>
                <w:rFonts w:cs="Calibri" w:cstheme="minorHAnsi"/>
                <w:vanish w:val="false"/>
                <w:color w:val="0000FF"/>
                <w:sz w:val="24"/>
                <w:szCs w:val="24"/>
                <w:u w:val="single"/>
              </w:rPr>
              <w:t xml:space="preserve">2.1.2.Требования к срокам поставки продукции </w:t>
            </w:r>
            <w:r>
              <w:rPr>
                <w:rStyle w:val="Style14"/>
                <w:rFonts w:cs="Calibri" w:cs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_Toc120633207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rFonts w:cs="Calibri" w:cstheme="minorHAnsi"/>
                <w:sz w:val="24"/>
                <w:szCs w:val="24"/>
                <w:lang w:val="en-US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right" w:pos="9911" w:leader="dot"/>
            </w:tabs>
            <w:spacing w:before="120" w:after="0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0633208">
            <w:r>
              <w:rPr>
                <w:webHidden/>
                <w:rStyle w:val="Style14"/>
                <w:rFonts w:cs="Calibri Light (Заголовки)"/>
                <w:b/>
                <w:bCs/>
                <w:vanish w:val="false"/>
                <w:color w:val="0000FF"/>
                <w:sz w:val="24"/>
                <w:szCs w:val="24"/>
                <w:u w:val="single"/>
              </w:rPr>
              <w:t>Таблица </w:t>
            </w:r>
            <w:r>
              <w:rPr>
                <w:rStyle w:val="Style14"/>
                <w:rFonts w:cs="Calibri Light (Заголовки)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2</w:t>
            </w:r>
            <w:r>
              <w:rPr>
                <w:rStyle w:val="Style14"/>
                <w:rFonts w:cs="Calibri Light (Заголовки)"/>
                <w:b/>
                <w:bCs/>
                <w:color w:val="0000FF"/>
                <w:sz w:val="24"/>
                <w:szCs w:val="24"/>
                <w:u w:val="single"/>
              </w:rPr>
              <w:t>. Требования к продукции</w:t>
            </w:r>
            <w:r>
              <w:rPr>
                <w:rStyle w:val="Style14"/>
                <w:rFonts w:cs="Calibri Light (Заголовки)"/>
                <w:b/>
                <w:bCs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_Toc120633208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lang w:val="en-US"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spacing w:before="120" w:after="0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20633209">
            <w:r>
              <w:rPr>
                <w:webHidden/>
                <w:rStyle w:val="Style14"/>
                <w:rFonts w:cs="Calibri Light (Заголовки)"/>
                <w:b/>
                <w:bCs/>
                <w:vanish w:val="false"/>
                <w:color w:val="0000FF"/>
                <w:sz w:val="24"/>
                <w:szCs w:val="24"/>
                <w:u w:val="single"/>
              </w:rPr>
              <w:t>3.</w:t>
            </w:r>
            <w:r>
              <w:rPr>
                <w:rStyle w:val="Style14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rFonts w:cs="Calibri Light (Заголовки)"/>
                <w:b/>
                <w:bCs/>
                <w:color w:val="0000FF"/>
                <w:sz w:val="24"/>
                <w:szCs w:val="24"/>
                <w:u w:val="single"/>
              </w:rPr>
              <w:t>Требования к ценообразованию</w:t>
            </w:r>
            <w:r>
              <w:rPr>
                <w:rStyle w:val="Style14"/>
                <w:rFonts w:cs="Calibri Light (Заголовки)"/>
                <w:b/>
                <w:bCs/>
                <w:sz w:val="24"/>
                <w:szCs w:val="24"/>
              </w:rPr>
              <w:tab/>
            </w:r>
          </w:hyperlink>
          <w:r>
            <w:rPr>
              <w:rFonts w:cs="Calibri Light (Заголовки)"/>
              <w:b/>
              <w:bCs/>
              <w:sz w:val="24"/>
              <w:szCs w:val="24"/>
              <w:lang w:val="en-US"/>
            </w:rPr>
            <w:t>10</w:t>
          </w:r>
          <w:r>
            <w:rPr>
              <w:sz w:val="24"/>
              <w:b/>
              <w:szCs w:val="24"/>
              <w:bCs/>
              <w:rFonts w:cs="Calibri Light (Заголовки)"/>
              <w:lang w:val="en-US"/>
            </w:rPr>
            <w:fldChar w:fldCharType="end"/>
          </w:r>
        </w:p>
      </w:sdtContent>
    </w:sdt>
    <w:p>
      <w:pPr>
        <w:pStyle w:val="Normal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4"/>
        <w:numPr>
          <w:ilvl w:val="0"/>
          <w:numId w:val="3"/>
        </w:numPr>
        <w:ind w:left="0" w:hanging="0"/>
        <w:rPr>
          <w:sz w:val="28"/>
          <w:szCs w:val="28"/>
        </w:rPr>
      </w:pPr>
      <w:r>
        <w:rPr>
          <w:sz w:val="28"/>
          <w:szCs w:val="28"/>
        </w:rPr>
        <w:t>Общие сведения</w:t>
      </w:r>
    </w:p>
    <w:p>
      <w:pPr>
        <w:pStyle w:val="Heading4"/>
        <w:numPr>
          <w:ilvl w:val="1"/>
          <w:numId w:val="3"/>
        </w:numPr>
        <w:rPr>
          <w:lang w:val="en-US"/>
        </w:rPr>
      </w:pPr>
      <w:r>
        <w:rPr>
          <w:bCs w:val="false"/>
          <w:lang w:val="en-US"/>
        </w:rPr>
        <w:t xml:space="preserve">Обозначения и сокращения </w:t>
      </w:r>
    </w:p>
    <w:tbl>
      <w:tblPr>
        <w:tblW w:w="977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0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iCs/>
                <w:sz w:val="24"/>
                <w:szCs w:val="24"/>
                <w:lang w:eastAsia="x-none"/>
              </w:rPr>
            </w:pPr>
            <w:r>
              <w:rPr>
                <w:iCs/>
                <w:sz w:val="24"/>
                <w:szCs w:val="24"/>
                <w:lang w:eastAsia="x-none"/>
              </w:rPr>
              <w:t>ТТ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bCs/>
                <w:iCs/>
                <w:sz w:val="24"/>
                <w:szCs w:val="24"/>
                <w:lang w:eastAsia="x-none"/>
              </w:rPr>
            </w:pPr>
            <w:r>
              <w:rPr>
                <w:iCs/>
                <w:sz w:val="24"/>
                <w:szCs w:val="24"/>
                <w:lang w:val="en-US" w:eastAsia="x-none"/>
              </w:rPr>
              <w:t>Т</w:t>
            </w:r>
            <w:r>
              <w:rPr>
                <w:iCs/>
                <w:sz w:val="24"/>
                <w:szCs w:val="24"/>
                <w:lang w:eastAsia="x-none"/>
              </w:rPr>
              <w:t>ехнические требования</w:t>
            </w:r>
            <w:r>
              <w:rPr>
                <w:b/>
                <w:bCs/>
                <w:iCs/>
                <w:sz w:val="24"/>
                <w:szCs w:val="24"/>
                <w:lang w:eastAsia="x-none"/>
              </w:rPr>
              <w:t xml:space="preserve"> 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iCs/>
                <w:sz w:val="24"/>
                <w:szCs w:val="24"/>
                <w:lang w:val="en-US" w:eastAsia="x-none"/>
              </w:rPr>
            </w:pPr>
            <w:r>
              <w:rPr>
                <w:iCs/>
                <w:sz w:val="24"/>
                <w:szCs w:val="24"/>
                <w:lang w:val="en-US" w:eastAsia="x-none"/>
              </w:rPr>
              <w:t>УПД</w:t>
            </w:r>
          </w:p>
        </w:tc>
        <w:tc>
          <w:tcPr>
            <w:tcW w:w="7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rPr>
                <w:iCs/>
                <w:sz w:val="24"/>
                <w:szCs w:val="24"/>
                <w:lang w:val="en-US" w:eastAsia="x-none"/>
              </w:rPr>
            </w:pPr>
            <w:r>
              <w:rPr>
                <w:iCs/>
                <w:sz w:val="24"/>
                <w:szCs w:val="24"/>
                <w:lang w:val="en-US" w:eastAsia="x-none"/>
              </w:rPr>
              <w:t>Универсальный передаточный документ</w:t>
            </w:r>
          </w:p>
        </w:tc>
      </w:tr>
    </w:tbl>
    <w:p>
      <w:pPr>
        <w:pStyle w:val="Heading4"/>
        <w:numPr>
          <w:ilvl w:val="1"/>
          <w:numId w:val="3"/>
        </w:numPr>
        <w:rPr>
          <w:lang w:val="en-US"/>
        </w:rPr>
      </w:pPr>
      <w:bookmarkStart w:id="2" w:name="_Toc46743506"/>
      <w:bookmarkStart w:id="3" w:name="_Toc75446568"/>
      <w:r>
        <w:rPr>
          <w:lang w:val="en-US"/>
        </w:rPr>
        <w:t>Наименование закупаемой продукции</w:t>
      </w:r>
      <w:bookmarkEnd w:id="2"/>
      <w:bookmarkEnd w:id="3"/>
    </w:p>
    <w:p>
      <w:pPr>
        <w:pStyle w:val="Normal"/>
        <w:spacing w:before="60" w:after="0"/>
        <w:ind w:firstLine="567"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ОКПД2 22.19.40.110</w:t>
      </w:r>
      <w:r>
        <w:rPr>
          <w:rFonts w:eastAsia="Calibri"/>
          <w:bCs/>
          <w:sz w:val="24"/>
          <w:szCs w:val="24"/>
        </w:rPr>
        <w:t xml:space="preserve"> Поставка конвейерной ленты для нужд филиала ПАО «РусГидро» - «Воткинская ГЭС»</w:t>
      </w:r>
    </w:p>
    <w:p>
      <w:pPr>
        <w:pStyle w:val="Heading4"/>
        <w:numPr>
          <w:ilvl w:val="1"/>
          <w:numId w:val="3"/>
        </w:numPr>
        <w:rPr>
          <w:lang w:val="en-US"/>
        </w:rPr>
      </w:pPr>
      <w:bookmarkStart w:id="4" w:name="_Toc75446569"/>
      <w:bookmarkStart w:id="5" w:name="_Toc46743507"/>
      <w:r>
        <w:rPr>
          <w:lang w:val="en-US"/>
        </w:rPr>
        <w:t xml:space="preserve">Цель </w:t>
      </w:r>
      <w:bookmarkEnd w:id="5"/>
      <w:r>
        <w:rPr>
          <w:lang w:val="en-US"/>
        </w:rPr>
        <w:t xml:space="preserve">использования закупаемой продукции </w:t>
      </w:r>
      <w:bookmarkEnd w:id="4"/>
    </w:p>
    <w:p>
      <w:pPr>
        <w:pStyle w:val="Normal"/>
        <w:spacing w:before="60" w:after="0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  <w:t>Продукция закупается с целью минимизации материального ущерба от возможных технологических нарушений на оборудовании.</w:t>
      </w:r>
    </w:p>
    <w:p>
      <w:pPr>
        <w:pStyle w:val="Heading4"/>
        <w:numPr>
          <w:ilvl w:val="0"/>
          <w:numId w:val="3"/>
        </w:numPr>
        <w:spacing w:before="180" w:after="60"/>
        <w:ind w:left="0" w:hanging="0"/>
        <w:rPr/>
      </w:pPr>
      <w:bookmarkStart w:id="6" w:name="_Toc51339693"/>
      <w:bookmarkStart w:id="7" w:name="_Toc75446573"/>
      <w:bookmarkStart w:id="8" w:name="_Toc46743510"/>
      <w:bookmarkStart w:id="9" w:name="_Toc50125126"/>
      <w:bookmarkEnd w:id="8"/>
      <w:bookmarkEnd w:id="9"/>
      <w:r>
        <w:rPr>
          <w:sz w:val="28"/>
          <w:szCs w:val="28"/>
        </w:rPr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10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>
      <w:pPr>
        <w:pStyle w:val="Heading3"/>
        <w:numPr>
          <w:ilvl w:val="2"/>
          <w:numId w:val="3"/>
        </w:numPr>
        <w:rPr/>
      </w:pPr>
      <w:bookmarkStart w:id="11" w:name="_Toc75446575"/>
      <w:r>
        <w:rPr>
          <w:lang w:val="ru-RU"/>
        </w:rPr>
        <w:t>Перечень и объем закупаемой продукции</w:t>
      </w:r>
      <w:bookmarkEnd w:id="11"/>
      <w:r>
        <w:rPr>
          <w:lang w:val="ru-RU"/>
        </w:rPr>
        <w:t>.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</w:pPr>
      <w:bookmarkStart w:id="12" w:name="_Toc122705682"/>
      <w:bookmarkStart w:id="13" w:name="_Toc75446576"/>
      <w:bookmarkStart w:id="14" w:name="_Toc51339695"/>
      <w:r>
        <w:rPr>
          <w:rFonts w:eastAsia="Calibri"/>
          <w:b/>
          <w:sz w:val="24"/>
          <w:szCs w:val="24"/>
          <w:lang w:val="x-none" w:eastAsia="x-none"/>
        </w:rPr>
        <w:t xml:space="preserve">Таблица </w:t>
      </w:r>
      <w:r>
        <w:rPr>
          <w:rFonts w:eastAsia="Calibri"/>
          <w:b/>
          <w:sz w:val="24"/>
          <w:szCs w:val="24"/>
          <w:lang w:eastAsia="x-none"/>
        </w:rPr>
        <w:t>1.</w:t>
      </w:r>
      <w:r>
        <w:rPr>
          <w:rFonts w:eastAsia="Calibri"/>
          <w:b/>
          <w:sz w:val="24"/>
          <w:szCs w:val="24"/>
          <w:lang w:val="x-none" w:eastAsia="x-none"/>
        </w:rPr>
        <w:t xml:space="preserve"> </w:t>
      </w:r>
      <w:r>
        <w:rPr>
          <w:rFonts w:eastAsia="Calibri"/>
          <w:b/>
          <w:sz w:val="24"/>
          <w:szCs w:val="24"/>
          <w:lang w:eastAsia="x-none"/>
        </w:rPr>
        <w:t xml:space="preserve">Перечень </w:t>
      </w:r>
      <w:bookmarkEnd w:id="14"/>
      <w:r>
        <w:rPr>
          <w:rFonts w:eastAsia="Calibri"/>
          <w:b/>
          <w:sz w:val="24"/>
          <w:szCs w:val="24"/>
          <w:lang w:eastAsia="x-none"/>
        </w:rPr>
        <w:t>и объем закупаемой продукции</w:t>
      </w:r>
      <w:bookmarkEnd w:id="12"/>
      <w:bookmarkEnd w:id="13"/>
    </w:p>
    <w:tbl>
      <w:tblPr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7"/>
        <w:gridCol w:w="3966"/>
        <w:gridCol w:w="3624"/>
        <w:gridCol w:w="1082"/>
        <w:gridCol w:w="967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Марка, тип</w:t>
            </w:r>
            <w:r>
              <w:rPr>
                <w:b/>
                <w:color w:val="000000" w:themeColor="text1"/>
                <w:sz w:val="24"/>
                <w:szCs w:val="24"/>
                <w:lang w:val="en-US"/>
              </w:rPr>
              <w:t>, ТУ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pacing w:before="0" w:after="0"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Лента конвейерная 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2Ш-1600-2-ТК-200-2-4,5-3,5-Г1-РБ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>
            <w:pPr>
              <w:pStyle w:val="Normal"/>
              <w:widowControl w:val="false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или эквивалент</w:t>
            </w:r>
            <w:r>
              <w:rPr>
                <w:rStyle w:val="FootnoteReference"/>
                <w:i/>
                <w:sz w:val="24"/>
                <w:szCs w:val="24"/>
                <w:lang w:val="en-US"/>
              </w:rPr>
              <w:footnoteReference w:id="2"/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75446579"/>
      <w:bookmarkStart w:id="16" w:name="_Toc50125127"/>
      <w:bookmarkStart w:id="17" w:name="_Toc51339697"/>
      <w:bookmarkStart w:id="18" w:name="_Hlk50465284"/>
      <w:bookmarkStart w:id="19" w:name="_Toc50125126_Копия_1"/>
      <w:bookmarkEnd w:id="19"/>
      <w:r>
        <w:rPr>
          <w:lang w:val="ru-RU"/>
        </w:rPr>
        <w:t xml:space="preserve">Требования по срокам </w:t>
      </w:r>
      <w:bookmarkEnd w:id="16"/>
      <w:bookmarkEnd w:id="17"/>
      <w:bookmarkEnd w:id="18"/>
      <w:r>
        <w:rPr>
          <w:lang w:val="ru-RU"/>
        </w:rPr>
        <w:t>поставки продукции</w:t>
      </w:r>
      <w:bookmarkEnd w:id="15"/>
      <w:r>
        <w:rPr>
          <w:lang w:val="ru-RU"/>
        </w:rPr>
        <w:t xml:space="preserve"> </w:t>
      </w:r>
    </w:p>
    <w:p>
      <w:pPr>
        <w:pStyle w:val="Normal"/>
        <w:rPr>
          <w:sz w:val="24"/>
          <w:szCs w:val="24"/>
          <w:lang w:eastAsia="x-none"/>
        </w:rPr>
      </w:pPr>
      <w:r>
        <w:rPr>
          <w:lang w:eastAsia="x-none"/>
        </w:rPr>
        <w:t xml:space="preserve">          </w:t>
      </w:r>
      <w:r>
        <w:rPr>
          <w:sz w:val="24"/>
          <w:szCs w:val="24"/>
          <w:lang w:eastAsia="x-none"/>
        </w:rPr>
        <w:t>Начало поставки продукции: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  <w:lang w:eastAsia="x-none"/>
        </w:rPr>
        <w:t>со дня, следующего за днем заключения Договора</w:t>
      </w:r>
    </w:p>
    <w:p>
      <w:pPr>
        <w:pStyle w:val="Normal"/>
        <w:shd w:val="clear" w:color="auto" w:fill="FFFFFF" w:themeFill="background1"/>
        <w:rPr>
          <w:sz w:val="24"/>
          <w:szCs w:val="24"/>
          <w:lang w:eastAsia="x-none"/>
        </w:rPr>
      </w:pPr>
      <w:r>
        <w:rPr/>
        <w:t xml:space="preserve">          </w:t>
      </w:r>
      <w:r>
        <w:rPr>
          <w:sz w:val="24"/>
          <w:szCs w:val="24"/>
        </w:rPr>
        <w:t xml:space="preserve">Окончание поставки продукции: </w:t>
      </w:r>
      <w:r>
        <w:rPr>
          <w:i/>
          <w:sz w:val="24"/>
          <w:szCs w:val="24"/>
          <w:shd w:fill="FFFF00" w:val="clear"/>
          <w:lang w:eastAsia="x-none"/>
        </w:rPr>
        <w:t>14</w:t>
      </w:r>
      <w:r>
        <w:rPr>
          <w:i/>
          <w:sz w:val="24"/>
          <w:szCs w:val="24"/>
          <w:lang w:eastAsia="x-none"/>
        </w:rPr>
        <w:t xml:space="preserve"> календарных дней с момента заключения договора или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            </w:t>
      </w:r>
      <w:r>
        <w:rPr>
          <w:sz w:val="24"/>
          <w:szCs w:val="24"/>
          <w:lang w:eastAsia="x-none"/>
        </w:rPr>
        <w:t>Поставка продукции может  осуществляется несколькими партиями согласно графику:</w:t>
      </w:r>
    </w:p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tbl>
      <w:tblPr>
        <w:tblW w:w="1021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0"/>
        <w:gridCol w:w="6259"/>
        <w:gridCol w:w="3506"/>
      </w:tblGrid>
      <w:tr>
        <w:trPr/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поставки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конвейерной ленты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6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29.09.2026</w:t>
            </w: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268 м2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6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02.10.2026</w:t>
            </w: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268 м2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6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16.10.2026</w:t>
            </w: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 xml:space="preserve">304 м2 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6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30.10.2026</w:t>
            </w: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119 м2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625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06.11.2026</w:t>
            </w: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126 м2</w:t>
            </w:r>
          </w:p>
        </w:tc>
      </w:tr>
      <w:tr>
        <w:trPr/>
        <w:tc>
          <w:tcPr>
            <w:tcW w:w="670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Итого</w:t>
            </w:r>
          </w:p>
        </w:tc>
        <w:tc>
          <w:tcPr>
            <w:tcW w:w="3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34"/>
              <w:widowControl w:val="false"/>
              <w:jc w:val="center"/>
              <w:rPr/>
            </w:pPr>
            <w:r>
              <w:rPr/>
              <w:t>1085 м2</w:t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sectPr>
          <w:headerReference w:type="even" r:id="rId2"/>
          <w:headerReference w:type="default" r:id="rId3"/>
          <w:headerReference w:type="first" r:id="rId4"/>
          <w:footnotePr>
            <w:numFmt w:val="decimal"/>
          </w:footnotePr>
          <w:type w:val="nextPage"/>
          <w:pgSz w:w="11906" w:h="16838"/>
          <w:pgMar w:left="1134" w:right="707" w:gutter="0" w:header="680" w:top="1134" w:footer="0" w:bottom="709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Итого по графику: 1085 м2</w:t>
      </w:r>
      <w:bookmarkStart w:id="20" w:name="_Toc46743510_Копия_1"/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21" w:name="_Toc51339698"/>
      <w:bookmarkStart w:id="22" w:name="_Toc50125131"/>
      <w:bookmarkStart w:id="23" w:name="_Toc75446581"/>
      <w:bookmarkStart w:id="24" w:name="_Toc46743511"/>
      <w:bookmarkStart w:id="25" w:name="_Toc46743510_Копия_1_Копия_1"/>
      <w:bookmarkEnd w:id="20"/>
      <w:bookmarkEnd w:id="25"/>
      <w:r>
        <w:rPr/>
        <w:t xml:space="preserve">Требования к </w:t>
      </w:r>
      <w:bookmarkEnd w:id="24"/>
      <w:r>
        <w:rPr>
          <w:lang w:val="ru-RU"/>
        </w:rPr>
        <w:t>качеству продукции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</w:rPr>
      </w:pPr>
      <w:bookmarkStart w:id="26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1"/>
      <w:bookmarkEnd w:id="22"/>
      <w:bookmarkEnd w:id="26"/>
    </w:p>
    <w:tbl>
      <w:tblPr>
        <w:tblStyle w:val="affff7"/>
        <w:tblW w:w="1505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2693"/>
        <w:gridCol w:w="4394"/>
        <w:gridCol w:w="2836"/>
        <w:gridCol w:w="2267"/>
        <w:gridCol w:w="2012"/>
      </w:tblGrid>
      <w:tr>
        <w:trPr>
          <w:tblHeader w:val="true"/>
        </w:trPr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69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39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10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-114" w:right="-83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</w:trPr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69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39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blHeader w:val="true"/>
        </w:trPr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69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6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0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607" w:hRule="atLeast"/>
        </w:trPr>
        <w:tc>
          <w:tcPr>
            <w:tcW w:w="850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Лента конвейерная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2Ш-1600-2-ТК-200-2-4,5-3,5-Г1-РБ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или эквивалент</w:t>
            </w:r>
          </w:p>
        </w:tc>
        <w:tc>
          <w:tcPr>
            <w:tcW w:w="283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или, в случае поставки эквивалента –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подробное техническое описание предлагаемого к поставке эквивалента</w:t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700" w:hRule="atLeast"/>
        </w:trPr>
        <w:tc>
          <w:tcPr>
            <w:tcW w:w="850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  <w:kern w:val="0"/>
                <w:lang w:val="ru-RU" w:eastAsia="ru-RU" w:bidi="ar-SA"/>
              </w:rPr>
              <w:t>Тип резины в ленте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Трудновоспламеняющаяся, маслобензостойкая, устойчивая к ультрофиолету.</w:t>
            </w:r>
          </w:p>
        </w:tc>
        <w:tc>
          <w:tcPr>
            <w:tcW w:w="283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50" w:hRule="atLeast"/>
        </w:trPr>
        <w:tc>
          <w:tcPr>
            <w:tcW w:w="850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Ширина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1400 мм и не более 1800 мм</w:t>
            </w:r>
          </w:p>
        </w:tc>
        <w:tc>
          <w:tcPr>
            <w:tcW w:w="283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66" w:hRule="atLeast"/>
        </w:trPr>
        <w:tc>
          <w:tcPr>
            <w:tcW w:w="850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Толщина конвейерной ленты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10 мм (отклонения ±1мм согласно ГОСТ 20-2018)</w:t>
            </w:r>
          </w:p>
        </w:tc>
        <w:tc>
          <w:tcPr>
            <w:tcW w:w="283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66" w:hRule="atLeast"/>
        </w:trPr>
        <w:tc>
          <w:tcPr>
            <w:tcW w:w="850" w:type="dxa"/>
            <w:tcBorders/>
            <w:shd w:color="auto" w:fill="FFFFFF" w:themeFill="background1" w:val="clea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Нормативная документация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Конвейерная лента должна быть изготовлена по ГОСТ 20-2018 в части требований к трудновоспламеняемости и физико-механическим свойствам резины. </w:t>
            </w:r>
          </w:p>
        </w:tc>
        <w:tc>
          <w:tcPr>
            <w:tcW w:w="2836" w:type="dxa"/>
            <w:tcBorders/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26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666" w:hRule="atLeast"/>
        </w:trPr>
        <w:tc>
          <w:tcPr>
            <w:tcW w:w="850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Допуски по длине рулона</w:t>
            </w:r>
          </w:p>
        </w:tc>
        <w:tc>
          <w:tcPr>
            <w:tcW w:w="4394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 w:themeFill="background1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Фактическая длина ленты в рулоне должна составлять не менее 50 метров</w:t>
            </w:r>
          </w:p>
        </w:tc>
        <w:tc>
          <w:tcPr>
            <w:tcW w:w="2836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Требования к доставке,  упаковке, транспортировке, перемещению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200" w:hRule="atLeast"/>
        </w:trPr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Место поставки продукции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Доставка продукции осуществляется до склада Заказчика по адресу: РФ, 617760 Пермский край, Чайковский городской округ, г. Чайковский, территория Воткинской ГЭС, дом 1/2.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en-US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Условия поставки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- Доставка продукции Заказчику осуществляется силами, средствами и за счет Поставщика в рабочее время с 9-00 до 15-00 часов в срок, указанный в подразделе 2.1.2 настоящих ТТ.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Продукция без обязательных сопроводительных документов не принимается, ответственность за ее сохранность Заказчик не несет.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 Дата, время доставки продукции, государственный № транспорта, ФИО сотрудников Поставщика в обязательном порядке должны быть согласованы в письменном виде с ответственным сотрудником Заказчика не позднее 12-00 часов дня по московскому времени, предшествующего дню поставки.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Требования к упаковке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Продукция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должна быть упакована в заводскую упаковку, упаковка должна обеспечивать защиту </w:t>
            </w:r>
            <w:r>
              <w:rPr>
                <w:rFonts w:eastAsia="Calibri" w:cs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продукции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 от загрязнения и обеспечивать его сохранность при транспортировке. Упаковка не должна быть нарушена или повреждена.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Гарантийный срок эксплуатации составляет не менее 12 месяцев со дня ввода продукции в эксплуатацию, но не более 18 месяцев с даты поставки (в зависимости от того, что наступит раньше). Исчисляется с даты подписания Заказчиком товарной накладной ТОРГ-12 (или УПД).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708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12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Объем комплектации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 xml:space="preserve">На всю поставленную </w:t>
            </w:r>
            <w:r>
              <w:rPr>
                <w:rFonts w:eastAsia="Calibri" w:cs="Times New Roman"/>
                <w:color w:val="000000" w:themeColor="text1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продукцию</w:t>
            </w:r>
            <w:r>
              <w:rPr>
                <w:rFonts w:eastAsia="Calibri" w:cs="Times New Roman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 xml:space="preserve"> должны быть предоставлены паспорта, сертификаты соответствия продукции, а также инструкции по эксплуатации и хранению от завода-изготовителя. Сертификаты соответствия должны быть выданы отраслевыми органами сертификации и заверены печатью Поставщика. 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01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en-US" w:eastAsia="ru-RU" w:bidi="ar-SA"/>
              </w:rPr>
              <w:t>5.</w:t>
            </w:r>
          </w:p>
        </w:tc>
        <w:tc>
          <w:tcPr>
            <w:tcW w:w="708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b/>
                <w:kern w:val="0"/>
                <w:sz w:val="24"/>
                <w:szCs w:val="24"/>
                <w:lang w:val="ru-RU" w:eastAsia="en-US" w:bidi="ar-SA"/>
              </w:rPr>
              <w:t>Прочие (дополнительные) требования к продукции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01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5.1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Дополнительные требования к продукции</w:t>
            </w:r>
          </w:p>
        </w:tc>
        <w:tc>
          <w:tcPr>
            <w:tcW w:w="439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Не допускается поставка бывшей в употреблении, контрафактной и восстановленной продукции.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-</w:t>
            </w:r>
          </w:p>
        </w:tc>
        <w:tc>
          <w:tcPr>
            <w:tcW w:w="201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25" w:hanging="0"/>
              <w:contextualSpacing/>
              <w:jc w:val="left"/>
              <w:rPr>
                <w:lang w:val="en-US"/>
              </w:rPr>
            </w:pPr>
            <w:r>
              <w:rPr>
                <w:rFonts w:cs="Times New Roman"/>
                <w:kern w:val="0"/>
                <w:lang w:val="en-US" w:eastAsia="ru-RU" w:bidi="ar-SA"/>
              </w:rPr>
              <w:t>5.2</w:t>
            </w:r>
          </w:p>
        </w:tc>
        <w:tc>
          <w:tcPr>
            <w:tcW w:w="269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Применение национального режима в соответствии с Постановлением Правительства РФ от 23.12.2024 №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 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1875</w:t>
            </w:r>
          </w:p>
        </w:tc>
        <w:tc>
          <w:tcPr>
            <w:tcW w:w="4394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both"/>
              <w:rPr>
                <w:color w:val="000000" w:themeColor="text1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Национальный режим не предоставляется.</w:t>
            </w:r>
          </w:p>
          <w:p>
            <w:pPr>
              <w:pStyle w:val="Standard"/>
              <w:widowControl w:val="false"/>
              <w:suppressAutoHyphens w:val="true"/>
              <w:spacing w:before="0" w:after="0"/>
              <w:jc w:val="both"/>
              <w:rPr>
                <w:color w:val="000000" w:themeColor="text1"/>
              </w:rPr>
            </w:pPr>
            <w:r>
              <w:rPr>
                <w:rFonts w:eastAsia="Times New Roman" w:cs="Times New Roman"/>
                <w:b/>
                <w:i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Установлено преимущество в отношении товаров российского происхождения</w:t>
            </w:r>
            <w:r>
              <w:rPr>
                <w:rFonts w:eastAsia="Times New Roman" w:cs="Times New Roman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Указать страну происхождения товара в коммерческом предложении</w:t>
            </w:r>
          </w:p>
        </w:tc>
        <w:tc>
          <w:tcPr>
            <w:tcW w:w="283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en-US" w:eastAsia="ru-RU" w:bidi="ar-SA"/>
              </w:rPr>
              <w:t>Согласие с требованием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В качестве подтверждения Российского происхождения товара необходимо указать номера реестровых записей из реестра российской промышленной продукции или евразийского реестра промышленных товаров</w:t>
            </w:r>
          </w:p>
        </w:tc>
        <w:tc>
          <w:tcPr>
            <w:tcW w:w="201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Heading3"/>
        <w:spacing w:before="0" w:after="60"/>
        <w:rPr/>
      </w:pPr>
      <w:bookmarkStart w:id="27" w:name="_Toc191389017"/>
      <w:bookmarkStart w:id="28" w:name="_Hlk140571699"/>
      <w:bookmarkStart w:id="29" w:name="_Hlk140572020"/>
      <w:r>
        <w:rPr>
          <w:lang w:val="ru-RU"/>
        </w:rPr>
        <w:t xml:space="preserve">2.2.1. </w:t>
      </w:r>
      <w:r>
        <w:rPr/>
        <w:t>В составе заявки необходимо предоставить</w:t>
      </w:r>
      <w:bookmarkEnd w:id="29"/>
      <w:r>
        <w:rPr/>
        <w:t>:</w:t>
      </w:r>
      <w:bookmarkEnd w:id="27"/>
      <w:bookmarkEnd w:id="28"/>
    </w:p>
    <w:p>
      <w:pPr>
        <w:pStyle w:val="Normal"/>
        <w:spacing w:before="0" w:after="60"/>
        <w:jc w:val="both"/>
        <w:rPr>
          <w:b/>
          <w:iCs/>
          <w:sz w:val="24"/>
          <w:szCs w:val="24"/>
        </w:rPr>
      </w:pPr>
      <w:r>
        <w:rPr>
          <w:iCs/>
          <w:sz w:val="24"/>
          <w:szCs w:val="24"/>
        </w:rPr>
        <w:t xml:space="preserve">Участник в составе своей заявки для подтверждения соответствия заявленных характеристик и конструктива предлагаемой продукции требованиям настоящих ТТ, предоставляет следующие документы: </w:t>
      </w:r>
    </w:p>
    <w:p>
      <w:pPr>
        <w:sectPr>
          <w:headerReference w:type="default" r:id="rId5"/>
          <w:headerReference w:type="first" r:id="rId6"/>
          <w:footnotePr>
            <w:numFmt w:val="decimal"/>
          </w:footnotePr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ListParagraph"/>
        <w:numPr>
          <w:ilvl w:val="0"/>
          <w:numId w:val="8"/>
        </w:numPr>
        <w:tabs>
          <w:tab w:val="clear" w:pos="708"/>
          <w:tab w:val="left" w:pos="426" w:leader="none"/>
        </w:tabs>
        <w:spacing w:before="0" w:after="60"/>
        <w:ind w:left="0" w:hanging="0"/>
        <w:contextualSpacing w:val="false"/>
        <w:jc w:val="both"/>
        <w:textAlignment w:val="baseline"/>
        <w:rPr/>
      </w:pPr>
      <w:r>
        <w:rPr>
          <w:iCs/>
        </w:rPr>
        <w:t xml:space="preserve">Техническое предложение по форме </w:t>
      </w:r>
      <w:r>
        <w:rPr>
          <w:b/>
          <w:iCs/>
        </w:rPr>
        <w:t>Таблицы 2 настоящих ТТ с заполненным столбцом 6</w:t>
      </w:r>
      <w:r>
        <w:rPr>
          <w:iCs/>
        </w:rPr>
        <w:t xml:space="preserve"> «</w:t>
      </w:r>
      <w:r>
        <w:rPr>
          <w:rFonts w:eastAsia="Times New Roman"/>
          <w:bCs/>
        </w:rPr>
        <w:t>Предложение Участника по характеристикам и параметрам»</w:t>
      </w:r>
      <w:r>
        <w:rPr>
          <w:iCs/>
        </w:rPr>
        <w:t>.</w:t>
      </w:r>
    </w:p>
    <w:p>
      <w:pPr>
        <w:pStyle w:val="Heading4"/>
        <w:numPr>
          <w:ilvl w:val="0"/>
          <w:numId w:val="3"/>
        </w:numPr>
        <w:spacing w:before="180" w:after="60"/>
        <w:ind w:left="0" w:hanging="0"/>
        <w:rPr>
          <w:sz w:val="28"/>
          <w:szCs w:val="28"/>
        </w:rPr>
      </w:pPr>
      <w:bookmarkStart w:id="30" w:name="_Toc75446583"/>
      <w:bookmarkStart w:id="31" w:name="_Toc53393312"/>
      <w:r>
        <w:rPr>
          <w:sz w:val="28"/>
          <w:szCs w:val="28"/>
        </w:rPr>
        <w:t>Требования к документации по ценообразованию</w:t>
      </w:r>
      <w:bookmarkEnd w:id="31"/>
      <w:r>
        <w:rPr>
          <w:sz w:val="28"/>
          <w:szCs w:val="28"/>
        </w:rPr>
        <w:t xml:space="preserve"> на этапе закупки</w:t>
      </w:r>
      <w:bookmarkEnd w:id="30"/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both"/>
        <w:rPr>
          <w:bCs/>
          <w:iCs/>
          <w:sz w:val="24"/>
          <w:szCs w:val="24"/>
          <w:lang w:eastAsia="x-none"/>
        </w:rPr>
      </w:pPr>
      <w:bookmarkStart w:id="32" w:name="_Toc46743519"/>
      <w:bookmarkStart w:id="33" w:name="_Toc51339699"/>
      <w:r>
        <w:rPr>
          <w:bCs/>
          <w:iCs/>
          <w:sz w:val="24"/>
          <w:szCs w:val="24"/>
          <w:lang w:eastAsia="x-none"/>
        </w:rPr>
        <w:t>3.1. Стоимость продукции должна включать затраты на транспортировку, страхование, уплату налогов, таможенных пошлин, сборов и все остальные расходы, связанные с исполнением обязательств Участника по договору.</w:t>
      </w:r>
      <w:bookmarkEnd w:id="32"/>
      <w:bookmarkEnd w:id="33"/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 xml:space="preserve">3.2. В обоснование стоимости своей заявки Участник предоставляет Коммерческое предложение в произвольной форме </w:t>
      </w:r>
      <w:r>
        <w:rPr>
          <w:b/>
          <w:bCs/>
          <w:i/>
          <w:iCs/>
          <w:sz w:val="24"/>
          <w:szCs w:val="24"/>
          <w:lang w:eastAsia="x-none"/>
        </w:rPr>
        <w:t>с</w:t>
      </w:r>
      <w:r>
        <w:rPr>
          <w:b/>
          <w:bCs/>
          <w:iCs/>
          <w:sz w:val="24"/>
          <w:szCs w:val="24"/>
          <w:lang w:eastAsia="x-none"/>
        </w:rPr>
        <w:t xml:space="preserve"> </w:t>
      </w:r>
      <w:r>
        <w:rPr>
          <w:b/>
          <w:i/>
          <w:sz w:val="24"/>
          <w:szCs w:val="24"/>
        </w:rPr>
        <w:t>указанием номера реестровых записей</w:t>
      </w:r>
      <w:r>
        <w:rPr>
          <w:i/>
          <w:sz w:val="24"/>
          <w:szCs w:val="24"/>
        </w:rPr>
        <w:t xml:space="preserve"> из реестра российской промышленной продукции или евразийского реестра промышленных товаров</w:t>
      </w:r>
      <w:r>
        <w:rPr>
          <w:bCs/>
          <w:iCs/>
          <w:sz w:val="24"/>
          <w:szCs w:val="24"/>
          <w:lang w:eastAsia="x-none"/>
        </w:rPr>
        <w:t>.</w:t>
      </w:r>
    </w:p>
    <w:p>
      <w:pPr>
        <w:pStyle w:val="Normal"/>
        <w:tabs>
          <w:tab w:val="clear" w:pos="708"/>
          <w:tab w:val="left" w:pos="567" w:leader="none"/>
        </w:tabs>
        <w:spacing w:before="0" w:after="120"/>
        <w:jc w:val="both"/>
        <w:rPr>
          <w:bCs/>
          <w:iCs/>
          <w:sz w:val="24"/>
          <w:szCs w:val="24"/>
          <w:lang w:eastAsia="x-none"/>
        </w:rPr>
      </w:pPr>
      <w:r>
        <w:rPr>
          <w:bCs/>
          <w:iCs/>
          <w:sz w:val="24"/>
          <w:szCs w:val="24"/>
          <w:lang w:eastAsia="x-none"/>
        </w:rPr>
        <w:t>3.3. Дополнительные документы по ценообразованию в состав заявки не 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tbl>
      <w:tblPr>
        <w:tblW w:w="102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256"/>
      </w:tblGrid>
      <w:tr>
        <w:trPr>
          <w:trHeight w:val="705" w:hRule="atLeast"/>
        </w:trPr>
        <w:tc>
          <w:tcPr>
            <w:tcW w:w="1025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705" w:hRule="atLeast"/>
        </w:trPr>
        <w:tc>
          <w:tcPr>
            <w:tcW w:w="1025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550" w:leader="none"/>
              </w:tabs>
              <w:spacing w:beforeAutospacing="1" w:after="0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</w:tr>
      <w:tr>
        <w:trPr>
          <w:trHeight w:val="705" w:hRule="atLeast"/>
        </w:trPr>
        <w:tc>
          <w:tcPr>
            <w:tcW w:w="1025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550" w:leader="none"/>
              </w:tabs>
              <w:spacing w:beforeAutospacing="1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trHeight w:val="705" w:hRule="atLeast"/>
        </w:trPr>
        <w:tc>
          <w:tcPr>
            <w:tcW w:w="1025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7550" w:leader="none"/>
              </w:tabs>
              <w:spacing w:beforeAutospacing="1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Style w:val="Style8"/>
          <w:b w:val="false"/>
          <w:bCs/>
          <w:iCs/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Эквивалентная продукция – это продукция, которая по техническим и функциональным характеристикам не уступает характеристикам, заявленным в настоящих Технических требованиях, в том числе, по гарантийным срокам и срокам эксплуатации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7AB9B0D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AB9B0D3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1117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837" w:hanging="360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557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7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997" w:hanging="360"/>
      </w:pPr>
      <w:rPr>
        <w:rFonts w:ascii="Times New Roman" w:hAnsi="Times New Roman" w:cs="Times New Roman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717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437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6157" w:hanging="360"/>
      </w:pPr>
      <w:rPr>
        <w:rFonts w:ascii="Times New Roman" w:hAnsi="Times New Roman" w:cs="Times New Roman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877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e0f9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ind w:left="0" w:hanging="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tabs>
        <w:tab w:val="clear" w:pos="708"/>
        <w:tab w:val="left" w:pos="360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andard" w:customStyle="1">
    <w:name w:val="Standard"/>
    <w:qFormat/>
    <w:rsid w:val="00cf2098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2DE1C-0803-4B4F-99B6-A55BCBEFC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Application>AlterOffice/3.4.0.9$Linux_X86_64 LibreOffice_project/b8daf9e823b1a5463a2f48435ddc2e8696e7d4fc</Application>
  <AppVersion>15.0000</AppVersion>
  <Pages>8</Pages>
  <Words>879</Words>
  <Characters>5895</Characters>
  <CharactersWithSpaces>6634</CharactersWithSpaces>
  <Paragraphs>185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2026-09-01T16:47:00Z</dcterms:created>
  <dc:creator>Быстров Олег Геннадьевич</dc:creator>
  <dc:description/>
  <dc:language>ru-RU</dc:language>
  <cp:lastModifiedBy>Радостева Юлия Алексеевна</cp:lastModifiedBy>
  <cp:lastPrinted>2026-09-07T09:19:00Z</cp:lastPrinted>
  <dcterms:modified xsi:type="dcterms:W3CDTF">2026-09-07T06:20:00Z</dcterms:modified>
  <cp:revision>14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