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footnotes.xml.rels" ContentType="application/vnd.openxmlformats-package.relationships+xml"/>
  <Override PartName="/word/footer3.xml" ContentType="application/vnd.openxmlformats-officedocument.wordprocessingml.footer+xml"/>
  <Override PartName="/word/header7.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Override PartName="/word/numbering.xml" ContentType="application/vnd.openxmlformats-officedocument.wordprocessingml.numbering+xml"/>
  <Override PartName="/word/document.xml" ContentType="application/vnd.openxmlformats-officedocument.wordprocessingml.document.main+xml"/>
  <Override PartName="/word/header2.xml" ContentType="application/vnd.openxmlformats-officedocument.wordprocessingml.header+xml"/>
  <Override PartName="/word/media/image9.png" ContentType="image/png"/>
  <Override PartName="/word/media/image14.png" ContentType="image/png"/>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10.png" ContentType="image/png"/>
  <Override PartName="/word/media/image6.png" ContentType="image/png"/>
  <Override PartName="/word/media/image11.png" ContentType="image/png"/>
  <Override PartName="/word/media/image7.png" ContentType="image/png"/>
  <Override PartName="/word/media/image12.png" ContentType="image/png"/>
  <Override PartName="/word/media/image8.png" ContentType="image/png"/>
  <Override PartName="/word/media/image13.png" ContentType="image/png"/>
  <Override PartName="/word/fontTable.xml" ContentType="application/vnd.openxmlformats-officedocument.wordprocessingml.fontTable+xml"/>
  <Override PartName="/word/header3.xml" ContentType="application/vnd.openxmlformats-officedocument.wordprocessingml.header+xml"/>
  <Override PartName="/word/header1.xml" ContentType="application/vnd.openxmlformats-officedocument.wordprocessingml.header+xml"/>
  <Override PartName="/word/header6.xml" ContentType="application/vnd.openxmlformats-officedocument.wordprocessingml.header+xml"/>
  <Override PartName="/word/theme/theme1.xml" ContentType="application/vnd.openxmlformats-officedocument.theme+xml"/>
  <Override PartName="/word/header4.xml" ContentType="application/vnd.openxmlformats-officedocument.wordprocessingml.header+xml"/>
  <Override PartName="/word/styles.xml" ContentType="application/vnd.openxmlformats-officedocument.wordprocessingml.styles+xml"/>
  <Override PartName="/word/header5.xml" ContentType="application/vnd.openxmlformats-officedocument.wordprocessingml.header+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val="clear" w:color="auto" w:fill="FFFFFF"/>
        <w:tabs>
          <w:tab w:val="clear" w:pos="708"/>
          <w:tab w:val="left" w:pos="6926" w:leader="none"/>
        </w:tabs>
        <w:jc w:val="center"/>
        <w:rPr>
          <w:rFonts w:ascii="Times New Roman" w:hAnsi="Times New Roman"/>
          <w:sz w:val="24"/>
          <w:szCs w:val="24"/>
        </w:rPr>
      </w:pPr>
      <w:r>
        <w:rPr>
          <w:b/>
          <w:bCs/>
          <w:sz w:val="24"/>
          <w:szCs w:val="24"/>
        </w:rPr>
        <w:t>Договор поставки</w:t>
      </w:r>
    </w:p>
    <w:p>
      <w:pPr>
        <w:pStyle w:val="Normal"/>
        <w:shd w:val="clear" w:color="auto" w:fill="FFFFFF"/>
        <w:tabs>
          <w:tab w:val="clear" w:pos="708"/>
          <w:tab w:val="right" w:pos="9639" w:leader="none"/>
        </w:tabs>
        <w:jc w:val="right"/>
        <w:rPr>
          <w:rFonts w:ascii="Times New Roman" w:hAnsi="Times New Roman"/>
          <w:sz w:val="24"/>
          <w:szCs w:val="24"/>
        </w:rPr>
      </w:pPr>
      <w:r>
        <w:rPr>
          <w:bCs/>
          <w:sz w:val="24"/>
          <w:szCs w:val="24"/>
        </w:rPr>
        <w:t>г. _________</w:t>
        <w:tab/>
        <w:t xml:space="preserve">   «___» _________ 20__ г.</w:t>
      </w:r>
    </w:p>
    <w:p>
      <w:pPr>
        <w:pStyle w:val="Normal"/>
        <w:shd w:val="clear" w:color="auto" w:fill="FFFFFF"/>
        <w:tabs>
          <w:tab w:val="clear" w:pos="708"/>
          <w:tab w:val="right" w:pos="9639" w:leader="none"/>
        </w:tabs>
        <w:jc w:val="right"/>
        <w:rPr>
          <w:rFonts w:ascii="Times New Roman" w:hAnsi="Times New Roman"/>
          <w:bCs/>
          <w:sz w:val="24"/>
          <w:szCs w:val="24"/>
        </w:rPr>
      </w:pPr>
      <w:r>
        <w:rPr>
          <w:bCs/>
          <w:sz w:val="24"/>
          <w:szCs w:val="24"/>
        </w:rPr>
      </w:r>
    </w:p>
    <w:p>
      <w:pPr>
        <w:pStyle w:val="Normal"/>
        <w:ind w:firstLine="709"/>
        <w:jc w:val="both"/>
        <w:rPr>
          <w:rFonts w:ascii="Times New Roman" w:hAnsi="Times New Roman"/>
          <w:sz w:val="24"/>
          <w:szCs w:val="24"/>
        </w:rPr>
      </w:pPr>
      <w:r>
        <w:rPr>
          <w:b/>
          <w:sz w:val="24"/>
          <w:szCs w:val="24"/>
        </w:rPr>
        <w:t xml:space="preserve">Акционерное общество «Дальневосточная распределительная сетевая компания» </w:t>
      </w:r>
      <w:r>
        <w:rPr>
          <w:sz w:val="24"/>
          <w:szCs w:val="24"/>
        </w:rPr>
        <w:t>(АО «ДРСК»)</w:t>
      </w:r>
      <w:r>
        <w:rPr>
          <w:spacing w:val="2"/>
          <w:sz w:val="24"/>
          <w:szCs w:val="24"/>
        </w:rPr>
        <w:t xml:space="preserve"> (далее – </w:t>
      </w:r>
      <w:r>
        <w:rPr>
          <w:sz w:val="24"/>
          <w:szCs w:val="24"/>
        </w:rPr>
        <w:t>«Покупатель»), в лице _____________________</w:t>
      </w:r>
      <w:r>
        <w:rPr>
          <w:spacing w:val="4"/>
          <w:sz w:val="24"/>
          <w:szCs w:val="24"/>
        </w:rPr>
        <w:t>, действующего на основании ________, с одной стороны, и</w:t>
      </w:r>
      <w:r>
        <w:rPr>
          <w:spacing w:val="10"/>
          <w:sz w:val="24"/>
          <w:szCs w:val="24"/>
        </w:rPr>
        <w:t xml:space="preserve"> </w:t>
      </w:r>
    </w:p>
    <w:p>
      <w:pPr>
        <w:pStyle w:val="Normal"/>
        <w:ind w:firstLine="709"/>
        <w:jc w:val="both"/>
        <w:rPr>
          <w:rFonts w:ascii="Times New Roman" w:hAnsi="Times New Roman"/>
          <w:sz w:val="24"/>
          <w:szCs w:val="24"/>
        </w:rPr>
      </w:pP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pPr>
        <w:pStyle w:val="Normal"/>
        <w:ind w:firstLine="709"/>
        <w:jc w:val="both"/>
        <w:rPr>
          <w:rFonts w:ascii="Times New Roman" w:hAnsi="Times New Roman"/>
          <w:sz w:val="24"/>
          <w:szCs w:val="24"/>
        </w:rPr>
      </w:pPr>
      <w:r>
        <w:rPr>
          <w:sz w:val="24"/>
          <w:szCs w:val="24"/>
        </w:rPr>
        <w:t xml:space="preserve">совместно в дальнейшем именуемые «Стороны», а по отдельности – «Сторона», </w:t>
        <w:br/>
      </w:r>
      <w:r>
        <w:rPr>
          <w:sz w:val="24"/>
          <w:szCs w:val="24"/>
          <w:highlight w:val="white"/>
          <w:lang w:eastAsia="en-US"/>
        </w:rPr>
        <w:t>по результатам проведенной Покупателем конкурентной процедуры по лоту № ____________ и на основании протокола __________ от «___» _________ г. №_______,</w:t>
      </w:r>
    </w:p>
    <w:p>
      <w:pPr>
        <w:pStyle w:val="Normal"/>
        <w:ind w:firstLine="709"/>
        <w:jc w:val="both"/>
        <w:rPr>
          <w:rFonts w:ascii="Times New Roman" w:hAnsi="Times New Roman"/>
          <w:sz w:val="24"/>
          <w:szCs w:val="24"/>
        </w:rPr>
      </w:pPr>
      <w:r>
        <w:rPr>
          <w:sz w:val="24"/>
          <w:szCs w:val="24"/>
        </w:rPr>
        <w:t>заключили настоящий договор поставки (далее – «Договор») о нижеследующем:</w:t>
      </w:r>
    </w:p>
    <w:p>
      <w:pPr>
        <w:pStyle w:val="Normal"/>
        <w:shd w:val="clear" w:color="auto" w:fill="FFFFFF"/>
        <w:rPr>
          <w:rFonts w:ascii="Times New Roman" w:hAnsi="Times New Roman"/>
          <w:bCs/>
          <w:sz w:val="24"/>
          <w:szCs w:val="24"/>
          <w:lang w:val="x-none"/>
        </w:rPr>
      </w:pPr>
      <w:r>
        <w:rPr>
          <w:bCs/>
          <w:sz w:val="24"/>
          <w:szCs w:val="24"/>
          <w:lang w:val="x-none"/>
        </w:rPr>
      </w:r>
    </w:p>
    <w:p>
      <w:pPr>
        <w:pStyle w:val="Normal"/>
        <w:shd w:val="clear" w:color="auto" w:fill="FFFFFF"/>
        <w:jc w:val="center"/>
        <w:rPr>
          <w:rFonts w:ascii="Times New Roman" w:hAnsi="Times New Roman"/>
          <w:sz w:val="24"/>
          <w:szCs w:val="24"/>
        </w:rPr>
      </w:pPr>
      <w:r>
        <w:rPr>
          <w:b/>
          <w:bCs/>
          <w:sz w:val="24"/>
          <w:szCs w:val="24"/>
        </w:rPr>
        <w:t>Термины и определения</w:t>
      </w:r>
    </w:p>
    <w:p>
      <w:pPr>
        <w:pStyle w:val="Normal"/>
        <w:shd w:val="clear" w:color="auto" w:fill="FFFFFF"/>
        <w:ind w:firstLine="709"/>
        <w:jc w:val="both"/>
        <w:rPr>
          <w:rFonts w:ascii="Times New Roman" w:hAnsi="Times New Roman"/>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overflowPunct w:val="true"/>
        <w:ind w:left="0" w:firstLine="709"/>
        <w:jc w:val="both"/>
        <w:textAlignment w:val="baseline"/>
        <w:rPr>
          <w:rFonts w:ascii="Times New Roman" w:hAnsi="Times New Roman"/>
          <w:sz w:val="24"/>
          <w:szCs w:val="24"/>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8"/>
          <w:tab w:val="left" w:pos="0" w:leader="none"/>
        </w:tabs>
        <w:overflowPunct w:val="true"/>
        <w:ind w:left="0" w:firstLine="709"/>
        <w:jc w:val="both"/>
        <w:textAlignment w:val="baseline"/>
        <w:rPr>
          <w:rFonts w:ascii="Times New Roman" w:hAnsi="Times New Roman"/>
          <w:sz w:val="24"/>
          <w:szCs w:val="24"/>
        </w:rPr>
      </w:pPr>
      <w:r>
        <w:rPr>
          <w:b/>
          <w:sz w:val="24"/>
          <w:szCs w:val="24"/>
          <w:shd w:fill="FFFFFF" w:val="clear"/>
          <w:lang w:eastAsia="en-US"/>
        </w:rPr>
        <w:t>«Банковская гарантия»</w:t>
      </w:r>
      <w:r>
        <w:rPr>
          <w:sz w:val="24"/>
          <w:szCs w:val="24"/>
          <w:shd w:fill="FFFFFF" w:val="clear"/>
          <w:lang w:eastAsia="en-US"/>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 758), в той мере, в какой указанные правила не противоречат законодательству Российской Федерации и условиям настоящего Договора.</w:t>
      </w:r>
    </w:p>
    <w:p>
      <w:pPr>
        <w:pStyle w:val="ListParagraph"/>
        <w:shd w:val="clear" w:color="auto" w:fill="FFFFFF"/>
        <w:tabs>
          <w:tab w:val="clear" w:pos="708"/>
          <w:tab w:val="left" w:pos="567" w:leader="none"/>
          <w:tab w:val="left" w:pos="1134" w:leader="none"/>
        </w:tabs>
        <w:overflowPunct w:val="true"/>
        <w:ind w:left="0" w:firstLine="708"/>
        <w:jc w:val="both"/>
        <w:textAlignment w:val="baseline"/>
        <w:rPr>
          <w:rFonts w:ascii="Times New Roman" w:hAnsi="Times New Roman"/>
          <w:sz w:val="24"/>
          <w:szCs w:val="24"/>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8"/>
          <w:tab w:val="left" w:pos="0" w:leader="none"/>
        </w:tabs>
        <w:overflowPunct w:val="true"/>
        <w:ind w:left="0" w:firstLine="709"/>
        <w:jc w:val="both"/>
        <w:textAlignment w:val="baseline"/>
        <w:rPr>
          <w:rFonts w:ascii="Times New Roman" w:hAnsi="Times New Roman"/>
          <w:sz w:val="24"/>
          <w:szCs w:val="24"/>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overflowPunct w:val="true"/>
        <w:ind w:left="0" w:firstLine="709"/>
        <w:jc w:val="both"/>
        <w:textAlignment w:val="baseline"/>
        <w:rPr>
          <w:rFonts w:ascii="Times New Roman" w:hAnsi="Times New Roman"/>
          <w:sz w:val="24"/>
          <w:szCs w:val="24"/>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8"/>
          <w:tab w:val="left" w:pos="0" w:leader="none"/>
        </w:tabs>
        <w:overflowPunct w:val="true"/>
        <w:ind w:left="0" w:firstLine="709"/>
        <w:jc w:val="both"/>
        <w:textAlignment w:val="baseline"/>
        <w:rPr>
          <w:rFonts w:ascii="Times New Roman" w:hAnsi="Times New Roman"/>
          <w:sz w:val="24"/>
          <w:szCs w:val="24"/>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w:t>
      </w:r>
      <w:r>
        <w:rPr>
          <w:sz w:val="24"/>
          <w:szCs w:val="24"/>
          <w:shd w:fill="FFFFFF" w:val="clear"/>
          <w:lang w:eastAsia="en-US"/>
        </w:rPr>
        <w:t>тву, качеству и комплектности.</w:t>
      </w:r>
    </w:p>
    <w:p>
      <w:pPr>
        <w:pStyle w:val="ListParagraph"/>
        <w:shd w:val="clear" w:color="auto" w:fill="FFFFFF"/>
        <w:tabs>
          <w:tab w:val="clear" w:pos="708"/>
          <w:tab w:val="left" w:pos="0" w:leader="none"/>
        </w:tabs>
        <w:overflowPunct w:val="true"/>
        <w:ind w:left="0" w:firstLine="709"/>
        <w:jc w:val="both"/>
        <w:textAlignment w:val="baseline"/>
        <w:rPr>
          <w:rFonts w:ascii="Times New Roman" w:hAnsi="Times New Roman"/>
          <w:sz w:val="24"/>
          <w:szCs w:val="24"/>
        </w:rPr>
      </w:pPr>
      <w:r>
        <w:rPr>
          <w:b w:val="false"/>
          <w:bCs w:val="false"/>
          <w:i w:val="false"/>
          <w:iCs w:val="false"/>
          <w:caps w:val="false"/>
          <w:smallCaps w:val="false"/>
          <w:sz w:val="24"/>
          <w:szCs w:val="24"/>
          <w:shd w:fill="FFFFFF" w:val="clear"/>
          <w:lang w:eastAsia="en-US"/>
        </w:rPr>
        <w:t>При использовании Сторонами электронного документооборота, Стороны по договору вместо ТОРГ-12  оформляют УПД</w:t>
      </w:r>
      <w:r>
        <w:rPr>
          <w:rStyle w:val="Style19"/>
          <w:b w:val="false"/>
          <w:bCs w:val="false"/>
          <w:i w:val="false"/>
          <w:iCs w:val="false"/>
          <w:caps w:val="false"/>
          <w:smallCaps w:val="false"/>
          <w:sz w:val="24"/>
          <w:szCs w:val="24"/>
          <w:shd w:fill="FFFFFF" w:val="clear"/>
          <w:lang w:eastAsia="en-US"/>
        </w:rPr>
        <w:footnoteReference w:id="2"/>
      </w:r>
      <w:r>
        <w:rPr>
          <w:b w:val="false"/>
          <w:bCs w:val="false"/>
          <w:i w:val="false"/>
          <w:iCs w:val="false"/>
          <w:caps w:val="false"/>
          <w:smallCaps w:val="false"/>
          <w:sz w:val="24"/>
          <w:szCs w:val="24"/>
          <w:shd w:fill="FFFFFF" w:val="clear"/>
          <w:lang w:eastAsia="en-US"/>
        </w:rPr>
        <w:t>. В этом случае условия Договора в отношении ТОРГ-12 применяются в равной степени к УПД.</w:t>
      </w:r>
    </w:p>
    <w:p>
      <w:pPr>
        <w:pStyle w:val="ListParagraph"/>
        <w:shd w:val="clear" w:color="auto" w:fill="FFFFFF"/>
        <w:tabs>
          <w:tab w:val="clear" w:pos="708"/>
          <w:tab w:val="left" w:pos="0" w:leader="none"/>
        </w:tabs>
        <w:overflowPunct w:val="true"/>
        <w:ind w:left="0" w:firstLine="709"/>
        <w:jc w:val="both"/>
        <w:textAlignment w:val="baseline"/>
        <w:rPr>
          <w:rFonts w:ascii="Times New Roman" w:hAnsi="Times New Roman"/>
          <w:sz w:val="24"/>
          <w:szCs w:val="24"/>
        </w:rPr>
      </w:pPr>
      <w:r>
        <w:rPr>
          <w:b/>
          <w:sz w:val="24"/>
          <w:szCs w:val="24"/>
          <w:shd w:fill="FFFFFF" w:val="clear"/>
          <w:lang w:eastAsia="en-US"/>
        </w:rPr>
        <w:t xml:space="preserve">«Отказ от Договора» </w:t>
      </w:r>
      <w:r>
        <w:rPr>
          <w:sz w:val="24"/>
          <w:szCs w:val="24"/>
          <w:shd w:fill="FFFFFF" w:val="clear"/>
          <w:lang w:eastAsia="en-US"/>
        </w:rPr>
        <w:t>– односторонний внесудебный отказ</w:t>
      </w:r>
      <w:r>
        <w:rPr>
          <w:sz w:val="24"/>
          <w:szCs w:val="24"/>
          <w:lang w:eastAsia="en-US"/>
        </w:rPr>
        <w:t xml:space="preserve"> от исполнения Договора, совершенный Стороной в соответствии со статьей 450.1 ГК РФ в случаях, установленных Договором. </w:t>
      </w:r>
    </w:p>
    <w:p>
      <w:pPr>
        <w:pStyle w:val="3"/>
        <w:keepNext w:val="false"/>
        <w:tabs>
          <w:tab w:val="clear" w:pos="708"/>
          <w:tab w:val="left" w:pos="0" w:leader="none"/>
        </w:tabs>
        <w:overflowPunct w:val="true"/>
        <w:spacing w:before="0" w:after="0"/>
        <w:ind w:firstLine="709"/>
        <w:jc w:val="both"/>
        <w:textAlignment w:val="baseline"/>
        <w:rPr>
          <w:rFonts w:ascii="Times New Roman" w:hAnsi="Times New Roman"/>
          <w:sz w:val="24"/>
          <w:szCs w:val="24"/>
        </w:rPr>
      </w:pPr>
      <w:r>
        <w:rPr>
          <w:rFonts w:ascii="Times New Roman" w:hAnsi="Times New Roman"/>
          <w:color w:val="00000A"/>
          <w:sz w:val="24"/>
          <w:szCs w:val="24"/>
          <w:lang w:val="ru-RU" w:eastAsia="en-US"/>
        </w:rPr>
        <w:t>«Применимое право»</w:t>
      </w:r>
      <w:r>
        <w:rPr>
          <w:rFonts w:ascii="Times New Roman" w:hAnsi="Times New Roman"/>
          <w:b w:val="false"/>
          <w:color w:val="00000A"/>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rFonts w:ascii="Times New Roman" w:hAnsi="Times New Roman"/>
          <w:sz w:val="24"/>
          <w:szCs w:val="24"/>
        </w:rPr>
      </w:pPr>
      <w:r>
        <w:rPr>
          <w:b/>
          <w:sz w:val="24"/>
          <w:szCs w:val="24"/>
          <w:lang w:eastAsia="en-US"/>
        </w:rPr>
        <w:t>«Проектная документация»</w:t>
      </w:r>
      <w:r>
        <w:rPr>
          <w:sz w:val="24"/>
          <w:szCs w:val="24"/>
          <w:lang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Normal"/>
        <w:ind w:firstLine="709"/>
        <w:jc w:val="both"/>
        <w:rPr>
          <w:rFonts w:ascii="Times New Roman" w:hAnsi="Times New Roman"/>
          <w:sz w:val="24"/>
          <w:szCs w:val="24"/>
        </w:rPr>
      </w:pPr>
      <w:r>
        <w:rPr>
          <w:sz w:val="24"/>
          <w:szCs w:val="24"/>
          <w:lang w:eastAsia="en-US"/>
        </w:rPr>
        <w:t xml:space="preserve">Состав разделов Проектной документации определяется Применимым правом. </w:t>
      </w:r>
    </w:p>
    <w:p>
      <w:pPr>
        <w:pStyle w:val="Normal"/>
        <w:ind w:firstLine="709"/>
        <w:jc w:val="both"/>
        <w:rPr>
          <w:rFonts w:ascii="Times New Roman" w:hAnsi="Times New Roman"/>
          <w:sz w:val="24"/>
          <w:szCs w:val="24"/>
        </w:rPr>
      </w:pPr>
      <w:r>
        <w:rPr>
          <w:sz w:val="24"/>
          <w:szCs w:val="24"/>
          <w:lang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Покупателя.</w:t>
      </w:r>
    </w:p>
    <w:p>
      <w:pPr>
        <w:pStyle w:val="Normal"/>
        <w:ind w:firstLine="708"/>
        <w:jc w:val="both"/>
        <w:rPr>
          <w:rFonts w:ascii="Times New Roman" w:hAnsi="Times New Roman"/>
          <w:sz w:val="24"/>
          <w:szCs w:val="24"/>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Normal"/>
        <w:widowControl w:val="false"/>
        <w:spacing w:before="0" w:after="0"/>
        <w:ind w:left="0" w:right="0" w:firstLine="709"/>
        <w:jc w:val="both"/>
        <w:rPr>
          <w:rFonts w:ascii="Times New Roman" w:hAnsi="Times New Roman"/>
          <w:sz w:val="24"/>
          <w:szCs w:val="24"/>
        </w:rPr>
      </w:pPr>
      <w:r>
        <w:rPr>
          <w:b/>
          <w:bCs/>
          <w:color w:val="00000A"/>
          <w:sz w:val="24"/>
          <w:szCs w:val="24"/>
          <w:highlight w:val="white"/>
          <w:lang w:val="ru-RU" w:eastAsia="en-US"/>
        </w:rPr>
        <w:t xml:space="preserve">«Универсальный передаточный документ (УПД)» </w:t>
      </w:r>
      <w:r>
        <w:rPr>
          <w:b w:val="false"/>
          <w:bCs w:val="false"/>
          <w:color w:val="00000A"/>
          <w:sz w:val="24"/>
          <w:szCs w:val="24"/>
          <w:highlight w:val="white"/>
          <w:lang w:val="ru-RU" w:eastAsia="en-US"/>
        </w:rPr>
        <w:t>– форма докуме</w:t>
      </w:r>
      <w:r>
        <w:rPr>
          <w:b w:val="false"/>
          <w:color w:val="00000A"/>
          <w:sz w:val="24"/>
          <w:szCs w:val="24"/>
          <w:highlight w:val="white"/>
          <w:lang w:val="ru-RU" w:eastAsia="en-US"/>
        </w:rPr>
        <w:t>нта, рекомендованная для применения письмом ФНС России от 21.10.2013 No ММВ-20-3/96@ (объединяет реквизиты счета-фактуры и первичного документа о передаче товаров, работ, услуг).</w:t>
      </w:r>
    </w:p>
    <w:p>
      <w:pPr>
        <w:pStyle w:val="3"/>
        <w:keepNext w:val="false"/>
        <w:tabs>
          <w:tab w:val="clear" w:pos="708"/>
          <w:tab w:val="left" w:pos="0" w:leader="none"/>
        </w:tabs>
        <w:overflowPunct w:val="true"/>
        <w:spacing w:before="0" w:after="0"/>
        <w:ind w:firstLine="708"/>
        <w:jc w:val="both"/>
        <w:textAlignment w:val="baseline"/>
        <w:rPr>
          <w:rFonts w:ascii="Times New Roman" w:hAnsi="Times New Roman"/>
          <w:sz w:val="24"/>
          <w:szCs w:val="24"/>
        </w:rPr>
      </w:pPr>
      <w:r>
        <w:rPr>
          <w:rFonts w:ascii="Times New Roman" w:hAnsi="Times New Roman"/>
          <w:color w:val="00000A"/>
          <w:sz w:val="24"/>
          <w:szCs w:val="24"/>
          <w:lang w:val="ru-RU" w:eastAsia="en-US"/>
        </w:rPr>
        <w:t>«Цена Договора»</w:t>
      </w:r>
      <w:r>
        <w:rPr>
          <w:rFonts w:ascii="Times New Roman" w:hAnsi="Times New Roman"/>
          <w:b w:val="false"/>
          <w:color w:val="00000A"/>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Web"/>
        <w:spacing w:before="0" w:after="0"/>
        <w:ind w:firstLine="851"/>
        <w:jc w:val="both"/>
        <w:rPr>
          <w:rFonts w:ascii="Times New Roman" w:hAnsi="Times New Roman"/>
          <w:sz w:val="24"/>
          <w:szCs w:val="24"/>
        </w:rPr>
      </w:pPr>
      <w:r>
        <w:rPr>
          <w:b/>
          <w:bCs/>
          <w:sz w:val="24"/>
          <w:szCs w:val="24"/>
        </w:rPr>
        <w:t>«Банк»</w:t>
      </w:r>
      <w:r>
        <w:rPr>
          <w:sz w:val="24"/>
          <w:szCs w:val="24"/>
        </w:rPr>
        <w:t xml:space="preserve"> - «Газпромбанк» (Акционерное общество) (Банк ГПБ (АО)), адрес юридического лица: 117420, г. Москва, ул. Наметкина, д. 16, корпус 1, ОГРН: 1027700167110, ИНН 7744001497.</w:t>
      </w:r>
    </w:p>
    <w:p>
      <w:pPr>
        <w:pStyle w:val="Western"/>
        <w:shd w:val="clear" w:color="auto" w:fill="FFFFFF"/>
        <w:tabs>
          <w:tab w:val="clear" w:pos="708"/>
          <w:tab w:val="left" w:pos="0" w:leader="none"/>
        </w:tabs>
        <w:overflowPunct w:val="true"/>
        <w:spacing w:before="0" w:after="0"/>
        <w:ind w:firstLine="851"/>
        <w:jc w:val="both"/>
        <w:textAlignment w:val="baseline"/>
        <w:rPr>
          <w:rFonts w:ascii="Times New Roman" w:hAnsi="Times New Roman"/>
          <w:sz w:val="24"/>
          <w:szCs w:val="24"/>
        </w:rPr>
      </w:pPr>
      <w:r>
        <w:rPr>
          <w:b/>
          <w:bCs/>
          <w:color w:val="00000A"/>
          <w:sz w:val="24"/>
          <w:szCs w:val="24"/>
          <w:lang w:val="ru-RU" w:eastAsia="en-US"/>
        </w:rPr>
        <w:t>«ОБС»</w:t>
      </w:r>
      <w:r>
        <w:rPr>
          <w:b w:val="false"/>
          <w:color w:val="00000A"/>
          <w:sz w:val="24"/>
          <w:szCs w:val="24"/>
          <w:lang w:val="ru-RU" w:eastAsia="en-US"/>
        </w:rPr>
        <w:t xml:space="preserve"> </w:t>
      </w:r>
      <w:r>
        <w:rPr>
          <w:b w:val="false"/>
          <w:bCs w:val="false"/>
          <w:color w:val="00000A"/>
          <w:sz w:val="24"/>
          <w:szCs w:val="24"/>
          <w:lang w:val="ru-RU" w:eastAsia="en-US"/>
        </w:rPr>
        <w:t xml:space="preserve">– обособленный банковский счет, открытый в банке, имеющий целевой характер и предназначенный для расчетов, производимых в рамках Работ, производимых по Договору. </w:t>
      </w:r>
    </w:p>
    <w:p>
      <w:pPr>
        <w:pStyle w:val="Normal"/>
        <w:widowControl w:val="false"/>
        <w:spacing w:before="0" w:after="0"/>
        <w:ind w:left="0" w:right="0" w:firstLine="709"/>
        <w:jc w:val="both"/>
        <w:rPr>
          <w:rFonts w:ascii="Times New Roman" w:hAnsi="Times New Roman"/>
          <w:sz w:val="24"/>
          <w:szCs w:val="24"/>
          <w:shd w:fill="FFFF00" w:val="clear"/>
        </w:rPr>
      </w:pPr>
      <w:r>
        <w:rPr>
          <w:b/>
          <w:color w:val="000000"/>
          <w:sz w:val="24"/>
          <w:szCs w:val="24"/>
          <w:shd w:fill="auto" w:val="clear"/>
          <w:lang w:val="ru-RU" w:eastAsia="en-US"/>
        </w:rPr>
        <w:t xml:space="preserve"> </w:t>
      </w:r>
      <w:r>
        <w:rPr>
          <w:b/>
          <w:color w:val="000000"/>
          <w:sz w:val="24"/>
          <w:szCs w:val="24"/>
          <w:shd w:fill="FFFFFF" w:val="clear"/>
          <w:lang w:val="ru-RU" w:eastAsia="en-US"/>
        </w:rPr>
        <w:t xml:space="preserve">«Объект» - </w:t>
      </w:r>
      <w:r>
        <w:rPr>
          <w:b w:val="false"/>
          <w:bCs w:val="false"/>
          <w:color w:val="000000"/>
          <w:sz w:val="24"/>
          <w:szCs w:val="24"/>
          <w:shd w:fill="FFFFFF" w:val="clear"/>
          <w:lang w:val="ru-RU" w:eastAsia="en-US"/>
        </w:rPr>
        <w:t>(O_28-АЭС-5859-Ц) Строительство ПС 110/10 кВ Приамурская мощностью 2х16 МВА, двух ВЛ 110 кВ на ПС 110/10 кВ Приамурская от ВЛ 110 кВ Волково — Ивановка протяженностью 2х6 км, строительство КЛ 10 кВ общей протяженностью 1,2 км, строительство ВЛ 10 кВ общей протяженностью 20 км, установка приборов учета 10 кВ — 18 шт., Благовещенский район  (ООО «КРДВ «Амурская»)</w:t>
      </w:r>
    </w:p>
    <w:p>
      <w:pPr>
        <w:pStyle w:val="Normal"/>
        <w:widowControl w:val="false"/>
        <w:spacing w:before="0" w:after="0"/>
        <w:ind w:left="0" w:right="0" w:firstLine="709"/>
        <w:jc w:val="both"/>
        <w:rPr>
          <w:rFonts w:ascii="Times New Roman" w:hAnsi="Times New Roman"/>
          <w:sz w:val="24"/>
          <w:szCs w:val="24"/>
          <w:shd w:fill="FFFF00" w:val="clear"/>
        </w:rPr>
      </w:pPr>
      <w:r>
        <w:rPr>
          <w:sz w:val="24"/>
          <w:szCs w:val="24"/>
          <w:shd w:fill="FFFF00" w:val="clear"/>
        </w:rPr>
      </w:r>
    </w:p>
    <w:p>
      <w:pPr>
        <w:pStyle w:val="Normal"/>
        <w:numPr>
          <w:ilvl w:val="0"/>
          <w:numId w:val="1"/>
        </w:numPr>
        <w:shd w:val="clear" w:color="auto" w:fill="FFFFFF"/>
        <w:tabs>
          <w:tab w:val="clear" w:pos="708"/>
          <w:tab w:val="left" w:pos="284" w:leader="none"/>
        </w:tabs>
        <w:ind w:left="0" w:hanging="0"/>
        <w:jc w:val="center"/>
        <w:rPr>
          <w:rFonts w:ascii="Times New Roman" w:hAnsi="Times New Roman"/>
          <w:sz w:val="24"/>
          <w:szCs w:val="24"/>
        </w:rPr>
      </w:pPr>
      <w:r>
        <w:rPr>
          <w:b/>
          <w:bCs/>
          <w:sz w:val="24"/>
          <w:szCs w:val="24"/>
        </w:rPr>
        <w:t>Предмет Договора</w:t>
      </w:r>
    </w:p>
    <w:p>
      <w:pPr>
        <w:pStyle w:val="Normal"/>
        <w:numPr>
          <w:ilvl w:val="1"/>
          <w:numId w:val="1"/>
        </w:numPr>
        <w:shd w:val="clear" w:color="auto" w:fill="FFFFFF"/>
        <w:tabs>
          <w:tab w:val="clear" w:pos="708"/>
          <w:tab w:val="left" w:pos="1134" w:leader="none"/>
        </w:tabs>
        <w:ind w:left="0" w:firstLine="709"/>
        <w:jc w:val="both"/>
        <w:rPr>
          <w:rFonts w:ascii="Times New Roman" w:hAnsi="Times New Roman"/>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r>
        <w:rPr>
          <w:bCs/>
          <w:sz w:val="24"/>
          <w:szCs w:val="24"/>
          <w:highlight w:val="lightGray"/>
        </w:rPr>
        <w:t xml:space="preserve">_____________________ </w:t>
      </w:r>
      <w:r>
        <w:rPr>
          <w:bCs/>
          <w:i/>
          <w:sz w:val="24"/>
          <w:szCs w:val="24"/>
          <w:highlight w:val="lightGray"/>
        </w:rPr>
        <w:t>[указывается общее наименование товара]</w:t>
      </w:r>
      <w:r>
        <w:rPr>
          <w:bCs/>
          <w:sz w:val="24"/>
          <w:szCs w:val="24"/>
        </w:rPr>
        <w:t xml:space="preserve"> (далее – «Товар») в соответствии со Спецификацией (Приложение № 1 к Договору), а Покупатель обязуется принять Товар и уплатить Цену Договора.</w:t>
      </w:r>
    </w:p>
    <w:p>
      <w:pPr>
        <w:pStyle w:val="Normal"/>
        <w:numPr>
          <w:ilvl w:val="1"/>
          <w:numId w:val="1"/>
        </w:numPr>
        <w:shd w:val="clear" w:color="auto" w:fill="FFFFFF"/>
        <w:tabs>
          <w:tab w:val="clear" w:pos="708"/>
          <w:tab w:val="left" w:pos="0" w:leader="none"/>
          <w:tab w:val="left" w:pos="1134" w:leader="none"/>
        </w:tabs>
        <w:ind w:left="0" w:firstLine="709"/>
        <w:jc w:val="both"/>
        <w:rPr>
          <w:rFonts w:ascii="Times New Roman" w:hAnsi="Times New Roman"/>
          <w:sz w:val="24"/>
          <w:szCs w:val="24"/>
        </w:rPr>
      </w:pPr>
      <w:r>
        <w:rPr>
          <w:bCs/>
          <w:sz w:val="24"/>
          <w:szCs w:val="24"/>
        </w:rPr>
        <w:t xml:space="preserve">Поставка Товара по Договору осуществляется для нужд </w:t>
      </w:r>
      <w:r>
        <w:rPr>
          <w:bCs/>
          <w:sz w:val="24"/>
          <w:szCs w:val="24"/>
          <w:highlight w:val="lightGray"/>
        </w:rPr>
        <w:t>__________________.</w:t>
      </w:r>
    </w:p>
    <w:p>
      <w:pPr>
        <w:pStyle w:val="Normal"/>
        <w:numPr>
          <w:ilvl w:val="1"/>
          <w:numId w:val="1"/>
        </w:numPr>
        <w:shd w:val="clear" w:color="auto" w:fill="FFFFFF"/>
        <w:tabs>
          <w:tab w:val="clear" w:pos="708"/>
          <w:tab w:val="left" w:pos="0" w:leader="none"/>
          <w:tab w:val="left" w:pos="1134" w:leader="none"/>
        </w:tabs>
        <w:ind w:left="0" w:firstLine="709"/>
        <w:jc w:val="both"/>
        <w:rPr>
          <w:rFonts w:ascii="Times New Roman" w:hAnsi="Times New Roman"/>
          <w:sz w:val="24"/>
          <w:szCs w:val="24"/>
        </w:rPr>
      </w:pPr>
      <w:r>
        <w:rPr>
          <w:bCs/>
          <w:sz w:val="24"/>
          <w:szCs w:val="24"/>
        </w:rPr>
        <w:t xml:space="preserve">Место поставки Товара: </w:t>
      </w:r>
      <w:r>
        <w:rPr>
          <w:sz w:val="24"/>
          <w:szCs w:val="24"/>
          <w:highlight w:val="lightGray"/>
        </w:rPr>
        <w:t>_________________</w:t>
      </w:r>
      <w:r>
        <w:rPr>
          <w:sz w:val="24"/>
          <w:szCs w:val="24"/>
        </w:rPr>
        <w:t xml:space="preserve"> (далее – «Место поставки»).</w:t>
      </w:r>
    </w:p>
    <w:p>
      <w:pPr>
        <w:pStyle w:val="Normal"/>
        <w:numPr>
          <w:ilvl w:val="1"/>
          <w:numId w:val="1"/>
        </w:numPr>
        <w:shd w:val="clear" w:color="auto" w:fill="FFFFFF"/>
        <w:tabs>
          <w:tab w:val="clear" w:pos="708"/>
          <w:tab w:val="left" w:pos="0" w:leader="none"/>
          <w:tab w:val="left" w:pos="540" w:leader="none"/>
          <w:tab w:val="left" w:pos="1134" w:leader="none"/>
        </w:tabs>
        <w:ind w:left="0" w:firstLine="709"/>
        <w:jc w:val="both"/>
        <w:rPr>
          <w:rFonts w:ascii="Times New Roman" w:hAnsi="Times New Roman"/>
          <w:sz w:val="24"/>
          <w:szCs w:val="24"/>
        </w:rPr>
      </w:pPr>
      <w:r>
        <w:rPr>
          <w:bCs/>
          <w:sz w:val="24"/>
          <w:szCs w:val="24"/>
        </w:rPr>
        <w:t>Общий срок поставки Товара:</w:t>
      </w:r>
    </w:p>
    <w:p>
      <w:pPr>
        <w:pStyle w:val="Normal"/>
        <w:numPr>
          <w:ilvl w:val="2"/>
          <w:numId w:val="1"/>
        </w:numPr>
        <w:shd w:val="clear" w:color="auto" w:fill="FFFFFF"/>
        <w:tabs>
          <w:tab w:val="clear" w:pos="708"/>
          <w:tab w:val="left" w:pos="0" w:leader="none"/>
          <w:tab w:val="left" w:pos="1134" w:leader="none"/>
          <w:tab w:val="left" w:pos="1418" w:leader="none"/>
        </w:tabs>
        <w:ind w:left="0" w:firstLine="709"/>
        <w:jc w:val="both"/>
        <w:rPr>
          <w:rFonts w:ascii="Times New Roman" w:hAnsi="Times New Roman"/>
          <w:sz w:val="24"/>
          <w:szCs w:val="24"/>
        </w:rPr>
      </w:pPr>
      <w:r>
        <w:rPr>
          <w:bCs/>
          <w:sz w:val="24"/>
          <w:szCs w:val="24"/>
        </w:rPr>
        <w:t xml:space="preserve">Начало – </w:t>
      </w:r>
      <w:r>
        <w:rPr>
          <w:bCs/>
          <w:sz w:val="24"/>
          <w:szCs w:val="24"/>
          <w:highlight w:val="lightGray"/>
        </w:rPr>
        <w:t>«___» ___________ 20___</w:t>
      </w:r>
      <w:r>
        <w:rPr>
          <w:bCs/>
          <w:sz w:val="24"/>
          <w:szCs w:val="24"/>
        </w:rPr>
        <w:t xml:space="preserve"> г.</w:t>
      </w:r>
    </w:p>
    <w:p>
      <w:pPr>
        <w:pStyle w:val="Normal"/>
        <w:numPr>
          <w:ilvl w:val="2"/>
          <w:numId w:val="1"/>
        </w:numPr>
        <w:shd w:val="clear" w:color="auto" w:fill="FFFFFF"/>
        <w:tabs>
          <w:tab w:val="clear" w:pos="708"/>
          <w:tab w:val="left" w:pos="0" w:leader="none"/>
          <w:tab w:val="left" w:pos="1134" w:leader="none"/>
          <w:tab w:val="left" w:pos="1418" w:leader="none"/>
        </w:tabs>
        <w:ind w:left="0" w:firstLine="709"/>
        <w:jc w:val="both"/>
        <w:rPr>
          <w:rFonts w:ascii="Times New Roman" w:hAnsi="Times New Roman"/>
          <w:sz w:val="24"/>
          <w:szCs w:val="24"/>
        </w:rPr>
      </w:pPr>
      <w:r>
        <w:rPr>
          <w:bCs/>
          <w:sz w:val="24"/>
          <w:szCs w:val="24"/>
        </w:rPr>
        <w:t xml:space="preserve">Окончание – </w:t>
      </w:r>
      <w:r>
        <w:rPr>
          <w:bCs/>
          <w:sz w:val="24"/>
          <w:szCs w:val="24"/>
          <w:highlight w:val="lightGray"/>
        </w:rPr>
        <w:t>«___» _________ 20__</w:t>
      </w:r>
      <w:r>
        <w:rPr>
          <w:bCs/>
          <w:sz w:val="24"/>
          <w:szCs w:val="24"/>
        </w:rPr>
        <w:t xml:space="preserve"> г.</w:t>
      </w:r>
    </w:p>
    <w:p>
      <w:pPr>
        <w:pStyle w:val="Normal"/>
        <w:numPr>
          <w:ilvl w:val="1"/>
          <w:numId w:val="1"/>
        </w:numPr>
        <w:shd w:val="clear" w:color="auto" w:fill="FFFFFF"/>
        <w:tabs>
          <w:tab w:val="clear" w:pos="708"/>
          <w:tab w:val="left" w:pos="0" w:leader="none"/>
          <w:tab w:val="left" w:pos="1134" w:leader="none"/>
        </w:tabs>
        <w:ind w:left="0" w:firstLine="709"/>
        <w:jc w:val="both"/>
        <w:rPr>
          <w:rFonts w:ascii="Times New Roman" w:hAnsi="Times New Roman"/>
          <w:sz w:val="24"/>
          <w:szCs w:val="24"/>
        </w:rPr>
      </w:pPr>
      <w:r>
        <w:rPr>
          <w:bCs/>
          <w:sz w:val="24"/>
          <w:szCs w:val="24"/>
          <w:shd w:fill="auto" w:val="clear"/>
        </w:rPr>
        <w:t>Грузополучателем по настоящему договору является филиал</w:t>
      </w:r>
      <w:r>
        <w:rPr>
          <w:color w:val="000000"/>
          <w:sz w:val="24"/>
          <w:szCs w:val="24"/>
          <w:shd w:fill="auto" w:val="clear"/>
        </w:rPr>
        <w:t xml:space="preserve"> АО «ДРСК» - ………..</w:t>
      </w:r>
    </w:p>
    <w:p>
      <w:pPr>
        <w:pStyle w:val="ListParagraph"/>
        <w:widowControl w:val="false"/>
        <w:numPr>
          <w:ilvl w:val="0"/>
          <w:numId w:val="0"/>
        </w:numPr>
        <w:shd w:val="clear" w:color="auto" w:fill="FFFFFF"/>
        <w:tabs>
          <w:tab w:val="clear" w:pos="708"/>
          <w:tab w:val="left" w:pos="284" w:leader="none"/>
          <w:tab w:val="left" w:pos="993" w:leader="none"/>
          <w:tab w:val="left" w:pos="1560" w:leader="none"/>
        </w:tabs>
        <w:suppressAutoHyphens w:val="true"/>
        <w:bidi w:val="0"/>
        <w:spacing w:before="0" w:after="0"/>
        <w:ind w:left="57" w:right="0" w:hanging="0"/>
        <w:contextualSpacing/>
        <w:jc w:val="both"/>
        <w:rPr>
          <w:rFonts w:ascii="Times New Roman" w:hAnsi="Times New Roman"/>
          <w:sz w:val="24"/>
          <w:szCs w:val="24"/>
        </w:rPr>
      </w:pPr>
      <w:r>
        <w:rPr>
          <w:bCs/>
          <w:color w:val="000000"/>
          <w:sz w:val="24"/>
          <w:szCs w:val="24"/>
          <w:shd w:fill="auto" w:val="clear"/>
        </w:rPr>
        <w:t xml:space="preserve">        </w:t>
      </w:r>
      <w:r>
        <w:rPr>
          <w:b/>
          <w:bCs/>
          <w:color w:val="000000"/>
          <w:sz w:val="24"/>
          <w:szCs w:val="24"/>
          <w:shd w:fill="auto" w:val="clear"/>
        </w:rPr>
        <w:t>1.6.</w:t>
      </w:r>
      <w:r>
        <w:rPr>
          <w:bCs/>
          <w:color w:val="000000"/>
          <w:sz w:val="24"/>
          <w:szCs w:val="24"/>
          <w:shd w:fill="auto" w:val="clear"/>
        </w:rPr>
        <w:t xml:space="preserve"> Настоящий Договор заключается в целях исполнения обязательств </w:t>
      </w:r>
      <w:r>
        <w:rPr>
          <w:b w:val="false"/>
          <w:bCs w:val="false"/>
          <w:color w:val="000000"/>
          <w:sz w:val="24"/>
          <w:szCs w:val="24"/>
          <w:shd w:fill="auto" w:val="clear"/>
        </w:rPr>
        <w:t>Заказчика п</w:t>
      </w:r>
      <w:r>
        <w:rPr>
          <w:bCs/>
          <w:color w:val="000000"/>
          <w:sz w:val="24"/>
          <w:szCs w:val="24"/>
          <w:shd w:fill="auto" w:val="clear"/>
        </w:rPr>
        <w:t xml:space="preserve">о технологическому присоединению </w:t>
      </w:r>
      <w:r>
        <w:rPr>
          <w:rFonts w:eastAsia="Times New Roman" w:cs="Times New Roman"/>
          <w:bCs/>
          <w:color w:val="000000"/>
          <w:sz w:val="24"/>
          <w:szCs w:val="24"/>
          <w:shd w:fill="auto" w:val="clear"/>
          <w:lang w:val="ru-RU" w:bidi="ar-SA"/>
        </w:rPr>
        <w:t xml:space="preserve">энергопринимающих устройств  Заявителя – ЭПУ площадки Ровное (1 этап), </w:t>
      </w:r>
      <w:r>
        <w:rPr>
          <w:rFonts w:eastAsia="Times New Roman" w:cs="Times New Roman"/>
          <w:b w:val="false"/>
          <w:bCs w:val="false"/>
          <w:i w:val="false"/>
          <w:iCs w:val="false"/>
          <w:color w:val="000000"/>
          <w:sz w:val="24"/>
          <w:szCs w:val="24"/>
          <w:shd w:fill="auto" w:val="clear"/>
          <w:lang w:val="ru-RU" w:bidi="ar-SA"/>
        </w:rPr>
        <w:t xml:space="preserve"> расположенных по адресу: Амурская область, Благовещенский м.о., с.Ровное, территория ТОР «Амурская», в границах земельного участка КН 28:10:000000:4783 </w:t>
      </w:r>
    </w:p>
    <w:p>
      <w:pPr>
        <w:pStyle w:val="Normal"/>
        <w:shd w:val="clear" w:color="auto" w:fill="FFFFFF"/>
        <w:tabs>
          <w:tab w:val="clear" w:pos="708"/>
          <w:tab w:val="left" w:pos="540" w:leader="none"/>
        </w:tabs>
        <w:ind w:left="1134" w:hanging="0"/>
        <w:jc w:val="both"/>
        <w:rPr>
          <w:rFonts w:ascii="Times New Roman" w:hAnsi="Times New Roman"/>
          <w:sz w:val="24"/>
          <w:szCs w:val="24"/>
        </w:rPr>
      </w:pPr>
      <w:r>
        <w:rPr>
          <w:sz w:val="24"/>
          <w:szCs w:val="24"/>
        </w:rPr>
      </w:r>
    </w:p>
    <w:p>
      <w:pPr>
        <w:pStyle w:val="Normal"/>
        <w:numPr>
          <w:ilvl w:val="0"/>
          <w:numId w:val="1"/>
        </w:numPr>
        <w:shd w:val="clear" w:color="auto" w:fill="FFFFFF"/>
        <w:tabs>
          <w:tab w:val="clear" w:pos="708"/>
          <w:tab w:val="left" w:pos="284" w:leader="none"/>
        </w:tabs>
        <w:ind w:left="0" w:hanging="0"/>
        <w:jc w:val="center"/>
        <w:rPr>
          <w:rFonts w:ascii="Times New Roman" w:hAnsi="Times New Roman"/>
          <w:sz w:val="24"/>
          <w:szCs w:val="24"/>
        </w:rPr>
      </w:pPr>
      <w:r>
        <w:rPr>
          <w:b/>
          <w:bCs/>
          <w:sz w:val="24"/>
          <w:szCs w:val="24"/>
        </w:rPr>
        <w:t>Цена Договора и порядок расчетов</w:t>
      </w:r>
    </w:p>
    <w:p>
      <w:pPr>
        <w:pStyle w:val="Normal"/>
        <w:numPr>
          <w:ilvl w:val="1"/>
          <w:numId w:val="1"/>
        </w:numPr>
        <w:shd w:val="clear" w:color="auto" w:fill="FFFFFF"/>
        <w:tabs>
          <w:tab w:val="clear" w:pos="708"/>
          <w:tab w:val="left" w:pos="0" w:leader="none"/>
          <w:tab w:val="left" w:pos="1134" w:leader="none"/>
        </w:tabs>
        <w:ind w:left="0" w:firstLine="709"/>
        <w:jc w:val="both"/>
        <w:rPr>
          <w:rFonts w:ascii="Times New Roman" w:hAnsi="Times New Roman"/>
          <w:sz w:val="24"/>
          <w:szCs w:val="24"/>
        </w:rPr>
      </w:pPr>
      <w:r>
        <w:rPr>
          <w:sz w:val="24"/>
          <w:szCs w:val="24"/>
        </w:rPr>
        <w:t xml:space="preserve">Цена Договора в соответствии со Спецификацией (Приложение № 1 к Договору) </w:t>
      </w:r>
      <w:r>
        <w:rPr>
          <w:bCs/>
          <w:sz w:val="24"/>
          <w:szCs w:val="24"/>
        </w:rPr>
        <w:t xml:space="preserve">является </w:t>
      </w:r>
      <w:r>
        <w:rPr>
          <w:bCs/>
          <w:sz w:val="24"/>
          <w:szCs w:val="24"/>
          <w:highlight w:val="lightGray"/>
        </w:rPr>
        <w:t>твердой</w:t>
      </w:r>
      <w:r>
        <w:rPr>
          <w:rStyle w:val="Style19"/>
          <w:bCs/>
          <w:sz w:val="24"/>
          <w:szCs w:val="24"/>
          <w:highlight w:val="lightGray"/>
        </w:rPr>
        <w:footnoteReference w:id="3"/>
      </w:r>
      <w:r>
        <w:rPr>
          <w:bCs/>
          <w:sz w:val="24"/>
          <w:szCs w:val="24"/>
        </w:rPr>
        <w:t xml:space="preserve"> и составляет </w:t>
      </w:r>
      <w:r>
        <w:rPr>
          <w:sz w:val="24"/>
          <w:szCs w:val="24"/>
          <w:highlight w:val="lightGray"/>
        </w:rPr>
        <w:t>_______</w:t>
      </w:r>
      <w:r>
        <w:rPr>
          <w:bCs/>
          <w:sz w:val="24"/>
          <w:szCs w:val="24"/>
        </w:rPr>
        <w:t xml:space="preserve"> (</w:t>
      </w:r>
      <w:r>
        <w:rPr>
          <w:sz w:val="24"/>
          <w:szCs w:val="24"/>
          <w:highlight w:val="lightGray"/>
        </w:rPr>
        <w:t>__________________</w:t>
      </w:r>
      <w:r>
        <w:rPr>
          <w:bCs/>
          <w:sz w:val="24"/>
          <w:szCs w:val="24"/>
          <w:highlight w:val="lightGray"/>
        </w:rPr>
        <w:t>)</w:t>
      </w:r>
      <w:r>
        <w:rPr>
          <w:bCs/>
          <w:sz w:val="24"/>
          <w:szCs w:val="24"/>
        </w:rPr>
        <w:t xml:space="preserve"> рублей </w:t>
      </w:r>
      <w:r>
        <w:rPr>
          <w:sz w:val="24"/>
          <w:szCs w:val="24"/>
          <w:highlight w:val="lightGray"/>
        </w:rPr>
        <w:t>___</w:t>
      </w:r>
      <w:r>
        <w:rPr>
          <w:bCs/>
          <w:sz w:val="24"/>
          <w:szCs w:val="24"/>
        </w:rPr>
        <w:t xml:space="preserve"> копеек без учета НДС, при этом НДС исчисляется дополнительно по ставке, установленной ст. 164 Налогового Кодекса РФ.</w:t>
      </w:r>
    </w:p>
    <w:p>
      <w:pPr>
        <w:pStyle w:val="Normal"/>
        <w:numPr>
          <w:ilvl w:val="1"/>
          <w:numId w:val="1"/>
        </w:numPr>
        <w:shd w:val="clear" w:color="auto" w:fill="FFFFFF"/>
        <w:tabs>
          <w:tab w:val="clear" w:pos="708"/>
          <w:tab w:val="left" w:pos="1134" w:leader="none"/>
        </w:tabs>
        <w:ind w:left="0" w:firstLine="709"/>
        <w:jc w:val="both"/>
        <w:rPr>
          <w:rFonts w:ascii="Times New Roman" w:hAnsi="Times New Roman"/>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1"/>
        </w:numPr>
        <w:shd w:val="clear" w:color="auto" w:fill="FFFFFF"/>
        <w:tabs>
          <w:tab w:val="clear" w:pos="708"/>
          <w:tab w:val="left" w:pos="1418" w:leader="none"/>
        </w:tabs>
        <w:ind w:left="0" w:firstLine="709"/>
        <w:jc w:val="both"/>
        <w:rPr>
          <w:rFonts w:ascii="Times New Roman" w:hAnsi="Times New Roman"/>
          <w:sz w:val="24"/>
          <w:szCs w:val="24"/>
        </w:rPr>
      </w:pPr>
      <w:r>
        <w:rPr>
          <w:bCs/>
          <w:sz w:val="24"/>
          <w:szCs w:val="24"/>
        </w:rPr>
        <w:t>производство и / или приобретение Товара;</w:t>
      </w:r>
    </w:p>
    <w:p>
      <w:pPr>
        <w:pStyle w:val="ListParagraph"/>
        <w:numPr>
          <w:ilvl w:val="2"/>
          <w:numId w:val="11"/>
        </w:numPr>
        <w:shd w:val="clear" w:color="auto" w:fill="FFFFFF"/>
        <w:tabs>
          <w:tab w:val="clear" w:pos="708"/>
          <w:tab w:val="left" w:pos="1418" w:leader="none"/>
        </w:tabs>
        <w:ind w:left="0" w:firstLine="709"/>
        <w:jc w:val="both"/>
        <w:rPr>
          <w:rFonts w:ascii="Times New Roman" w:hAnsi="Times New Roman"/>
          <w:sz w:val="24"/>
          <w:szCs w:val="24"/>
        </w:rPr>
      </w:pPr>
      <w:r>
        <w:rPr>
          <w:bCs/>
          <w:sz w:val="24"/>
          <w:szCs w:val="24"/>
        </w:rPr>
        <w:t xml:space="preserve">транспортировку Товара до Места поставки, погрузку, стоимость тары и упаковки, лицензий, необходимых для использования Товара (если применимо); </w:t>
      </w:r>
    </w:p>
    <w:p>
      <w:pPr>
        <w:pStyle w:val="Normal"/>
        <w:numPr>
          <w:ilvl w:val="2"/>
          <w:numId w:val="1"/>
        </w:numPr>
        <w:shd w:val="clear" w:color="auto" w:fill="FFFFFF"/>
        <w:tabs>
          <w:tab w:val="clear" w:pos="708"/>
          <w:tab w:val="left" w:pos="1418" w:leader="none"/>
        </w:tabs>
        <w:ind w:left="0" w:firstLine="709"/>
        <w:jc w:val="both"/>
        <w:rPr>
          <w:rFonts w:ascii="Times New Roman" w:hAnsi="Times New Roman"/>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1"/>
        </w:numPr>
        <w:shd w:val="clear" w:color="auto" w:fill="FFFFFF"/>
        <w:tabs>
          <w:tab w:val="clear" w:pos="708"/>
          <w:tab w:val="left" w:pos="1418" w:leader="none"/>
        </w:tabs>
        <w:ind w:left="0" w:firstLine="709"/>
        <w:jc w:val="both"/>
        <w:rPr>
          <w:rFonts w:ascii="Times New Roman" w:hAnsi="Times New Roman"/>
          <w:sz w:val="24"/>
          <w:szCs w:val="24"/>
        </w:rPr>
      </w:pPr>
      <w:r>
        <w:rPr>
          <w:bCs/>
          <w:sz w:val="24"/>
          <w:szCs w:val="24"/>
        </w:rPr>
        <w:t xml:space="preserve">заработную плату, накладные и командировочные расходы, перемещение и размещение персонала Поставщика; </w:t>
      </w:r>
    </w:p>
    <w:p>
      <w:pPr>
        <w:pStyle w:val="Normal"/>
        <w:numPr>
          <w:ilvl w:val="2"/>
          <w:numId w:val="1"/>
        </w:numPr>
        <w:shd w:val="clear" w:color="auto" w:fill="FFFFFF"/>
        <w:tabs>
          <w:tab w:val="clear" w:pos="708"/>
          <w:tab w:val="left" w:pos="1418" w:leader="none"/>
        </w:tabs>
        <w:ind w:left="0" w:firstLine="709"/>
        <w:jc w:val="both"/>
        <w:rPr>
          <w:rFonts w:ascii="Times New Roman" w:hAnsi="Times New Roman"/>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1"/>
        </w:numPr>
        <w:shd w:val="clear" w:color="auto" w:fill="FFFFFF"/>
        <w:tabs>
          <w:tab w:val="clear" w:pos="708"/>
          <w:tab w:val="left" w:pos="568" w:leader="none"/>
          <w:tab w:val="left" w:pos="1134" w:leader="none"/>
        </w:tabs>
        <w:ind w:left="0" w:firstLine="709"/>
        <w:jc w:val="both"/>
        <w:rPr>
          <w:rFonts w:ascii="Times New Roman" w:hAnsi="Times New Roman"/>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1"/>
        </w:numPr>
        <w:shd w:val="clear" w:color="auto" w:fill="FFFFFF"/>
        <w:tabs>
          <w:tab w:val="clear" w:pos="708"/>
          <w:tab w:val="left" w:pos="0" w:leader="none"/>
          <w:tab w:val="left" w:pos="1134" w:leader="none"/>
        </w:tabs>
        <w:ind w:left="0" w:firstLine="709"/>
        <w:jc w:val="both"/>
        <w:rPr>
          <w:rFonts w:ascii="Times New Roman" w:hAnsi="Times New Roman"/>
          <w:sz w:val="24"/>
          <w:szCs w:val="24"/>
        </w:rPr>
      </w:pPr>
      <w:r>
        <w:rPr>
          <w:sz w:val="24"/>
          <w:szCs w:val="24"/>
        </w:rPr>
        <w:t xml:space="preserve">Оплата по Договору осуществляется Покупателем в следующем порядке: </w:t>
      </w:r>
    </w:p>
    <w:p>
      <w:pPr>
        <w:pStyle w:val="ListParagraph"/>
        <w:widowControl/>
        <w:numPr>
          <w:ilvl w:val="2"/>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sz w:val="24"/>
          <w:szCs w:val="24"/>
        </w:rPr>
        <w:t>Поставщик не позднее, чем за 3 (три) рабочих дня до предполагаемой даты выплаты авансового платежа, обязан предоставить Покупателю Банковскую гарантию возврата авансового платежа, соответствующую требованиям, установленным разделом 5 Договора и предварительно согласованную с Покупателем.</w:t>
      </w:r>
    </w:p>
    <w:p>
      <w:pPr>
        <w:pStyle w:val="ListParagraph"/>
        <w:widowControl/>
        <w:numPr>
          <w:ilvl w:val="2"/>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sz w:val="24"/>
          <w:szCs w:val="24"/>
        </w:rPr>
        <w:t>Авансовые платежи за каждую партию Товара в размере 30 % (тридцати процентов) от стоимости соответствующей партии Товара выплачиваются Поставщику в течение 30 (тридцати) календарных дней с даты получения Покупателем счета, выставленного Поставщиком, но не ранее чем за 30 (тридцать) календарных дней до плановой даты поставки партии Товара, и с учетом пунктов 2.5.1, 2.5.4 Договора.</w:t>
      </w:r>
    </w:p>
    <w:p>
      <w:pPr>
        <w:pStyle w:val="Normal"/>
        <w:numPr>
          <w:ilvl w:val="2"/>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sz w:val="24"/>
          <w:szCs w:val="24"/>
          <w:shd w:fill="FFFFFF" w:val="clear"/>
        </w:rPr>
        <w:t>Последующие платежи в размере 70 % (семидесяти процентов) от стоимости партии Товара</w:t>
      </w:r>
      <w:r>
        <w:rPr>
          <w:rStyle w:val="Style19"/>
          <w:sz w:val="24"/>
          <w:szCs w:val="24"/>
          <w:shd w:fill="FFFFFF" w:val="clear"/>
        </w:rPr>
        <w:footnoteReference w:id="4"/>
      </w:r>
      <w:r>
        <w:rPr>
          <w:sz w:val="24"/>
          <w:szCs w:val="24"/>
          <w:shd w:fill="FFFFFF" w:val="clear"/>
        </w:rPr>
        <w:t xml:space="preserve"> выплачиваются Поставщику в течение</w:t>
      </w:r>
      <w:r>
        <w:rPr>
          <w:sz w:val="24"/>
          <w:szCs w:val="24"/>
        </w:rPr>
        <w:t xml:space="preserve"> 45 (сорока пяти) календарных дней</w:t>
      </w:r>
      <w:r>
        <w:rPr>
          <w:rStyle w:val="Style19"/>
          <w:sz w:val="24"/>
          <w:szCs w:val="24"/>
        </w:rPr>
        <w:footnoteReference w:id="5"/>
      </w:r>
      <w:r>
        <w:rPr>
          <w:sz w:val="24"/>
          <w:szCs w:val="24"/>
        </w:rPr>
        <w:t xml:space="preserve"> / 7 (семи) рабочих дней</w:t>
      </w:r>
      <w:r>
        <w:rPr>
          <w:rStyle w:val="Style19"/>
          <w:sz w:val="24"/>
          <w:szCs w:val="24"/>
        </w:rPr>
        <w:footnoteReference w:id="6"/>
      </w:r>
      <w:r>
        <w:rPr>
          <w:sz w:val="24"/>
          <w:szCs w:val="24"/>
        </w:rPr>
        <w:t xml:space="preserve"> с даты подписания Сторонами накладной ТОРГ-12</w:t>
      </w:r>
      <w:r>
        <w:rPr>
          <w:sz w:val="24"/>
          <w:szCs w:val="24"/>
          <w:shd w:fill="FFFFFF" w:val="clear"/>
        </w:rPr>
        <w:t xml:space="preserve"> / УПД, на основан</w:t>
      </w:r>
      <w:r>
        <w:rPr>
          <w:sz w:val="24"/>
          <w:szCs w:val="24"/>
        </w:rPr>
        <w:t>ии счета, выставленного Поставщиком, и с учетом пункта 2.4.4 Договора.</w:t>
      </w:r>
    </w:p>
    <w:p>
      <w:pPr>
        <w:pStyle w:val="ListParagraph"/>
        <w:widowControl/>
        <w:numPr>
          <w:ilvl w:val="2"/>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sz w:val="24"/>
          <w:szCs w:val="24"/>
        </w:rPr>
        <w:t xml:space="preserve">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w:t>
      </w:r>
      <w:r>
        <w:rPr>
          <w:sz w:val="24"/>
          <w:szCs w:val="24"/>
          <w:shd w:fill="FFFFFF" w:val="clear"/>
        </w:rPr>
        <w:t xml:space="preserve">чем за 10 (десять) </w:t>
      </w:r>
      <w:r>
        <w:rPr>
          <w:sz w:val="24"/>
          <w:szCs w:val="24"/>
        </w:rPr>
        <w:t>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2"/>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bookmarkStart w:id="0" w:name="_Ref373242894"/>
      <w:r>
        <w:rPr>
          <w:bCs/>
          <w:sz w:val="24"/>
          <w:szCs w:val="24"/>
        </w:rPr>
        <w:t xml:space="preserve">Покупатель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Поставщик не </w:t>
      </w:r>
      <w:r>
        <w:rPr>
          <w:sz w:val="24"/>
          <w:szCs w:val="24"/>
        </w:rPr>
        <w:t>предоставил</w:t>
      </w:r>
      <w:r>
        <w:rPr>
          <w:bCs/>
          <w:sz w:val="24"/>
          <w:szCs w:val="24"/>
        </w:rPr>
        <w:t xml:space="preserve"> финансового обеспечения исполнения обязательств, предусмотренного пунктом 2.5.1 Договора, в установленный срок и при этом не приступил к исполнению обязательств по Договору.</w:t>
      </w:r>
      <w:bookmarkEnd w:id="0"/>
      <w:r>
        <w:rPr>
          <w:bCs/>
          <w:sz w:val="24"/>
          <w:szCs w:val="24"/>
        </w:rPr>
        <w:t xml:space="preserve"> </w:t>
      </w:r>
    </w:p>
    <w:p>
      <w:pPr>
        <w:pStyle w:val="ListParagraph"/>
        <w:widowControl/>
        <w:numPr>
          <w:ilvl w:val="1"/>
          <w:numId w:val="1"/>
        </w:numPr>
        <w:shd w:val="clear" w:color="auto" w:fill="FFFFFF"/>
        <w:tabs>
          <w:tab w:val="clear" w:pos="708"/>
          <w:tab w:val="left" w:pos="0" w:leader="none"/>
          <w:tab w:val="left" w:pos="1134" w:leader="none"/>
        </w:tabs>
        <w:ind w:left="0" w:firstLine="709"/>
        <w:jc w:val="both"/>
        <w:rPr>
          <w:rFonts w:ascii="Times New Roman" w:hAnsi="Times New Roman"/>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1"/>
        </w:numPr>
        <w:shd w:val="clear" w:color="auto" w:fill="FFFFFF"/>
        <w:tabs>
          <w:tab w:val="clear" w:pos="708"/>
          <w:tab w:val="left" w:pos="0" w:leader="none"/>
          <w:tab w:val="left" w:pos="567" w:leader="none"/>
          <w:tab w:val="left" w:pos="716" w:leader="none"/>
          <w:tab w:val="left" w:pos="1134" w:leader="none"/>
        </w:tabs>
        <w:ind w:left="0" w:firstLine="709"/>
        <w:jc w:val="both"/>
        <w:rPr>
          <w:rFonts w:ascii="Times New Roman" w:hAnsi="Times New Roman"/>
          <w:sz w:val="24"/>
          <w:szCs w:val="24"/>
        </w:rPr>
      </w:pPr>
      <w:r>
        <w:rPr>
          <w:sz w:val="24"/>
          <w:szCs w:val="24"/>
        </w:rPr>
        <w:t>Индексация Цены Договора не допускается.</w:t>
      </w:r>
    </w:p>
    <w:p>
      <w:pPr>
        <w:pStyle w:val="Normal"/>
        <w:numPr>
          <w:ilvl w:val="1"/>
          <w:numId w:val="1"/>
        </w:numPr>
        <w:shd w:val="clear" w:color="auto" w:fill="FFFFFF"/>
        <w:tabs>
          <w:tab w:val="clear" w:pos="708"/>
          <w:tab w:val="left" w:pos="0" w:leader="none"/>
          <w:tab w:val="left" w:pos="567" w:leader="none"/>
          <w:tab w:val="left" w:pos="716" w:leader="none"/>
          <w:tab w:val="left" w:pos="1134" w:leader="none"/>
        </w:tabs>
        <w:ind w:left="0" w:firstLine="709"/>
        <w:jc w:val="both"/>
        <w:rPr>
          <w:rFonts w:ascii="Times New Roman" w:hAnsi="Times New Roman"/>
          <w:sz w:val="24"/>
          <w:szCs w:val="24"/>
        </w:rPr>
      </w:pPr>
      <w:r>
        <w:rPr>
          <w:sz w:val="24"/>
          <w:szCs w:val="24"/>
          <w:shd w:fill="auto" w:val="clear"/>
        </w:rPr>
        <w:t>Поставщик обязан представить Покупателю счета-фактуры (УПД), выставленные в сроки и оформленные в порядке, установленном законодательством Российской Федерации</w:t>
      </w:r>
      <w:r>
        <w:rPr>
          <w:rStyle w:val="Style19"/>
          <w:sz w:val="24"/>
          <w:szCs w:val="24"/>
          <w:shd w:fill="auto" w:val="clear"/>
        </w:rPr>
        <w:footnoteReference w:id="7"/>
      </w:r>
      <w:r>
        <w:rPr>
          <w:sz w:val="24"/>
          <w:szCs w:val="24"/>
          <w:shd w:fill="auto" w:val="clear"/>
        </w:rPr>
        <w:t>. В случае нарушения Поставщиком данного требования, он обязан произвести замену счета-фактуры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1"/>
        </w:numPr>
        <w:tabs>
          <w:tab w:val="clear" w:pos="708"/>
          <w:tab w:val="left" w:pos="1134" w:leader="none"/>
        </w:tabs>
        <w:ind w:left="0" w:firstLine="709"/>
        <w:jc w:val="both"/>
        <w:rPr>
          <w:rFonts w:ascii="Times New Roman" w:hAnsi="Times New Roman"/>
          <w:sz w:val="24"/>
          <w:szCs w:val="24"/>
        </w:rPr>
      </w:pPr>
      <w:r>
        <w:rPr>
          <w:sz w:val="24"/>
          <w:szCs w:val="24"/>
          <w:shd w:fill="auto" w:val="clear"/>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ListParagraph"/>
        <w:numPr>
          <w:ilvl w:val="1"/>
          <w:numId w:val="1"/>
        </w:numPr>
        <w:tabs>
          <w:tab w:val="clear" w:pos="708"/>
          <w:tab w:val="left" w:pos="1419" w:leader="none"/>
        </w:tabs>
        <w:ind w:left="0" w:firstLine="709"/>
        <w:jc w:val="both"/>
        <w:rPr>
          <w:rFonts w:ascii="Times New Roman" w:hAnsi="Times New Roman"/>
          <w:sz w:val="24"/>
          <w:szCs w:val="24"/>
        </w:rPr>
      </w:pPr>
      <w:r>
        <w:rPr>
          <w:sz w:val="24"/>
          <w:szCs w:val="24"/>
          <w:shd w:fill="auto" w:val="clear"/>
        </w:rPr>
        <w:t>По</w:t>
      </w:r>
      <w:r>
        <w:rPr>
          <w:sz w:val="24"/>
          <w:szCs w:val="24"/>
          <w:shd w:fill="FFFFFF" w:val="clear"/>
        </w:rPr>
        <w:t>купатель вправе произвести сальдо взаимных обязательств сторон пу</w:t>
      </w:r>
      <w:r>
        <w:rPr>
          <w:sz w:val="24"/>
          <w:szCs w:val="24"/>
        </w:rPr>
        <w:t xml:space="preserve">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w:t>
      </w:r>
      <w:r>
        <w:rPr>
          <w:sz w:val="24"/>
          <w:szCs w:val="24"/>
          <w:shd w:fill="FFFFFF" w:val="clear"/>
        </w:rPr>
        <w:t>недостатков Товара, поставленного Поставщиком.</w:t>
      </w:r>
    </w:p>
    <w:p>
      <w:pPr>
        <w:pStyle w:val="ListParagraph"/>
        <w:tabs>
          <w:tab w:val="clear" w:pos="708"/>
          <w:tab w:val="left" w:pos="1419" w:leader="none"/>
        </w:tabs>
        <w:ind w:left="0" w:firstLine="709"/>
        <w:jc w:val="both"/>
        <w:rPr>
          <w:rFonts w:ascii="Times New Roman" w:hAnsi="Times New Roman"/>
          <w:sz w:val="24"/>
          <w:szCs w:val="24"/>
        </w:rPr>
      </w:pPr>
      <w:r>
        <w:rPr>
          <w:sz w:val="24"/>
          <w:szCs w:val="24"/>
          <w:shd w:fill="FFFFFF" w:val="clear"/>
        </w:rPr>
        <w:t>Покупатель направляет Поставщику уведомление о проведении сальдо взаимных обязательств Сторон по Договору.</w:t>
      </w:r>
    </w:p>
    <w:p>
      <w:pPr>
        <w:pStyle w:val="ListParagraph"/>
        <w:tabs>
          <w:tab w:val="clear" w:pos="708"/>
          <w:tab w:val="left" w:pos="1419" w:leader="none"/>
        </w:tabs>
        <w:ind w:left="0" w:firstLine="709"/>
        <w:jc w:val="both"/>
        <w:rPr>
          <w:rFonts w:ascii="Times New Roman" w:hAnsi="Times New Roman"/>
          <w:sz w:val="24"/>
          <w:szCs w:val="24"/>
        </w:rPr>
      </w:pPr>
      <w:r>
        <w:rPr>
          <w:b/>
          <w:bCs/>
          <w:sz w:val="24"/>
          <w:szCs w:val="24"/>
          <w:shd w:fill="FFFFFF" w:val="clear"/>
        </w:rPr>
        <w:t>2.10.</w:t>
      </w:r>
      <w:r>
        <w:rPr>
          <w:sz w:val="24"/>
          <w:szCs w:val="24"/>
          <w:shd w:fill="FFFFFF" w:val="clear"/>
        </w:rPr>
        <w:t xml:space="preserve"> </w:t>
      </w:r>
      <w:r>
        <w:rPr>
          <w:sz w:val="24"/>
          <w:szCs w:val="24"/>
          <w:shd w:fill="FFFFFF" w:val="clear"/>
          <w:lang w:eastAsia="en-US"/>
        </w:rPr>
        <w:t>Обеспечить  целевое использование полученных от Заказчика по Договору денежных средств, в соответствии с условиями настоящего Договора;</w:t>
      </w:r>
    </w:p>
    <w:p>
      <w:pPr>
        <w:pStyle w:val="Standard"/>
        <w:tabs>
          <w:tab w:val="clear" w:pos="708"/>
          <w:tab w:val="left" w:pos="567" w:leader="none"/>
        </w:tabs>
        <w:suppressAutoHyphens w:val="true"/>
        <w:bidi w:val="0"/>
        <w:spacing w:lineRule="auto" w:line="240"/>
        <w:ind w:left="454" w:right="0" w:hanging="510"/>
        <w:jc w:val="both"/>
        <w:textAlignment w:val="baseline"/>
        <w:rPr>
          <w:rFonts w:ascii="Times New Roman" w:hAnsi="Times New Roman"/>
          <w:sz w:val="24"/>
          <w:szCs w:val="24"/>
        </w:rPr>
      </w:pPr>
      <w:r>
        <w:rPr>
          <w:sz w:val="24"/>
          <w:szCs w:val="24"/>
          <w:shd w:fill="FFFFFF" w:val="clear"/>
          <w:lang w:eastAsia="en-US"/>
        </w:rPr>
        <w:t xml:space="preserve">        </w:t>
      </w:r>
      <w:r>
        <w:rPr>
          <w:sz w:val="24"/>
          <w:szCs w:val="24"/>
          <w:shd w:fill="FFFFFF" w:val="clear"/>
          <w:lang w:eastAsia="en-US"/>
        </w:rPr>
        <w:t xml:space="preserve">2.10.1. </w:t>
      </w:r>
      <w:r>
        <w:rPr>
          <w:sz w:val="24"/>
          <w:szCs w:val="24"/>
          <w:shd w:fill="FFFFFF" w:val="clear"/>
        </w:rPr>
        <w:t>В течение 5 (пяти) рабочих дней с даты заключения Договора:</w:t>
      </w:r>
    </w:p>
    <w:p>
      <w:pPr>
        <w:pStyle w:val="Normal"/>
        <w:widowControl/>
        <w:numPr>
          <w:ilvl w:val="0"/>
          <w:numId w:val="0"/>
        </w:numPr>
        <w:tabs>
          <w:tab w:val="clear" w:pos="708"/>
          <w:tab w:val="left" w:pos="709" w:leader="none"/>
          <w:tab w:val="left" w:pos="1467" w:leader="none"/>
        </w:tabs>
        <w:suppressAutoHyphens w:val="true"/>
        <w:bidi w:val="0"/>
        <w:spacing w:lineRule="auto" w:line="240" w:before="0" w:after="0"/>
        <w:ind w:left="454" w:right="0" w:hanging="0"/>
        <w:contextualSpacing/>
        <w:jc w:val="both"/>
        <w:rPr/>
      </w:pPr>
      <w:r>
        <w:rPr>
          <w:sz w:val="24"/>
          <w:szCs w:val="24"/>
          <w:shd w:fill="FFFFFF" w:val="clear"/>
          <w:lang w:eastAsia="en-US"/>
        </w:rPr>
        <w:t xml:space="preserve">2.10.2. </w:t>
      </w:r>
      <w:r>
        <w:rPr>
          <w:sz w:val="24"/>
          <w:szCs w:val="24"/>
          <w:shd w:fill="FFFFFF" w:val="clear"/>
        </w:rPr>
        <w:t>Открыть в Банке обособленный банковский счет (по тексту Договора – «ОБС»), используемый исключительно для расчетов между Заказчиком и Подрядчиком по Договору, а также обеспечить аналогичную обязанность в договорах, заключаемых Подрядчиком с субподрядчиками (соисполнителями, субпоставщиками) по всем установленным уровням кооперации. Открытие в Банке ОБС осуществляется Подрядчиком путем подписания с Банком оферты по форме Приложения №5 к настоящему Договору;</w:t>
      </w:r>
    </w:p>
    <w:p>
      <w:pPr>
        <w:pStyle w:val="Normal"/>
        <w:widowControl/>
        <w:tabs>
          <w:tab w:val="clear" w:pos="708"/>
          <w:tab w:val="left" w:pos="709" w:leader="none"/>
          <w:tab w:val="left" w:pos="1418" w:leader="none"/>
        </w:tabs>
        <w:bidi w:val="0"/>
        <w:spacing w:lineRule="auto" w:line="240" w:before="0" w:after="0"/>
        <w:ind w:left="397" w:right="0" w:hanging="0"/>
        <w:contextualSpacing/>
        <w:jc w:val="both"/>
        <w:rPr>
          <w:rFonts w:ascii="Times New Roman" w:hAnsi="Times New Roman"/>
          <w:sz w:val="24"/>
          <w:szCs w:val="24"/>
        </w:rPr>
      </w:pPr>
      <w:r>
        <w:rPr>
          <w:sz w:val="24"/>
          <w:szCs w:val="24"/>
          <w:shd w:fill="FFFFFF" w:val="clear"/>
          <w:lang w:eastAsia="en-US"/>
        </w:rPr>
        <w:t xml:space="preserve">2.10.3. </w:t>
      </w:r>
      <w:r>
        <w:rPr>
          <w:sz w:val="24"/>
          <w:szCs w:val="24"/>
          <w:shd w:fill="FFFFFF" w:val="clear"/>
        </w:rPr>
        <w:t xml:space="preserve"> Предоставить Заказчику реквизиты ОБС.</w:t>
      </w:r>
    </w:p>
    <w:p>
      <w:pPr>
        <w:pStyle w:val="Normal"/>
        <w:widowControl/>
        <w:tabs>
          <w:tab w:val="clear" w:pos="708"/>
          <w:tab w:val="left" w:pos="709" w:leader="none"/>
          <w:tab w:val="left" w:pos="1418" w:leader="none"/>
        </w:tabs>
        <w:bidi w:val="0"/>
        <w:spacing w:lineRule="auto" w:line="240" w:before="0" w:after="0"/>
        <w:ind w:left="397" w:right="0" w:hanging="397"/>
        <w:contextualSpacing/>
        <w:jc w:val="both"/>
        <w:rPr>
          <w:rFonts w:ascii="Times New Roman" w:hAnsi="Times New Roman"/>
          <w:sz w:val="24"/>
          <w:szCs w:val="24"/>
        </w:rPr>
      </w:pPr>
      <w:r>
        <w:rPr>
          <w:sz w:val="24"/>
          <w:szCs w:val="24"/>
          <w:shd w:fill="FFFFFF" w:val="clear"/>
          <w:lang w:eastAsia="en-US"/>
        </w:rPr>
        <w:t xml:space="preserve">     </w:t>
      </w:r>
      <w:r>
        <w:rPr>
          <w:sz w:val="24"/>
          <w:szCs w:val="24"/>
          <w:shd w:fill="FFFFFF" w:val="clear"/>
          <w:lang w:eastAsia="en-US"/>
        </w:rPr>
        <w:t xml:space="preserve">2.10.4. </w:t>
      </w:r>
      <w:r>
        <w:rPr>
          <w:sz w:val="24"/>
          <w:szCs w:val="24"/>
          <w:shd w:fill="FFFFFF" w:val="clear"/>
        </w:rPr>
        <w:t xml:space="preserve"> Предоставить полномочия (права) Банку сообщать Заказчику любую информацию о ходе исполнения Договора, о наличии, статусе, движении денежных средств по счетам Подрядчика, открытым в Банке, а также предусмотреть аналогичные обязанности при заключении договоров Подрядчиком с Субподрядчиками (соисполнителями, субпоставщиками) по всем установленным уровням кооперации.</w:t>
      </w:r>
    </w:p>
    <w:p>
      <w:pPr>
        <w:pStyle w:val="Normal"/>
        <w:widowControl/>
        <w:tabs>
          <w:tab w:val="clear" w:pos="708"/>
          <w:tab w:val="left" w:pos="709" w:leader="none"/>
          <w:tab w:val="left" w:pos="1418" w:leader="none"/>
        </w:tabs>
        <w:bidi w:val="0"/>
        <w:spacing w:lineRule="auto" w:line="240" w:before="0" w:after="0"/>
        <w:ind w:left="397" w:right="0" w:hanging="397"/>
        <w:contextualSpacing/>
        <w:jc w:val="both"/>
        <w:rPr>
          <w:rFonts w:ascii="Times New Roman" w:hAnsi="Times New Roman"/>
          <w:sz w:val="24"/>
          <w:szCs w:val="24"/>
        </w:rPr>
      </w:pPr>
      <w:r>
        <w:rPr>
          <w:sz w:val="24"/>
          <w:szCs w:val="24"/>
          <w:shd w:fill="FFFFFF" w:val="clear"/>
          <w:lang w:eastAsia="en-US"/>
        </w:rPr>
        <w:t xml:space="preserve">  </w:t>
      </w:r>
      <w:r>
        <w:rPr>
          <w:sz w:val="24"/>
          <w:szCs w:val="24"/>
          <w:shd w:fill="FFFFFF" w:val="clear"/>
          <w:lang w:eastAsia="en-US"/>
        </w:rPr>
        <w:t xml:space="preserve">2.10.5. </w:t>
      </w:r>
      <w:r>
        <w:rPr>
          <w:sz w:val="24"/>
          <w:szCs w:val="24"/>
          <w:shd w:fill="FFFFFF" w:val="clear"/>
        </w:rPr>
        <w:t xml:space="preserve"> По письменному требованию Банка предоставлять сведения и документы, составленные по формам, не противоречащим Применимому праву, установленным договором ОБС и подтверждающие факт установления гражданских прав и обязанностей, выполнения работ/услуг, связанных с исполнением Договора (в том числе о привлекаемых Подрядчиком в рамках исполнения обязательств по Договору субподрядчиках (соисполнителях, субпоставщиках), а именно: полное наименование, местонахождение (почтовый адрес), телефоны руководителя и главного бухгалтера, идентификационный номер налогоплательщика и код причины постановки на учет), необходимых для осуществления Банком банковского сопровождения. Обеспечить аналогичную обязанность, указанную в настоящем пункте, при заключении договоров Подрядчиком с субподрядчиками (соисполнителями, субпоставщиками) по всем установленным уровням кооперации.</w:t>
      </w:r>
    </w:p>
    <w:p>
      <w:pPr>
        <w:pStyle w:val="ListParagraph"/>
        <w:tabs>
          <w:tab w:val="clear" w:pos="708"/>
          <w:tab w:val="left" w:pos="1419" w:leader="none"/>
        </w:tabs>
        <w:ind w:left="0" w:hanging="0"/>
        <w:jc w:val="both"/>
        <w:rPr>
          <w:rFonts w:ascii="Times New Roman" w:hAnsi="Times New Roman"/>
          <w:sz w:val="24"/>
          <w:szCs w:val="24"/>
        </w:rPr>
      </w:pPr>
      <w:r>
        <w:rPr>
          <w:sz w:val="24"/>
          <w:szCs w:val="24"/>
          <w:shd w:fill="FFFFFF" w:val="clear"/>
          <w:lang w:eastAsia="en-US"/>
        </w:rPr>
        <w:t xml:space="preserve">   </w:t>
      </w:r>
      <w:r>
        <w:rPr>
          <w:sz w:val="24"/>
          <w:szCs w:val="24"/>
          <w:shd w:fill="FFFFFF" w:val="clear"/>
          <w:lang w:eastAsia="en-US"/>
        </w:rPr>
        <w:t xml:space="preserve">2.10.6. </w:t>
      </w:r>
      <w:r>
        <w:rPr>
          <w:sz w:val="24"/>
          <w:szCs w:val="24"/>
          <w:shd w:fill="FFFFFF" w:val="clear"/>
        </w:rPr>
        <w:t xml:space="preserve"> Осуществлять расчеты, связанные с исполнением обязательств по Договору, исключительно через ОБС, а также обеспечить включение аналогичной обязанности в договоры, заключаемые Подрядчиком с Субподрядчиками (соисполнителями, субпоставщиками) по всем установленным уровням кооперации.</w:t>
      </w:r>
    </w:p>
    <w:p>
      <w:pPr>
        <w:pStyle w:val="ListParagraph"/>
        <w:tabs>
          <w:tab w:val="clear" w:pos="708"/>
          <w:tab w:val="left" w:pos="1419" w:leader="none"/>
        </w:tabs>
        <w:ind w:left="0" w:hanging="0"/>
        <w:jc w:val="both"/>
        <w:rPr>
          <w:rFonts w:ascii="Times New Roman" w:hAnsi="Times New Roman"/>
          <w:sz w:val="24"/>
          <w:szCs w:val="24"/>
        </w:rPr>
      </w:pPr>
      <w:r>
        <w:rPr>
          <w:b/>
          <w:bCs/>
          <w:sz w:val="24"/>
          <w:szCs w:val="24"/>
          <w:shd w:fill="FFFFFF" w:val="clear"/>
        </w:rPr>
        <w:t xml:space="preserve">          </w:t>
      </w:r>
      <w:r>
        <w:rPr>
          <w:b/>
          <w:bCs/>
          <w:sz w:val="24"/>
          <w:szCs w:val="24"/>
          <w:shd w:fill="FFFFFF" w:val="clear"/>
        </w:rPr>
        <w:t xml:space="preserve">2.11. </w:t>
      </w:r>
      <w:r>
        <w:rPr>
          <w:b w:val="false"/>
          <w:bCs w:val="false"/>
          <w:sz w:val="24"/>
          <w:szCs w:val="24"/>
          <w:shd w:fill="FFFFFF" w:val="clear"/>
        </w:rPr>
        <w:t xml:space="preserve">Расчеты по Договору осуществляются в валюте Российской Федерации. Оплата производится </w:t>
      </w:r>
      <w:r>
        <w:rPr>
          <w:b w:val="false"/>
          <w:bCs w:val="false"/>
          <w:color w:val="000000"/>
          <w:sz w:val="24"/>
          <w:szCs w:val="24"/>
          <w:shd w:fill="FFFFFF" w:val="clear"/>
        </w:rPr>
        <w:t xml:space="preserve">Заказчиком </w:t>
      </w:r>
      <w:r>
        <w:rPr>
          <w:b w:val="false"/>
          <w:bCs w:val="false"/>
          <w:sz w:val="24"/>
          <w:szCs w:val="24"/>
          <w:shd w:fill="FFFFFF" w:val="clear"/>
        </w:rPr>
        <w:t xml:space="preserve">путем </w:t>
      </w:r>
      <w:r>
        <w:rPr>
          <w:b w:val="false"/>
          <w:bCs w:val="false"/>
          <w:color w:val="000000"/>
          <w:sz w:val="24"/>
          <w:szCs w:val="24"/>
          <w:shd w:fill="FFFFFF" w:val="clear"/>
        </w:rPr>
        <w:t>перечисления денежных средств на ОБС Подрядчика, открытый в Банк ГПБ (АО) согласно пункту 3.3.42 Договора. Обязательство Заказчика по осуществлению платежа считается исполненным с даты списания денежных средств с ОБС Заказчика.</w:t>
      </w:r>
    </w:p>
    <w:p>
      <w:pPr>
        <w:pStyle w:val="ListParagraph"/>
        <w:shd w:val="clear" w:fill="FFFFFF"/>
        <w:tabs>
          <w:tab w:val="clear" w:pos="708"/>
          <w:tab w:val="left" w:pos="284" w:leader="none"/>
          <w:tab w:val="left" w:pos="1183" w:leader="none"/>
          <w:tab w:val="left" w:pos="1367" w:leader="none"/>
        </w:tabs>
        <w:ind w:left="0" w:right="-2" w:firstLine="567"/>
        <w:jc w:val="both"/>
        <w:rPr>
          <w:rFonts w:ascii="Times New Roman" w:hAnsi="Times New Roman"/>
          <w:sz w:val="24"/>
          <w:szCs w:val="24"/>
          <w:highlight w:val="yellow"/>
        </w:rPr>
      </w:pPr>
      <w:r>
        <w:rPr>
          <w:b/>
          <w:bCs/>
          <w:sz w:val="24"/>
          <w:szCs w:val="24"/>
          <w:shd w:fill="auto" w:val="clear"/>
        </w:rPr>
        <w:t xml:space="preserve"> </w:t>
      </w:r>
      <w:r>
        <w:rPr>
          <w:b/>
          <w:bCs/>
          <w:sz w:val="24"/>
          <w:szCs w:val="24"/>
          <w:shd w:fill="auto" w:val="clear"/>
        </w:rPr>
        <w:t xml:space="preserve">2.12. </w:t>
      </w:r>
      <w:r>
        <w:rPr>
          <w:b w:val="false"/>
          <w:bCs/>
          <w:i w:val="false"/>
          <w:iCs w:val="false"/>
          <w:color w:val="000000"/>
          <w:sz w:val="24"/>
          <w:szCs w:val="24"/>
          <w:highlight w:val="white"/>
        </w:rPr>
        <w:t>В случае если поставщик является непосредственным производителем материалов, сырья, конструкций, оборудования, техники, необходимых для реализации Сопровождаемого контракта, а также официальные дилеры производителей, официальные дистрибьюторы и торговые дома производителей при оплате соответствующих материалов, сырья, конструкций, оборудования, техники, открытие отдельного банковского счета в АО «Газпромбанк» не требуется.</w:t>
      </w:r>
    </w:p>
    <w:p>
      <w:pPr>
        <w:pStyle w:val="Normal"/>
        <w:rPr>
          <w:rFonts w:ascii="Times New Roman" w:hAnsi="Times New Roman"/>
          <w:sz w:val="24"/>
          <w:szCs w:val="24"/>
        </w:rPr>
      </w:pPr>
      <w:r>
        <w:rPr>
          <w:sz w:val="24"/>
          <w:szCs w:val="24"/>
        </w:rPr>
      </w:r>
    </w:p>
    <w:p>
      <w:pPr>
        <w:pStyle w:val="Normal"/>
        <w:numPr>
          <w:ilvl w:val="0"/>
          <w:numId w:val="1"/>
        </w:numPr>
        <w:shd w:val="clear" w:color="auto" w:fill="FFFFFF"/>
        <w:tabs>
          <w:tab w:val="clear" w:pos="708"/>
          <w:tab w:val="left" w:pos="284" w:leader="none"/>
        </w:tabs>
        <w:ind w:left="0" w:hanging="0"/>
        <w:jc w:val="center"/>
        <w:rPr>
          <w:rFonts w:ascii="Times New Roman" w:hAnsi="Times New Roman"/>
          <w:sz w:val="24"/>
          <w:szCs w:val="24"/>
        </w:rPr>
      </w:pPr>
      <w:r>
        <w:rPr>
          <w:b/>
          <w:bCs/>
          <w:sz w:val="24"/>
          <w:szCs w:val="24"/>
        </w:rPr>
        <w:t>Порядок поставки и приемки Товара</w:t>
      </w:r>
    </w:p>
    <w:p>
      <w:pPr>
        <w:pStyle w:val="ListParagraph"/>
        <w:widowControl/>
        <w:numPr>
          <w:ilvl w:val="1"/>
          <w:numId w:val="1"/>
        </w:numPr>
        <w:shd w:val="clear" w:color="auto" w:fill="FFFFFF"/>
        <w:tabs>
          <w:tab w:val="clear" w:pos="708"/>
          <w:tab w:val="left" w:pos="1134" w:leader="none"/>
        </w:tabs>
        <w:ind w:left="0" w:firstLine="709"/>
        <w:jc w:val="both"/>
        <w:rPr>
          <w:rFonts w:ascii="Times New Roman" w:hAnsi="Times New Roman"/>
          <w:sz w:val="24"/>
          <w:szCs w:val="24"/>
        </w:rPr>
      </w:pPr>
      <w:r>
        <w:rPr>
          <w:sz w:val="24"/>
          <w:szCs w:val="24"/>
        </w:rPr>
        <w:t>Поставка Товара осуществляется партиями в Место поставки, указанное в пункте 1.3 Договора.</w:t>
      </w:r>
    </w:p>
    <w:p>
      <w:pPr>
        <w:pStyle w:val="ListParagraph"/>
        <w:widowControl/>
        <w:numPr>
          <w:ilvl w:val="1"/>
          <w:numId w:val="1"/>
        </w:numPr>
        <w:shd w:val="clear" w:color="auto" w:fill="FFFFFF"/>
        <w:tabs>
          <w:tab w:val="clear" w:pos="708"/>
          <w:tab w:val="left" w:pos="1134" w:leader="none"/>
        </w:tabs>
        <w:ind w:left="0" w:firstLine="709"/>
        <w:jc w:val="both"/>
        <w:rPr>
          <w:rFonts w:ascii="Times New Roman" w:hAnsi="Times New Roman"/>
          <w:sz w:val="24"/>
          <w:szCs w:val="24"/>
        </w:rPr>
      </w:pPr>
      <w:r>
        <w:rPr>
          <w:bCs/>
          <w:sz w:val="24"/>
          <w:szCs w:val="24"/>
          <w:shd w:fill="FFFFFF" w:val="clear"/>
        </w:rPr>
        <w:t>Качество, комплектность, количество и ассортимент поставляемого по Договору Товара должны соответствовать требованиям Договора и Покупателя,</w:t>
      </w:r>
      <w:r>
        <w:rPr>
          <w:b/>
          <w:bCs/>
          <w:sz w:val="24"/>
          <w:szCs w:val="24"/>
          <w:shd w:fill="FFFFFF" w:val="clear"/>
        </w:rPr>
        <w:t xml:space="preserve"> </w:t>
      </w:r>
      <w:r>
        <w:rPr>
          <w:bCs/>
          <w:sz w:val="24"/>
          <w:szCs w:val="24"/>
          <w:shd w:fill="FFFFFF" w:val="clear"/>
        </w:rPr>
        <w:t>в том числе, указанным в Спецификации (Приложение № 1 к Договору), а также Применимого права.</w:t>
      </w:r>
    </w:p>
    <w:p>
      <w:pPr>
        <w:pStyle w:val="Normal"/>
        <w:widowControl/>
        <w:shd w:val="clear" w:color="auto" w:fill="FFFFFF"/>
        <w:tabs>
          <w:tab w:val="clear" w:pos="708"/>
          <w:tab w:val="left" w:pos="1134" w:leader="none"/>
        </w:tabs>
        <w:ind w:firstLine="709"/>
        <w:jc w:val="both"/>
        <w:rPr>
          <w:rFonts w:ascii="Times New Roman" w:hAnsi="Times New Roman"/>
          <w:sz w:val="24"/>
          <w:szCs w:val="24"/>
        </w:rPr>
      </w:pPr>
      <w:r>
        <w:rPr>
          <w:bCs/>
          <w:sz w:val="24"/>
          <w:szCs w:val="24"/>
          <w:shd w:fill="FFFFFF" w:val="clear"/>
        </w:rPr>
        <w:t>Поставщик не вправе производить замену Товара, содержащегося в одном из реестров, предусмотренных пунктом 3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иной Товар, не включенный в такие реестры.</w:t>
      </w:r>
    </w:p>
    <w:p>
      <w:pPr>
        <w:pStyle w:val="ListParagraph"/>
        <w:widowControl/>
        <w:numPr>
          <w:ilvl w:val="1"/>
          <w:numId w:val="1"/>
        </w:numPr>
        <w:shd w:val="clear" w:color="auto" w:fill="FFFFFF"/>
        <w:tabs>
          <w:tab w:val="clear" w:pos="708"/>
          <w:tab w:val="left" w:pos="1134" w:leader="none"/>
        </w:tabs>
        <w:ind w:left="0" w:firstLine="709"/>
        <w:jc w:val="both"/>
        <w:rPr>
          <w:rFonts w:ascii="Times New Roman" w:hAnsi="Times New Roman"/>
          <w:sz w:val="24"/>
          <w:szCs w:val="24"/>
        </w:rPr>
      </w:pPr>
      <w:r>
        <w:rPr>
          <w:bCs/>
          <w:sz w:val="24"/>
          <w:szCs w:val="24"/>
          <w:shd w:fill="FFFFFF" w:val="clear"/>
        </w:rPr>
        <w:t>Поставляемый Товар должен быть новым, не ранее ………. года выпуска,  не бывшим в употреблении, п</w:t>
      </w:r>
      <w:r>
        <w:rPr>
          <w:bCs/>
          <w:sz w:val="24"/>
          <w:szCs w:val="24"/>
        </w:rPr>
        <w:t>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1"/>
        </w:numPr>
        <w:shd w:val="clear" w:color="auto" w:fill="FFFFFF"/>
        <w:tabs>
          <w:tab w:val="clear" w:pos="708"/>
          <w:tab w:val="left" w:pos="1134" w:leader="none"/>
        </w:tabs>
        <w:ind w:left="0" w:firstLine="709"/>
        <w:jc w:val="both"/>
        <w:rPr>
          <w:rFonts w:ascii="Times New Roman" w:hAnsi="Times New Roman"/>
          <w:sz w:val="24"/>
          <w:szCs w:val="24"/>
        </w:rPr>
      </w:pPr>
      <w:r>
        <w:rPr>
          <w:bCs/>
          <w:sz w:val="24"/>
          <w:szCs w:val="24"/>
        </w:rPr>
        <w:t xml:space="preserve">Одновременно с передачей партии Товара Поставщик обязан передать Покупателю оригиналы следующих относящихся к Товару документов: </w:t>
      </w:r>
    </w:p>
    <w:p>
      <w:pPr>
        <w:pStyle w:val="Normal"/>
        <w:numPr>
          <w:ilvl w:val="0"/>
          <w:numId w:val="3"/>
        </w:numPr>
        <w:tabs>
          <w:tab w:val="clear" w:pos="708"/>
          <w:tab w:val="left" w:pos="1418" w:leader="none"/>
        </w:tabs>
        <w:ind w:left="0" w:firstLine="709"/>
        <w:jc w:val="both"/>
        <w:rPr>
          <w:rFonts w:ascii="Times New Roman" w:hAnsi="Times New Roman"/>
          <w:sz w:val="24"/>
          <w:szCs w:val="24"/>
        </w:rPr>
      </w:pPr>
      <w:r>
        <w:rPr>
          <w:sz w:val="24"/>
          <w:szCs w:val="24"/>
        </w:rPr>
        <w:t xml:space="preserve">сертификат качества в </w:t>
      </w:r>
      <w:r>
        <w:rPr>
          <w:sz w:val="24"/>
          <w:szCs w:val="24"/>
          <w:highlight w:val="lightGray"/>
        </w:rPr>
        <w:t>__(____)</w:t>
      </w:r>
      <w:r>
        <w:rPr>
          <w:sz w:val="24"/>
          <w:szCs w:val="24"/>
        </w:rPr>
        <w:t xml:space="preserve"> экз.;</w:t>
      </w:r>
    </w:p>
    <w:p>
      <w:pPr>
        <w:pStyle w:val="Normal"/>
        <w:numPr>
          <w:ilvl w:val="0"/>
          <w:numId w:val="3"/>
        </w:numPr>
        <w:tabs>
          <w:tab w:val="clear" w:pos="708"/>
          <w:tab w:val="left" w:pos="1418" w:leader="none"/>
        </w:tabs>
        <w:ind w:left="0" w:firstLine="709"/>
        <w:jc w:val="both"/>
        <w:rPr>
          <w:rFonts w:ascii="Times New Roman" w:hAnsi="Times New Roman"/>
          <w:sz w:val="24"/>
          <w:szCs w:val="24"/>
        </w:rPr>
      </w:pPr>
      <w:r>
        <w:rPr>
          <w:sz w:val="24"/>
          <w:szCs w:val="24"/>
        </w:rPr>
        <w:t xml:space="preserve">технический паспорт на русском языке в </w:t>
      </w:r>
      <w:r>
        <w:rPr>
          <w:sz w:val="24"/>
          <w:szCs w:val="24"/>
          <w:highlight w:val="lightGray"/>
        </w:rPr>
        <w:t>__(____)</w:t>
      </w:r>
      <w:r>
        <w:rPr>
          <w:sz w:val="24"/>
          <w:szCs w:val="24"/>
        </w:rPr>
        <w:t xml:space="preserve"> экз.;</w:t>
      </w:r>
    </w:p>
    <w:p>
      <w:pPr>
        <w:pStyle w:val="Normal"/>
        <w:numPr>
          <w:ilvl w:val="0"/>
          <w:numId w:val="3"/>
        </w:numPr>
        <w:tabs>
          <w:tab w:val="clear" w:pos="708"/>
          <w:tab w:val="left" w:pos="1418" w:leader="none"/>
        </w:tabs>
        <w:ind w:left="0" w:firstLine="709"/>
        <w:jc w:val="both"/>
        <w:rPr>
          <w:rFonts w:ascii="Times New Roman" w:hAnsi="Times New Roman"/>
          <w:sz w:val="24"/>
          <w:szCs w:val="24"/>
        </w:rPr>
      </w:pPr>
      <w:r>
        <w:rPr>
          <w:sz w:val="24"/>
          <w:szCs w:val="24"/>
        </w:rPr>
        <w:t xml:space="preserve">инструкция по эксплуатации на русском языке в </w:t>
      </w:r>
      <w:r>
        <w:rPr>
          <w:sz w:val="24"/>
          <w:szCs w:val="24"/>
          <w:highlight w:val="lightGray"/>
        </w:rPr>
        <w:t>__(____)</w:t>
      </w:r>
      <w:r>
        <w:rPr>
          <w:sz w:val="24"/>
          <w:szCs w:val="24"/>
        </w:rPr>
        <w:t xml:space="preserve"> экз.;</w:t>
      </w:r>
    </w:p>
    <w:p>
      <w:pPr>
        <w:pStyle w:val="Normal"/>
        <w:numPr>
          <w:ilvl w:val="0"/>
          <w:numId w:val="3"/>
        </w:numPr>
        <w:tabs>
          <w:tab w:val="clear" w:pos="708"/>
          <w:tab w:val="left" w:pos="1418" w:leader="none"/>
        </w:tabs>
        <w:ind w:left="0" w:firstLine="709"/>
        <w:jc w:val="both"/>
        <w:rPr>
          <w:rFonts w:ascii="Times New Roman" w:hAnsi="Times New Roman"/>
          <w:sz w:val="24"/>
          <w:szCs w:val="24"/>
        </w:rPr>
      </w:pPr>
      <w:r>
        <w:rPr>
          <w:sz w:val="24"/>
          <w:szCs w:val="24"/>
        </w:rPr>
        <w:t xml:space="preserve">упаковочный лист в </w:t>
      </w:r>
      <w:r>
        <w:rPr>
          <w:sz w:val="24"/>
          <w:szCs w:val="24"/>
          <w:highlight w:val="lightGray"/>
        </w:rPr>
        <w:t>__(____)</w:t>
      </w:r>
      <w:r>
        <w:rPr>
          <w:sz w:val="24"/>
          <w:szCs w:val="24"/>
        </w:rPr>
        <w:t xml:space="preserve"> экз.;</w:t>
      </w:r>
    </w:p>
    <w:p>
      <w:pPr>
        <w:pStyle w:val="Normal"/>
        <w:numPr>
          <w:ilvl w:val="0"/>
          <w:numId w:val="2"/>
        </w:numPr>
        <w:tabs>
          <w:tab w:val="clear" w:pos="708"/>
          <w:tab w:val="left" w:pos="1418" w:leader="none"/>
        </w:tabs>
        <w:ind w:left="0" w:firstLine="709"/>
        <w:jc w:val="both"/>
        <w:rPr>
          <w:rFonts w:ascii="Times New Roman" w:hAnsi="Times New Roman"/>
          <w:sz w:val="24"/>
          <w:szCs w:val="24"/>
        </w:rPr>
      </w:pPr>
      <w:r>
        <w:rPr>
          <w:sz w:val="24"/>
          <w:szCs w:val="24"/>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w:t>
      </w:r>
      <w:r>
        <w:rPr>
          <w:color w:val="000000"/>
          <w:sz w:val="24"/>
          <w:szCs w:val="24"/>
          <w:highlight w:val="lightGray"/>
        </w:rPr>
        <w:t>сертификат о происхождении товара</w:t>
      </w:r>
      <w:r>
        <w:rPr>
          <w:color w:val="000000"/>
          <w:sz w:val="24"/>
          <w:szCs w:val="24"/>
        </w:rPr>
        <w:t xml:space="preserve"> </w:t>
      </w:r>
      <w:r>
        <w:rPr>
          <w:sz w:val="24"/>
          <w:szCs w:val="24"/>
        </w:rPr>
        <w:t>и т.п.) в зависимости от номенклатуры поставляемого Товара;</w:t>
      </w:r>
    </w:p>
    <w:p>
      <w:pPr>
        <w:pStyle w:val="Normal"/>
        <w:numPr>
          <w:ilvl w:val="0"/>
          <w:numId w:val="2"/>
        </w:numPr>
        <w:shd w:val="clear" w:color="auto" w:fill="FFFFFF"/>
        <w:tabs>
          <w:tab w:val="clear" w:pos="708"/>
          <w:tab w:val="left" w:pos="1418" w:leader="none"/>
        </w:tabs>
        <w:ind w:left="0" w:firstLine="709"/>
        <w:jc w:val="both"/>
        <w:rPr>
          <w:rFonts w:ascii="Times New Roman" w:hAnsi="Times New Roman"/>
          <w:sz w:val="24"/>
          <w:szCs w:val="24"/>
        </w:rPr>
      </w:pPr>
      <w:r>
        <w:rPr>
          <w:sz w:val="24"/>
          <w:szCs w:val="24"/>
        </w:rPr>
        <w:t xml:space="preserve">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w:t>
      </w:r>
      <w:r>
        <w:rPr>
          <w:sz w:val="24"/>
          <w:szCs w:val="24"/>
          <w:highlight w:val="lightGray"/>
        </w:rPr>
        <w:t>__(____)</w:t>
      </w:r>
      <w:r>
        <w:rPr>
          <w:sz w:val="24"/>
          <w:szCs w:val="24"/>
        </w:rPr>
        <w:t xml:space="preserve"> экз.;</w:t>
      </w:r>
    </w:p>
    <w:p>
      <w:pPr>
        <w:pStyle w:val="Normal"/>
        <w:numPr>
          <w:ilvl w:val="0"/>
          <w:numId w:val="2"/>
        </w:numPr>
        <w:shd w:val="clear" w:color="auto" w:fill="FFFFFF"/>
        <w:tabs>
          <w:tab w:val="clear" w:pos="708"/>
          <w:tab w:val="left" w:pos="1418" w:leader="none"/>
        </w:tabs>
        <w:ind w:left="0" w:firstLine="709"/>
        <w:jc w:val="both"/>
        <w:rPr>
          <w:rFonts w:ascii="Times New Roman" w:hAnsi="Times New Roman"/>
          <w:sz w:val="24"/>
          <w:szCs w:val="24"/>
        </w:rPr>
      </w:pPr>
      <w:r>
        <w:rPr>
          <w:sz w:val="24"/>
          <w:szCs w:val="24"/>
        </w:rPr>
        <w:t xml:space="preserve">накладная ТОРГ-12 / </w:t>
      </w:r>
      <w:r>
        <w:rPr>
          <w:sz w:val="24"/>
          <w:szCs w:val="24"/>
          <w:shd w:fill="FFFFFF" w:val="clear"/>
        </w:rPr>
        <w:t>УПД</w:t>
      </w:r>
      <w:r>
        <w:rPr>
          <w:sz w:val="24"/>
          <w:szCs w:val="24"/>
        </w:rPr>
        <w:t xml:space="preserve"> в </w:t>
      </w:r>
      <w:r>
        <w:rPr>
          <w:sz w:val="24"/>
          <w:szCs w:val="24"/>
          <w:highlight w:val="lightGray"/>
        </w:rPr>
        <w:t>__(____)</w:t>
      </w:r>
      <w:r>
        <w:rPr>
          <w:sz w:val="24"/>
          <w:szCs w:val="24"/>
        </w:rPr>
        <w:t xml:space="preserve"> экз.</w:t>
      </w:r>
    </w:p>
    <w:p>
      <w:pPr>
        <w:pStyle w:val="ListParagraph"/>
        <w:widowControl/>
        <w:numPr>
          <w:ilvl w:val="1"/>
          <w:numId w:val="1"/>
        </w:numPr>
        <w:shd w:val="clear" w:color="auto" w:fill="FFFFFF"/>
        <w:tabs>
          <w:tab w:val="clear" w:pos="708"/>
          <w:tab w:val="left" w:pos="1134" w:leader="none"/>
          <w:tab w:val="left" w:pos="1418" w:leader="none"/>
        </w:tabs>
        <w:ind w:left="0" w:firstLine="709"/>
        <w:jc w:val="both"/>
        <w:rPr>
          <w:rFonts w:ascii="Times New Roman" w:hAnsi="Times New Roman"/>
          <w:sz w:val="24"/>
          <w:szCs w:val="24"/>
        </w:rPr>
      </w:pPr>
      <w:bookmarkStart w:id="1"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8"/>
          <w:tab w:val="left" w:pos="1418" w:leader="none"/>
        </w:tabs>
        <w:ind w:left="0" w:firstLine="709"/>
        <w:jc w:val="both"/>
        <w:rPr>
          <w:rFonts w:ascii="Times New Roman" w:hAnsi="Times New Roman"/>
          <w:sz w:val="24"/>
          <w:szCs w:val="24"/>
        </w:rPr>
      </w:pPr>
      <w:r>
        <w:rPr>
          <w:bCs/>
          <w:sz w:val="24"/>
          <w:szCs w:val="24"/>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8"/>
          <w:tab w:val="left" w:pos="1418" w:leader="none"/>
        </w:tabs>
        <w:ind w:left="0" w:firstLine="709"/>
        <w:jc w:val="both"/>
        <w:rPr>
          <w:rFonts w:ascii="Times New Roman" w:hAnsi="Times New Roman"/>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1"/>
        </w:numPr>
        <w:shd w:val="clear" w:color="auto" w:fill="FFFFFF"/>
        <w:tabs>
          <w:tab w:val="clear" w:pos="708"/>
          <w:tab w:val="left" w:pos="1134" w:leader="none"/>
          <w:tab w:val="left" w:pos="1418" w:leader="none"/>
        </w:tabs>
        <w:ind w:left="0" w:firstLine="709"/>
        <w:jc w:val="both"/>
        <w:rPr>
          <w:rFonts w:ascii="Times New Roman" w:hAnsi="Times New Roman"/>
          <w:sz w:val="24"/>
          <w:szCs w:val="24"/>
        </w:rPr>
      </w:pPr>
      <w:r>
        <w:rPr>
          <w:sz w:val="24"/>
          <w:szCs w:val="24"/>
        </w:rPr>
        <w:t xml:space="preserve">Погрузка, доставка </w:t>
      </w:r>
      <w:r>
        <w:rPr>
          <w:bCs/>
          <w:sz w:val="24"/>
          <w:szCs w:val="24"/>
        </w:rPr>
        <w:t>осуществляется</w:t>
      </w:r>
      <w:r>
        <w:rPr>
          <w:sz w:val="24"/>
          <w:szCs w:val="24"/>
        </w:rPr>
        <w:t xml:space="preserve"> Поставщиком. Стоимость погрузки, доставки</w:t>
      </w:r>
      <w:r>
        <w:rPr>
          <w:sz w:val="24"/>
          <w:szCs w:val="24"/>
          <w:highlight w:val="lightGray"/>
        </w:rPr>
        <w:t xml:space="preserve"> Товара</w:t>
      </w:r>
      <w:r>
        <w:rPr>
          <w:sz w:val="24"/>
          <w:szCs w:val="24"/>
        </w:rPr>
        <w:t xml:space="preserve"> включена в стоимость Товара.</w:t>
      </w:r>
    </w:p>
    <w:p>
      <w:pPr>
        <w:pStyle w:val="ListParagraph"/>
        <w:widowControl/>
        <w:numPr>
          <w:ilvl w:val="1"/>
          <w:numId w:val="1"/>
        </w:numPr>
        <w:shd w:val="clear" w:color="auto" w:fill="FFFFFF"/>
        <w:tabs>
          <w:tab w:val="clear" w:pos="708"/>
          <w:tab w:val="left" w:pos="1134" w:leader="none"/>
        </w:tabs>
        <w:ind w:left="0" w:firstLine="709"/>
        <w:jc w:val="both"/>
        <w:rPr>
          <w:rFonts w:ascii="Times New Roman" w:hAnsi="Times New Roman"/>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1"/>
        </w:numPr>
        <w:shd w:val="clear" w:color="auto" w:fill="FFFFFF"/>
        <w:tabs>
          <w:tab w:val="clear" w:pos="708"/>
          <w:tab w:val="left" w:pos="1418" w:leader="none"/>
        </w:tabs>
        <w:ind w:left="0" w:firstLine="709"/>
        <w:jc w:val="both"/>
        <w:rPr>
          <w:rFonts w:ascii="Times New Roman" w:hAnsi="Times New Roman"/>
          <w:sz w:val="24"/>
          <w:szCs w:val="24"/>
        </w:rPr>
      </w:pPr>
      <w:bookmarkStart w:id="2" w:name="_Ref361396594"/>
      <w:r>
        <w:rPr>
          <w:sz w:val="24"/>
          <w:szCs w:val="24"/>
        </w:rPr>
        <w:t xml:space="preserve">Датой поставки партии Товара является дата подписания Сторонами накладной ТОРГ-12 / </w:t>
      </w:r>
      <w:r>
        <w:rPr>
          <w:sz w:val="24"/>
          <w:szCs w:val="24"/>
          <w:shd w:fill="FFFFFF" w:val="clear"/>
        </w:rPr>
        <w:t>УПД</w:t>
      </w:r>
      <w:r>
        <w:rPr>
          <w:sz w:val="24"/>
          <w:szCs w:val="24"/>
        </w:rPr>
        <w:t>.</w:t>
      </w:r>
      <w:bookmarkEnd w:id="2"/>
      <w:r>
        <w:rPr>
          <w:sz w:val="24"/>
          <w:szCs w:val="24"/>
        </w:rPr>
        <w:t xml:space="preserve"> </w:t>
      </w:r>
    </w:p>
    <w:p>
      <w:pPr>
        <w:pStyle w:val="ListParagraph"/>
        <w:widowControl/>
        <w:numPr>
          <w:ilvl w:val="1"/>
          <w:numId w:val="1"/>
        </w:numPr>
        <w:shd w:val="clear" w:color="auto" w:fill="FFFFFF"/>
        <w:tabs>
          <w:tab w:val="clear" w:pos="708"/>
          <w:tab w:val="left" w:pos="1418" w:leader="none"/>
        </w:tabs>
        <w:ind w:left="0" w:firstLine="709"/>
        <w:jc w:val="both"/>
        <w:rPr>
          <w:rFonts w:ascii="Times New Roman" w:hAnsi="Times New Roman"/>
          <w:sz w:val="24"/>
          <w:szCs w:val="24"/>
        </w:rPr>
      </w:pPr>
      <w:r>
        <w:rPr>
          <w:sz w:val="24"/>
          <w:szCs w:val="24"/>
        </w:rPr>
        <w:t xml:space="preserve">Приемка партии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1"/>
        </w:numPr>
        <w:shd w:val="clear" w:color="auto" w:fill="FFFFFF"/>
        <w:tabs>
          <w:tab w:val="clear" w:pos="708"/>
          <w:tab w:val="left" w:pos="1418" w:leader="none"/>
        </w:tabs>
        <w:ind w:left="0" w:firstLine="709"/>
        <w:jc w:val="both"/>
        <w:rPr>
          <w:rFonts w:ascii="Times New Roman" w:hAnsi="Times New Roman"/>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w:t>
      </w:r>
      <w:r>
        <w:rPr>
          <w:sz w:val="24"/>
          <w:szCs w:val="24"/>
          <w:highlight w:val="lightGray"/>
        </w:rPr>
        <w:t>3 (трех)</w:t>
      </w:r>
      <w:r>
        <w:rPr>
          <w:sz w:val="24"/>
          <w:szCs w:val="24"/>
        </w:rPr>
        <w:t xml:space="preserve">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партии Товара в срок, письменно согласованный с Покупателем. </w:t>
      </w:r>
    </w:p>
    <w:p>
      <w:pPr>
        <w:pStyle w:val="ListParagraph"/>
        <w:shd w:val="clear" w:color="auto" w:fill="FFFFFF"/>
        <w:tabs>
          <w:tab w:val="clear" w:pos="708"/>
          <w:tab w:val="left" w:pos="1418" w:leader="none"/>
        </w:tabs>
        <w:ind w:left="0" w:firstLine="709"/>
        <w:jc w:val="both"/>
        <w:rPr>
          <w:rFonts w:ascii="Times New Roman" w:hAnsi="Times New Roman"/>
          <w:sz w:val="24"/>
          <w:szCs w:val="24"/>
        </w:rPr>
      </w:pPr>
      <w:bookmarkStart w:id="3"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3"/>
      <w:r>
        <w:rPr>
          <w:sz w:val="24"/>
          <w:szCs w:val="24"/>
        </w:rPr>
        <w:t xml:space="preserve"> </w:t>
      </w:r>
    </w:p>
    <w:p>
      <w:pPr>
        <w:pStyle w:val="Normal"/>
        <w:widowControl/>
        <w:shd w:val="clear" w:color="auto" w:fill="FFFFFF"/>
        <w:tabs>
          <w:tab w:val="clear" w:pos="708"/>
          <w:tab w:val="left" w:pos="1134" w:leader="none"/>
          <w:tab w:val="left" w:pos="1418" w:leader="none"/>
        </w:tabs>
        <w:ind w:firstLine="709"/>
        <w:jc w:val="both"/>
        <w:rPr>
          <w:rFonts w:ascii="Times New Roman" w:hAnsi="Times New Roman"/>
          <w:sz w:val="24"/>
          <w:szCs w:val="24"/>
        </w:rPr>
      </w:pPr>
      <w:r>
        <w:rPr>
          <w:bCs/>
          <w:sz w:val="24"/>
          <w:szCs w:val="24"/>
        </w:rPr>
        <w:t xml:space="preserve">В случаях, указанных в настоящем пункте, Покупатель также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shd w:val="clear" w:color="auto" w:fill="FFFFFF"/>
        <w:tabs>
          <w:tab w:val="clear" w:pos="708"/>
          <w:tab w:val="left" w:pos="1134" w:leader="none"/>
          <w:tab w:val="left" w:pos="1418" w:leader="none"/>
        </w:tabs>
        <w:ind w:left="0" w:firstLine="709"/>
        <w:jc w:val="both"/>
        <w:rPr>
          <w:rFonts w:ascii="Times New Roman" w:hAnsi="Times New Roman"/>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1"/>
        </w:numPr>
        <w:shd w:val="clear" w:color="auto" w:fill="FFFFFF"/>
        <w:tabs>
          <w:tab w:val="clear" w:pos="708"/>
          <w:tab w:val="left" w:pos="1418" w:leader="none"/>
        </w:tabs>
        <w:ind w:left="0" w:firstLine="709"/>
        <w:jc w:val="both"/>
        <w:rPr>
          <w:rFonts w:ascii="Times New Roman" w:hAnsi="Times New Roman"/>
          <w:sz w:val="24"/>
          <w:szCs w:val="24"/>
        </w:rPr>
      </w:pPr>
      <w:r>
        <w:rPr>
          <w:sz w:val="24"/>
          <w:szCs w:val="24"/>
        </w:rPr>
        <w:t xml:space="preserve">Приемка партии Товара со вскрытием тары и упаковки производится Покупателем в присутствии представителя Поставщика в течение </w:t>
      </w:r>
      <w:r>
        <w:rPr>
          <w:sz w:val="24"/>
          <w:szCs w:val="24"/>
          <w:highlight w:val="lightGray"/>
        </w:rPr>
        <w:t>10 (десяти)</w:t>
      </w:r>
      <w:r>
        <w:rPr>
          <w:sz w:val="24"/>
          <w:szCs w:val="24"/>
        </w:rPr>
        <w:t xml:space="preserve"> рабочих дней </w:t>
        <w:br/>
        <w:t>с даты подписания Покупателем транспортных документов. В случае отсутствия замечаний Покупатель подписывает накладную ТОРГ</w:t>
      </w:r>
      <w:r>
        <w:rPr>
          <w:sz w:val="24"/>
          <w:szCs w:val="24"/>
          <w:shd w:fill="FFFFFF" w:val="clear"/>
        </w:rPr>
        <w:t>-12 / УПД.</w:t>
      </w:r>
    </w:p>
    <w:p>
      <w:pPr>
        <w:pStyle w:val="Normal"/>
        <w:numPr>
          <w:ilvl w:val="1"/>
          <w:numId w:val="1"/>
        </w:numPr>
        <w:shd w:val="clear" w:color="auto" w:fill="FFFFFF"/>
        <w:tabs>
          <w:tab w:val="clear" w:pos="708"/>
          <w:tab w:val="left" w:pos="568" w:leader="none"/>
          <w:tab w:val="left" w:pos="1134" w:leader="none"/>
          <w:tab w:val="left" w:pos="1418" w:leader="none"/>
        </w:tabs>
        <w:ind w:left="0" w:firstLine="709"/>
        <w:jc w:val="both"/>
        <w:rPr>
          <w:rFonts w:ascii="Times New Roman" w:hAnsi="Times New Roman"/>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8"/>
          <w:tab w:val="left" w:pos="1134" w:leader="none"/>
          <w:tab w:val="left" w:pos="1418" w:leader="none"/>
          <w:tab w:val="left" w:pos="1851" w:leader="none"/>
        </w:tabs>
        <w:ind w:firstLine="709"/>
        <w:jc w:val="both"/>
        <w:rPr>
          <w:rFonts w:ascii="Times New Roman" w:hAnsi="Times New Roman"/>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8"/>
          <w:tab w:val="left" w:pos="1134" w:leader="none"/>
          <w:tab w:val="left" w:pos="1418" w:leader="none"/>
          <w:tab w:val="left" w:pos="1851" w:leader="none"/>
        </w:tabs>
        <w:ind w:firstLine="709"/>
        <w:jc w:val="both"/>
        <w:rPr>
          <w:rFonts w:ascii="Times New Roman" w:hAnsi="Times New Roman"/>
          <w:sz w:val="24"/>
          <w:szCs w:val="24"/>
        </w:rPr>
      </w:pPr>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Товара.</w:t>
      </w:r>
    </w:p>
    <w:p>
      <w:pPr>
        <w:pStyle w:val="Normal"/>
        <w:numPr>
          <w:ilvl w:val="1"/>
          <w:numId w:val="1"/>
        </w:numPr>
        <w:shd w:val="clear" w:color="auto" w:fill="FFFFFF"/>
        <w:tabs>
          <w:tab w:val="clear" w:pos="708"/>
          <w:tab w:val="left" w:pos="1418" w:leader="none"/>
        </w:tabs>
        <w:ind w:left="0" w:firstLine="709"/>
        <w:jc w:val="both"/>
        <w:rPr>
          <w:rFonts w:ascii="Times New Roman" w:hAnsi="Times New Roman"/>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партии Товара в порядке, предусмотренном пунктами 3.10, 3.12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партии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8"/>
          <w:tab w:val="left" w:pos="1283" w:leader="none"/>
          <w:tab w:val="left" w:pos="1851" w:leader="none"/>
        </w:tabs>
        <w:ind w:firstLine="709"/>
        <w:jc w:val="both"/>
        <w:rPr>
          <w:rFonts w:ascii="Times New Roman" w:hAnsi="Times New Roman"/>
          <w:sz w:val="24"/>
          <w:szCs w:val="24"/>
        </w:rPr>
      </w:pPr>
      <w:r>
        <w:rPr>
          <w:sz w:val="24"/>
          <w:szCs w:val="24"/>
        </w:rPr>
        <w:t>Если Поставщик не вывезет партию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1"/>
        </w:numPr>
        <w:shd w:val="clear" w:color="auto" w:fill="FFFFFF"/>
        <w:tabs>
          <w:tab w:val="clear" w:pos="708"/>
          <w:tab w:val="left" w:pos="1134" w:leader="none"/>
          <w:tab w:val="left" w:pos="1418" w:leader="none"/>
        </w:tabs>
        <w:ind w:left="0" w:firstLine="709"/>
        <w:jc w:val="both"/>
        <w:rPr>
          <w:rFonts w:ascii="Times New Roman" w:hAnsi="Times New Roman"/>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1"/>
        </w:numPr>
        <w:shd w:val="clear" w:color="auto" w:fill="FFFFFF"/>
        <w:tabs>
          <w:tab w:val="clear" w:pos="708"/>
          <w:tab w:val="left" w:pos="1134" w:leader="none"/>
          <w:tab w:val="left" w:pos="1418" w:leader="none"/>
        </w:tabs>
        <w:ind w:left="0" w:firstLine="709"/>
        <w:jc w:val="both"/>
        <w:rPr>
          <w:rFonts w:ascii="Times New Roman" w:hAnsi="Times New Roman"/>
          <w:sz w:val="24"/>
          <w:szCs w:val="24"/>
        </w:rPr>
      </w:pPr>
      <w:r>
        <w:rPr>
          <w:sz w:val="24"/>
          <w:szCs w:val="24"/>
        </w:rPr>
        <w:t xml:space="preserve">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 </w:t>
      </w:r>
      <w:r>
        <w:rPr>
          <w:sz w:val="24"/>
          <w:szCs w:val="24"/>
          <w:shd w:fill="FFFFFF" w:val="clear"/>
        </w:rPr>
        <w:t>/ УПД.</w:t>
      </w:r>
    </w:p>
    <w:p>
      <w:pPr>
        <w:pStyle w:val="ListParagraph"/>
        <w:numPr>
          <w:ilvl w:val="1"/>
          <w:numId w:val="1"/>
        </w:numPr>
        <w:tabs>
          <w:tab w:val="clear" w:pos="708"/>
          <w:tab w:val="left" w:pos="1418" w:leader="none"/>
        </w:tabs>
        <w:ind w:left="0" w:firstLine="709"/>
        <w:jc w:val="both"/>
        <w:rPr>
          <w:rFonts w:ascii="Times New Roman" w:hAnsi="Times New Roman"/>
          <w:sz w:val="24"/>
          <w:szCs w:val="24"/>
        </w:rPr>
      </w:pPr>
      <w:r>
        <w:rPr>
          <w:sz w:val="24"/>
          <w:szCs w:val="24"/>
        </w:rPr>
        <w:t>Поставщик обязан не более чем за 5 рабочих дней до даты начала отгрузки Товара в адрес Покупателя (Грузополучателя), направить Покупателю письменное уведомление с указанием Грузоотправителя Товара и Транспортной компании, обеспечивающей доставку Товара до места поставки. Уведомление составляется по форме приложения №6_к настоящему договору.</w:t>
      </w:r>
    </w:p>
    <w:p>
      <w:pPr>
        <w:pStyle w:val="Normal"/>
        <w:ind w:firstLine="709"/>
        <w:jc w:val="both"/>
        <w:rPr>
          <w:rFonts w:ascii="Times New Roman" w:hAnsi="Times New Roman"/>
          <w:sz w:val="24"/>
          <w:szCs w:val="24"/>
        </w:rPr>
      </w:pPr>
      <w:r>
        <w:rPr>
          <w:sz w:val="24"/>
          <w:szCs w:val="24"/>
        </w:rPr>
        <w:t>В случае поступления на склад Грузополучателя Товара без вышеуказанного уведомления, Покупатель вправе:</w:t>
      </w:r>
    </w:p>
    <w:p>
      <w:pPr>
        <w:pStyle w:val="Normal"/>
        <w:ind w:firstLine="709"/>
        <w:jc w:val="both"/>
        <w:rPr>
          <w:rFonts w:ascii="Times New Roman" w:hAnsi="Times New Roman"/>
          <w:sz w:val="24"/>
          <w:szCs w:val="24"/>
        </w:rPr>
      </w:pPr>
      <w:r>
        <w:rPr>
          <w:sz w:val="24"/>
          <w:szCs w:val="24"/>
        </w:rPr>
        <w:t>- принять Товар на ответственное хранение и считается, что Поставщик не исполнил свои обязательства по поставке Товара до момента поступления таких документов;</w:t>
      </w:r>
    </w:p>
    <w:p>
      <w:pPr>
        <w:pStyle w:val="Normal"/>
        <w:ind w:firstLine="709"/>
        <w:jc w:val="both"/>
        <w:rPr>
          <w:rFonts w:ascii="Times New Roman" w:hAnsi="Times New Roman"/>
          <w:sz w:val="24"/>
          <w:szCs w:val="24"/>
        </w:rPr>
      </w:pPr>
      <w:r>
        <w:rPr>
          <w:sz w:val="24"/>
          <w:szCs w:val="24"/>
        </w:rPr>
        <w:t>либо</w:t>
      </w:r>
    </w:p>
    <w:p>
      <w:pPr>
        <w:pStyle w:val="Normal"/>
        <w:ind w:firstLine="709"/>
        <w:jc w:val="both"/>
        <w:rPr>
          <w:rFonts w:ascii="Times New Roman" w:hAnsi="Times New Roman"/>
          <w:sz w:val="24"/>
          <w:szCs w:val="24"/>
        </w:rPr>
      </w:pPr>
      <w:r>
        <w:rPr>
          <w:sz w:val="24"/>
          <w:szCs w:val="24"/>
        </w:rPr>
        <w:t xml:space="preserve">- принять Товар в соответствии с условиями договора и предъявить Поставщику требование об уплате штрафа в размере 20% от стоимости поставленного Товара. Удержание штрафа, подлежащего уплате Поставщиком, может быть произведено, по усмотрению Покупателя, путем вычета суммы штрафа из подлежащей оплате стоимости поставленного Покупателю Товара. </w:t>
      </w:r>
    </w:p>
    <w:p>
      <w:pPr>
        <w:pStyle w:val="Normal"/>
        <w:ind w:firstLine="709"/>
        <w:jc w:val="both"/>
        <w:rPr>
          <w:rFonts w:ascii="Times New Roman" w:hAnsi="Times New Roman"/>
          <w:sz w:val="24"/>
          <w:szCs w:val="24"/>
        </w:rPr>
      </w:pPr>
      <w:r>
        <w:rPr>
          <w:bCs/>
          <w:sz w:val="24"/>
          <w:szCs w:val="24"/>
        </w:rPr>
        <w:t xml:space="preserve">В случае предъявления налоговыми органами претензий и требований к Покупателю, связанных с предоставлением Поставщиком недостоверных сведений о </w:t>
      </w:r>
      <w:r>
        <w:rPr>
          <w:sz w:val="24"/>
          <w:szCs w:val="24"/>
        </w:rPr>
        <w:t>Грузоотправителя Товара и Транспортной компании</w:t>
      </w:r>
      <w:r>
        <w:rPr>
          <w:bCs/>
          <w:sz w:val="24"/>
          <w:szCs w:val="24"/>
        </w:rPr>
        <w:t>, Поставщик обязан компенсировать все убытки Покупателя, вызванные такими претензиями и требованиями.</w:t>
      </w:r>
    </w:p>
    <w:p>
      <w:pPr>
        <w:pStyle w:val="Normal"/>
        <w:ind w:left="0" w:right="0" w:firstLine="709"/>
        <w:jc w:val="both"/>
        <w:rPr>
          <w:rFonts w:ascii="Times New Roman" w:hAnsi="Times New Roman"/>
          <w:sz w:val="24"/>
          <w:szCs w:val="24"/>
        </w:rPr>
      </w:pPr>
      <w:r>
        <w:rPr>
          <w:b/>
          <w:bCs/>
          <w:sz w:val="24"/>
          <w:szCs w:val="24"/>
        </w:rPr>
        <w:t xml:space="preserve">3.17. </w:t>
      </w:r>
      <w:r>
        <w:rPr>
          <w:b w:val="false"/>
          <w:bCs w:val="false"/>
          <w:sz w:val="24"/>
          <w:szCs w:val="24"/>
        </w:rPr>
        <w:t>Возможная допустимость отклонения по количеству поставляемого Товара составляет (+/-) 5 (пять)% (процентов), при этом Покупатель оплачивает фактическое количество поставляемого и принятого Товара по цене договора.</w:t>
      </w:r>
    </w:p>
    <w:p>
      <w:pPr>
        <w:pStyle w:val="Normal"/>
        <w:widowControl/>
        <w:shd w:val="clear" w:color="auto" w:fill="FFFFFF"/>
        <w:tabs>
          <w:tab w:val="clear" w:pos="708"/>
          <w:tab w:val="left" w:pos="1134" w:leader="none"/>
          <w:tab w:val="left" w:pos="1418" w:leader="none"/>
        </w:tabs>
        <w:jc w:val="both"/>
        <w:rPr>
          <w:rFonts w:ascii="Times New Roman" w:hAnsi="Times New Roman"/>
          <w:sz w:val="24"/>
          <w:szCs w:val="24"/>
        </w:rPr>
      </w:pPr>
      <w:r>
        <w:rPr>
          <w:sz w:val="24"/>
          <w:szCs w:val="24"/>
        </w:rPr>
      </w:r>
    </w:p>
    <w:p>
      <w:pPr>
        <w:pStyle w:val="ListParagraph"/>
        <w:numPr>
          <w:ilvl w:val="0"/>
          <w:numId w:val="1"/>
        </w:numPr>
        <w:shd w:val="clear" w:color="auto" w:fill="FFFFFF"/>
        <w:tabs>
          <w:tab w:val="clear" w:pos="708"/>
          <w:tab w:val="left" w:pos="284" w:leader="none"/>
        </w:tabs>
        <w:ind w:left="0" w:hanging="0"/>
        <w:jc w:val="center"/>
        <w:rPr>
          <w:rFonts w:ascii="Times New Roman" w:hAnsi="Times New Roman"/>
          <w:sz w:val="24"/>
          <w:szCs w:val="24"/>
        </w:rPr>
      </w:pPr>
      <w:r>
        <w:rPr>
          <w:b/>
          <w:sz w:val="24"/>
          <w:szCs w:val="24"/>
        </w:rPr>
        <w:t>Гарантийный срок</w:t>
      </w:r>
    </w:p>
    <w:p>
      <w:pPr>
        <w:pStyle w:val="ListParagraph"/>
        <w:numPr>
          <w:ilvl w:val="1"/>
          <w:numId w:val="1"/>
        </w:numPr>
        <w:tabs>
          <w:tab w:val="clear" w:pos="708"/>
          <w:tab w:val="left" w:pos="709" w:leader="none"/>
          <w:tab w:val="left" w:pos="1134" w:leader="none"/>
        </w:tabs>
        <w:ind w:left="0" w:firstLine="709"/>
        <w:jc w:val="both"/>
        <w:rPr>
          <w:rFonts w:ascii="Times New Roman" w:hAnsi="Times New Roman"/>
          <w:sz w:val="24"/>
          <w:szCs w:val="24"/>
        </w:rPr>
      </w:pPr>
      <w:r>
        <w:rPr>
          <w:sz w:val="24"/>
          <w:szCs w:val="24"/>
        </w:rPr>
        <w:t xml:space="preserve">Гарантийный срок на Товар, поставленный по Договору, составляет </w:t>
      </w:r>
      <w:r>
        <w:rPr>
          <w:sz w:val="24"/>
          <w:szCs w:val="24"/>
          <w:highlight w:val="lightGray"/>
        </w:rPr>
        <w:t>____ (______)</w:t>
      </w:r>
      <w:r>
        <w:rPr>
          <w:sz w:val="24"/>
          <w:szCs w:val="24"/>
        </w:rPr>
        <w:t xml:space="preserve"> месяцев и начинает течь с даты подписания Сторонами накладной ТОРГ-12 /</w:t>
      </w:r>
      <w:r>
        <w:rPr>
          <w:sz w:val="24"/>
          <w:szCs w:val="24"/>
          <w:shd w:fill="FFFFFF" w:val="clear"/>
        </w:rPr>
        <w:t xml:space="preserve"> УПД.</w:t>
      </w:r>
      <w:r>
        <w:rPr>
          <w:sz w:val="24"/>
          <w:szCs w:val="24"/>
        </w:rPr>
        <w:t xml:space="preserve"> Гарантийный срок может быть продлен в соответствии с условиями Договора. </w:t>
      </w:r>
    </w:p>
    <w:p>
      <w:pPr>
        <w:pStyle w:val="ListParagraph"/>
        <w:tabs>
          <w:tab w:val="clear" w:pos="708"/>
          <w:tab w:val="left" w:pos="1134" w:leader="none"/>
          <w:tab w:val="left" w:pos="1851" w:leader="none"/>
        </w:tabs>
        <w:ind w:left="0" w:firstLine="709"/>
        <w:jc w:val="both"/>
        <w:rPr>
          <w:rFonts w:ascii="Times New Roman" w:hAnsi="Times New Roman"/>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1"/>
        </w:numPr>
        <w:shd w:val="clear" w:color="auto" w:fill="FFFFFF"/>
        <w:tabs>
          <w:tab w:val="clear" w:pos="708"/>
          <w:tab w:val="left" w:pos="1134" w:leader="none"/>
        </w:tabs>
        <w:ind w:left="0" w:firstLine="709"/>
        <w:jc w:val="both"/>
        <w:rPr>
          <w:rFonts w:ascii="Times New Roman" w:hAnsi="Times New Roman"/>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1"/>
        </w:numPr>
        <w:shd w:val="clear" w:color="auto" w:fill="FFFFFF"/>
        <w:tabs>
          <w:tab w:val="clear" w:pos="708"/>
          <w:tab w:val="left" w:pos="1134" w:leader="none"/>
        </w:tabs>
        <w:ind w:left="0" w:firstLine="709"/>
        <w:jc w:val="both"/>
        <w:rPr>
          <w:rFonts w:ascii="Times New Roman" w:hAnsi="Times New Roman"/>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numPr>
          <w:ilvl w:val="1"/>
          <w:numId w:val="1"/>
        </w:numPr>
        <w:shd w:val="clear" w:color="auto" w:fill="FFFFFF"/>
        <w:tabs>
          <w:tab w:val="clear" w:pos="708"/>
          <w:tab w:val="left" w:pos="1134" w:leader="none"/>
        </w:tabs>
        <w:ind w:left="0" w:firstLine="709"/>
        <w:jc w:val="both"/>
        <w:rPr>
          <w:rFonts w:ascii="Times New Roman" w:hAnsi="Times New Roman"/>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5"/>
      <w:bookmarkStart w:id="5" w:name="OLE_LINK6"/>
      <w:r>
        <w:rPr>
          <w:sz w:val="24"/>
          <w:szCs w:val="24"/>
        </w:rPr>
        <w:t>Покупателем в соответствии с пунктом 4.3 Договора</w:t>
      </w:r>
      <w:bookmarkEnd w:id="4"/>
      <w:bookmarkEnd w:id="5"/>
      <w:r>
        <w:rPr>
          <w:sz w:val="24"/>
          <w:szCs w:val="24"/>
        </w:rPr>
        <w:t xml:space="preserve">, путем замены или ремонта Товара. </w:t>
      </w:r>
    </w:p>
    <w:p>
      <w:pPr>
        <w:pStyle w:val="Normal"/>
        <w:shd w:val="clear" w:color="auto" w:fill="FFFFFF"/>
        <w:ind w:firstLine="709"/>
        <w:jc w:val="both"/>
        <w:rPr>
          <w:rFonts w:ascii="Times New Roman" w:hAnsi="Times New Roman"/>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1"/>
        </w:numPr>
        <w:shd w:val="clear" w:color="auto" w:fill="FFFFFF"/>
        <w:tabs>
          <w:tab w:val="clear" w:pos="708"/>
          <w:tab w:val="left" w:pos="1134" w:leader="none"/>
        </w:tabs>
        <w:ind w:left="0" w:firstLine="709"/>
        <w:jc w:val="both"/>
        <w:rPr>
          <w:rFonts w:ascii="Times New Roman" w:hAnsi="Times New Roman"/>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1"/>
        </w:numPr>
        <w:shd w:val="clear" w:color="auto" w:fill="FFFFFF"/>
        <w:tabs>
          <w:tab w:val="clear" w:pos="708"/>
          <w:tab w:val="left" w:pos="1134" w:leader="none"/>
        </w:tabs>
        <w:ind w:left="0" w:firstLine="709"/>
        <w:jc w:val="both"/>
        <w:rPr>
          <w:rFonts w:ascii="Times New Roman" w:hAnsi="Times New Roman"/>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1"/>
        </w:numPr>
        <w:shd w:val="clear" w:color="auto" w:fill="FFFFFF"/>
        <w:tabs>
          <w:tab w:val="clear" w:pos="708"/>
          <w:tab w:val="left" w:pos="1134" w:leader="none"/>
        </w:tabs>
        <w:ind w:left="0" w:firstLine="709"/>
        <w:jc w:val="both"/>
        <w:rPr>
          <w:rFonts w:ascii="Times New Roman" w:hAnsi="Times New Roman"/>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shd w:val="clear" w:color="auto" w:fill="FFFFFF"/>
        <w:tabs>
          <w:tab w:val="clear" w:pos="708"/>
          <w:tab w:val="left" w:pos="1190" w:leader="none"/>
        </w:tabs>
        <w:jc w:val="both"/>
        <w:rPr>
          <w:rFonts w:ascii="Times New Roman" w:hAnsi="Times New Roman"/>
          <w:sz w:val="24"/>
          <w:szCs w:val="24"/>
          <w:shd w:fill="FFFFFF" w:val="clear"/>
        </w:rPr>
      </w:pPr>
      <w:r>
        <w:rPr>
          <w:sz w:val="24"/>
          <w:szCs w:val="24"/>
          <w:shd w:fill="FFFFFF" w:val="clear"/>
        </w:rPr>
      </w:r>
    </w:p>
    <w:p>
      <w:pPr>
        <w:pStyle w:val="Normal"/>
        <w:numPr>
          <w:ilvl w:val="0"/>
          <w:numId w:val="1"/>
        </w:numPr>
        <w:shd w:val="clear" w:color="auto" w:fill="FFFFFF"/>
        <w:tabs>
          <w:tab w:val="clear" w:pos="708"/>
          <w:tab w:val="left" w:pos="284" w:leader="none"/>
        </w:tabs>
        <w:ind w:left="0" w:hanging="0"/>
        <w:jc w:val="center"/>
        <w:rPr>
          <w:rFonts w:ascii="Times New Roman" w:hAnsi="Times New Roman"/>
          <w:sz w:val="24"/>
          <w:szCs w:val="24"/>
        </w:rPr>
      </w:pPr>
      <w:r>
        <w:rPr>
          <w:b/>
          <w:bCs/>
          <w:sz w:val="24"/>
          <w:szCs w:val="24"/>
          <w:shd w:fill="FFFFFF" w:val="clear"/>
        </w:rPr>
        <w:t>Банковские гарантии</w:t>
      </w:r>
    </w:p>
    <w:p>
      <w:pPr>
        <w:pStyle w:val="ListParagraph"/>
        <w:widowControl/>
        <w:numPr>
          <w:ilvl w:val="1"/>
          <w:numId w:val="1"/>
        </w:numPr>
        <w:shd w:val="clear" w:color="auto" w:fill="FFFFFF"/>
        <w:tabs>
          <w:tab w:val="clear" w:pos="708"/>
          <w:tab w:val="left" w:pos="0" w:leader="none"/>
          <w:tab w:val="left" w:pos="1134" w:leader="none"/>
        </w:tabs>
        <w:ind w:left="0" w:firstLine="709"/>
        <w:jc w:val="both"/>
        <w:rPr>
          <w:rFonts w:ascii="Times New Roman" w:hAnsi="Times New Roman"/>
          <w:sz w:val="24"/>
          <w:szCs w:val="24"/>
        </w:rPr>
      </w:pPr>
      <w:r>
        <w:rPr>
          <w:bCs/>
          <w:sz w:val="24"/>
          <w:szCs w:val="24"/>
          <w:shd w:fill="FFFFFF" w:val="clear"/>
        </w:rPr>
        <w:t>Банковская гарантия, предоставляемая Поставщиком Покупателю по Договору, должна соответствовать следующим требованиям:</w:t>
      </w:r>
    </w:p>
    <w:p>
      <w:pPr>
        <w:pStyle w:val="ListParagraph"/>
        <w:widowControl/>
        <w:numPr>
          <w:ilvl w:val="2"/>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bCs/>
          <w:sz w:val="24"/>
          <w:szCs w:val="24"/>
          <w:shd w:fill="FFFFFF" w:val="clear"/>
        </w:rPr>
        <w:t xml:space="preserve">Банковская гарантия должна быть безотзывной и безусловной (гарантия </w:t>
        <w:br/>
        <w:t>по первому требованию).</w:t>
      </w:r>
    </w:p>
    <w:p>
      <w:pPr>
        <w:pStyle w:val="ListParagraph"/>
        <w:widowControl/>
        <w:numPr>
          <w:ilvl w:val="2"/>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bCs/>
          <w:sz w:val="24"/>
          <w:szCs w:val="24"/>
          <w:shd w:fill="FFFFFF" w:val="clear"/>
        </w:rPr>
        <w:t>Бенефиц</w:t>
      </w:r>
      <w:r>
        <w:rPr>
          <w:bCs/>
          <w:sz w:val="24"/>
          <w:szCs w:val="24"/>
        </w:rPr>
        <w:t>иар по Банковской гарантии – Покупатель, принципал – Поставщик.</w:t>
      </w:r>
    </w:p>
    <w:p>
      <w:pPr>
        <w:pStyle w:val="ListParagraph"/>
        <w:widowControl/>
        <w:numPr>
          <w:ilvl w:val="2"/>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bCs/>
          <w:sz w:val="24"/>
          <w:szCs w:val="24"/>
        </w:rPr>
        <w:t>Сумма Банковской гарантии – выражена в валюте расчетов по Договору.</w:t>
      </w:r>
    </w:p>
    <w:p>
      <w:pPr>
        <w:pStyle w:val="ListParagraph"/>
        <w:widowControl/>
        <w:numPr>
          <w:ilvl w:val="2"/>
          <w:numId w:val="1"/>
        </w:numPr>
        <w:shd w:val="clear" w:color="auto" w:fill="FFFFFF"/>
        <w:tabs>
          <w:tab w:val="clear" w:pos="708"/>
          <w:tab w:val="left" w:pos="1418" w:leader="none"/>
        </w:tabs>
        <w:ind w:left="0" w:firstLine="709"/>
        <w:jc w:val="both"/>
        <w:rPr>
          <w:rFonts w:ascii="Times New Roman" w:hAnsi="Times New Roman"/>
          <w:sz w:val="24"/>
          <w:szCs w:val="24"/>
        </w:rPr>
      </w:pPr>
      <w:r>
        <w:rPr>
          <w:bCs/>
          <w:sz w:val="24"/>
          <w:szCs w:val="24"/>
        </w:rPr>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w:t>
        <w:br/>
        <w:t xml:space="preserve">в совокупной сумме с учетом ранее выплаченных Поставщику </w:t>
      </w:r>
      <w:r>
        <w:rPr>
          <w:bCs/>
          <w:sz w:val="24"/>
          <w:szCs w:val="24"/>
          <w:shd w:fill="FFFFFF" w:val="clear"/>
        </w:rPr>
        <w:t xml:space="preserve">и непогашенных (незачтенных) авансовых платежей. </w:t>
      </w:r>
    </w:p>
    <w:p>
      <w:pPr>
        <w:pStyle w:val="ListParagraph"/>
        <w:widowControl/>
        <w:numPr>
          <w:ilvl w:val="2"/>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bCs/>
          <w:sz w:val="24"/>
          <w:szCs w:val="24"/>
        </w:rPr>
        <w:t xml:space="preserve">Банковская гарантия должна предусматривать, что для истребования суммы обеспечения Покупатель направляет Банку-Гаранту только письменное требование </w:t>
        <w:br/>
        <w:t>о предъявлении суммы обеспечения к оплате</w:t>
      </w:r>
      <w:r>
        <w:rPr>
          <w:sz w:val="24"/>
          <w:szCs w:val="24"/>
        </w:rPr>
        <w:t xml:space="preserve"> </w:t>
      </w:r>
      <w:r>
        <w:rPr>
          <w:bCs/>
          <w:sz w:val="24"/>
          <w:szCs w:val="24"/>
        </w:rPr>
        <w:t xml:space="preserve">как полностью, так и частично, с указанием </w:t>
        <w:br/>
        <w:t>на существо допущенных Поставщиком нарушений, в том числе в случаях:</w:t>
      </w:r>
    </w:p>
    <w:p>
      <w:pPr>
        <w:pStyle w:val="Normal"/>
        <w:widowControl/>
        <w:numPr>
          <w:ilvl w:val="0"/>
          <w:numId w:val="4"/>
        </w:numPr>
        <w:tabs>
          <w:tab w:val="clear" w:pos="708"/>
          <w:tab w:val="left" w:pos="0" w:leader="none"/>
          <w:tab w:val="left" w:pos="1134" w:leader="none"/>
        </w:tabs>
        <w:ind w:left="0" w:firstLine="709"/>
        <w:jc w:val="both"/>
        <w:rPr>
          <w:rFonts w:ascii="Times New Roman" w:hAnsi="Times New Roman"/>
          <w:sz w:val="24"/>
          <w:szCs w:val="24"/>
        </w:rPr>
      </w:pPr>
      <w:r>
        <w:rPr>
          <w:bCs/>
          <w:sz w:val="24"/>
          <w:szCs w:val="24"/>
        </w:rPr>
        <w:t>отказа Поставщика от исполнения обязательств по Договору, в том числе одностороннего отказа от Договора;</w:t>
      </w:r>
    </w:p>
    <w:p>
      <w:pPr>
        <w:pStyle w:val="Normal"/>
        <w:widowControl/>
        <w:numPr>
          <w:ilvl w:val="0"/>
          <w:numId w:val="4"/>
        </w:numPr>
        <w:tabs>
          <w:tab w:val="clear" w:pos="708"/>
          <w:tab w:val="left" w:pos="0" w:leader="none"/>
          <w:tab w:val="left" w:pos="1134" w:leader="none"/>
        </w:tabs>
        <w:ind w:left="0" w:firstLine="709"/>
        <w:jc w:val="both"/>
        <w:rPr>
          <w:rFonts w:ascii="Times New Roman" w:hAnsi="Times New Roman"/>
          <w:sz w:val="24"/>
          <w:szCs w:val="24"/>
        </w:rPr>
      </w:pPr>
      <w:r>
        <w:rPr>
          <w:bCs/>
          <w:sz w:val="24"/>
          <w:szCs w:val="24"/>
        </w:rPr>
        <w:t xml:space="preserve">отказа Поставщика от возврата </w:t>
      </w:r>
      <w:r>
        <w:rPr>
          <w:bCs/>
          <w:sz w:val="24"/>
          <w:szCs w:val="24"/>
          <w:shd w:fill="FFFFFF" w:val="clear"/>
        </w:rPr>
        <w:t>непогашенного (незачтенного) аванса</w:t>
      </w:r>
      <w:r>
        <w:rPr>
          <w:bCs/>
          <w:sz w:val="24"/>
          <w:szCs w:val="24"/>
        </w:rPr>
        <w:t xml:space="preserve"> при досрочном прекращении Договора / признании Договора недействительным;</w:t>
      </w:r>
    </w:p>
    <w:p>
      <w:pPr>
        <w:pStyle w:val="Normal"/>
        <w:widowControl/>
        <w:numPr>
          <w:ilvl w:val="0"/>
          <w:numId w:val="4"/>
        </w:numPr>
        <w:tabs>
          <w:tab w:val="clear" w:pos="708"/>
          <w:tab w:val="left" w:pos="0" w:leader="none"/>
          <w:tab w:val="left" w:pos="1134" w:leader="none"/>
        </w:tabs>
        <w:ind w:left="0" w:firstLine="709"/>
        <w:jc w:val="both"/>
        <w:rPr>
          <w:rFonts w:ascii="Times New Roman" w:hAnsi="Times New Roman"/>
          <w:sz w:val="24"/>
          <w:szCs w:val="24"/>
        </w:rPr>
      </w:pPr>
      <w:r>
        <w:rPr>
          <w:bCs/>
          <w:sz w:val="24"/>
          <w:szCs w:val="24"/>
        </w:rPr>
        <w:t>нарушения Поставщиком сроков</w:t>
      </w:r>
      <w:r>
        <w:rPr>
          <w:sz w:val="24"/>
          <w:szCs w:val="24"/>
        </w:rPr>
        <w:t xml:space="preserve"> </w:t>
      </w:r>
      <w:r>
        <w:rPr>
          <w:bCs/>
          <w:sz w:val="24"/>
          <w:szCs w:val="24"/>
        </w:rPr>
        <w:t>поставки Товара более, чем на 60 (шестьдесят) календарных дней;</w:t>
      </w:r>
    </w:p>
    <w:p>
      <w:pPr>
        <w:pStyle w:val="Normal"/>
        <w:widowControl/>
        <w:numPr>
          <w:ilvl w:val="0"/>
          <w:numId w:val="4"/>
        </w:numPr>
        <w:tabs>
          <w:tab w:val="clear" w:pos="708"/>
          <w:tab w:val="left" w:pos="0" w:leader="none"/>
          <w:tab w:val="left" w:pos="1134" w:leader="none"/>
        </w:tabs>
        <w:ind w:left="0" w:firstLine="709"/>
        <w:jc w:val="both"/>
        <w:rPr>
          <w:rFonts w:ascii="Times New Roman" w:hAnsi="Times New Roman"/>
          <w:sz w:val="24"/>
          <w:szCs w:val="24"/>
        </w:rPr>
      </w:pPr>
      <w:r>
        <w:rPr>
          <w:bCs/>
          <w:sz w:val="24"/>
          <w:szCs w:val="24"/>
        </w:rPr>
        <w:t>введения арбитражным судом процедуры несостоятельности (банкротства)</w:t>
      </w:r>
      <w:r>
        <w:rPr>
          <w:sz w:val="24"/>
          <w:szCs w:val="24"/>
        </w:rPr>
        <w:t xml:space="preserve"> </w:t>
        <w:br/>
      </w:r>
      <w:r>
        <w:rPr>
          <w:bCs/>
          <w:sz w:val="24"/>
          <w:szCs w:val="24"/>
        </w:rPr>
        <w:t>в отношении Поставщика;</w:t>
      </w:r>
    </w:p>
    <w:p>
      <w:pPr>
        <w:pStyle w:val="Normal"/>
        <w:widowControl/>
        <w:numPr>
          <w:ilvl w:val="0"/>
          <w:numId w:val="4"/>
        </w:numPr>
        <w:tabs>
          <w:tab w:val="clear" w:pos="708"/>
          <w:tab w:val="left" w:pos="0" w:leader="none"/>
          <w:tab w:val="left" w:pos="1134" w:leader="none"/>
        </w:tabs>
        <w:ind w:left="0" w:firstLine="709"/>
        <w:jc w:val="both"/>
        <w:rPr>
          <w:rFonts w:ascii="Times New Roman" w:hAnsi="Times New Roman"/>
          <w:sz w:val="24"/>
          <w:szCs w:val="24"/>
        </w:rPr>
      </w:pPr>
      <w:r>
        <w:rPr>
          <w:bCs/>
          <w:sz w:val="24"/>
          <w:szCs w:val="24"/>
        </w:rPr>
        <w:t>непредоставления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по Договору превышает срок действия банковской гарантии либо срок исполнения обязательств продлен;</w:t>
      </w:r>
    </w:p>
    <w:p>
      <w:pPr>
        <w:pStyle w:val="Normal"/>
        <w:widowControl/>
        <w:numPr>
          <w:ilvl w:val="0"/>
          <w:numId w:val="4"/>
        </w:numPr>
        <w:tabs>
          <w:tab w:val="clear" w:pos="708"/>
          <w:tab w:val="left" w:pos="0" w:leader="none"/>
          <w:tab w:val="left" w:pos="1134" w:leader="none"/>
        </w:tabs>
        <w:ind w:left="0" w:firstLine="709"/>
        <w:jc w:val="both"/>
        <w:rPr>
          <w:rFonts w:ascii="Times New Roman" w:hAnsi="Times New Roman"/>
          <w:sz w:val="24"/>
          <w:szCs w:val="24"/>
        </w:rPr>
      </w:pPr>
      <w:r>
        <w:rPr>
          <w:sz w:val="24"/>
          <w:szCs w:val="24"/>
        </w:rPr>
        <w:t>признания Договора недействительным по причинам отсутствия необходимых корпоративных одобрений у Поставщика;</w:t>
      </w:r>
    </w:p>
    <w:p>
      <w:pPr>
        <w:pStyle w:val="Normal"/>
        <w:widowControl/>
        <w:numPr>
          <w:ilvl w:val="0"/>
          <w:numId w:val="4"/>
        </w:numPr>
        <w:tabs>
          <w:tab w:val="clear" w:pos="708"/>
          <w:tab w:val="left" w:pos="0" w:leader="none"/>
          <w:tab w:val="left" w:pos="1134" w:leader="none"/>
        </w:tabs>
        <w:ind w:left="0" w:firstLine="709"/>
        <w:jc w:val="both"/>
        <w:rPr>
          <w:rFonts w:ascii="Times New Roman" w:hAnsi="Times New Roman"/>
          <w:sz w:val="24"/>
          <w:szCs w:val="24"/>
        </w:rPr>
      </w:pPr>
      <w:r>
        <w:rPr>
          <w:bCs/>
          <w:sz w:val="24"/>
          <w:szCs w:val="24"/>
        </w:rPr>
        <w:t xml:space="preserve">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Поставщика </w:t>
        <w:br/>
        <w:t>об обстоятельствах, указанных в разделе 11 Договора, и имеющих существенное значение для его заключения и исполнения.</w:t>
      </w:r>
    </w:p>
    <w:p>
      <w:pPr>
        <w:pStyle w:val="ListParagraph"/>
        <w:tabs>
          <w:tab w:val="clear" w:pos="708"/>
          <w:tab w:val="left" w:pos="0" w:leader="none"/>
        </w:tabs>
        <w:ind w:left="0" w:firstLine="709"/>
        <w:jc w:val="both"/>
        <w:rPr>
          <w:rFonts w:ascii="Times New Roman" w:hAnsi="Times New Roman"/>
          <w:sz w:val="24"/>
          <w:szCs w:val="24"/>
        </w:rPr>
      </w:pPr>
      <w:r>
        <w:rPr>
          <w:bCs/>
          <w:sz w:val="24"/>
          <w:szCs w:val="24"/>
        </w:rPr>
        <w:t>Вместе с требованием о предъявлении суммы обеспечения к оплате Покупатель направляет Банку-Гаранту копию Банковской гарантии</w:t>
      </w:r>
      <w:r>
        <w:rPr>
          <w:rStyle w:val="Style19"/>
          <w:bCs/>
          <w:sz w:val="24"/>
          <w:szCs w:val="24"/>
        </w:rPr>
        <w:footnoteReference w:id="8"/>
      </w:r>
      <w:r>
        <w:rPr>
          <w:bCs/>
          <w:sz w:val="24"/>
          <w:szCs w:val="24"/>
        </w:rPr>
        <w:t xml:space="preserve">. </w:t>
      </w:r>
    </w:p>
    <w:p>
      <w:pPr>
        <w:pStyle w:val="ListParagraph"/>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bCs/>
          <w:sz w:val="24"/>
          <w:szCs w:val="24"/>
        </w:rPr>
        <w:t xml:space="preserve">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платёжного поручения Покупателя, </w:t>
      </w:r>
      <w:r>
        <w:rPr>
          <w:bCs/>
          <w:sz w:val="24"/>
          <w:szCs w:val="24"/>
          <w:shd w:fill="FFFFFF" w:val="clear"/>
        </w:rPr>
        <w:t>подтверждающего факт осуществления Покупателем авансового платежа, с отметкой банка об исполнении.</w:t>
      </w:r>
    </w:p>
    <w:p>
      <w:pPr>
        <w:pStyle w:val="ListParagraph"/>
        <w:widowControl/>
        <w:numPr>
          <w:ilvl w:val="2"/>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bCs/>
          <w:sz w:val="24"/>
          <w:szCs w:val="24"/>
        </w:rPr>
        <w:t>Платеж по Банковской гарантии – осуществляется Банком-Гарантом в течение 10 (десяти) рабочих дней после обращения Покупателя.</w:t>
      </w:r>
    </w:p>
    <w:p>
      <w:pPr>
        <w:pStyle w:val="ListParagraph"/>
        <w:widowControl/>
        <w:numPr>
          <w:ilvl w:val="2"/>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bCs/>
          <w:sz w:val="24"/>
          <w:szCs w:val="24"/>
        </w:rPr>
        <w:t>Срок окончания действия Банковской гарантии – не ранее 70 (семидесяти) календарных дней после наступления даты поставки соответствующей партии Товара.</w:t>
      </w:r>
    </w:p>
    <w:p>
      <w:pPr>
        <w:pStyle w:val="ListParagraph"/>
        <w:widowControl/>
        <w:numPr>
          <w:ilvl w:val="2"/>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bCs/>
          <w:sz w:val="24"/>
          <w:szCs w:val="24"/>
        </w:rPr>
        <w:t xml:space="preserve">Внесение изменений и дополнений в Договор в период срока действия Банковской гарантии не освобождает Банк-Гарант от обязательств перед Покупателем </w:t>
        <w:br/>
        <w:t>по Банковской гарантии.</w:t>
      </w:r>
    </w:p>
    <w:p>
      <w:pPr>
        <w:pStyle w:val="ListParagraph"/>
        <w:widowControl/>
        <w:numPr>
          <w:ilvl w:val="2"/>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bCs/>
          <w:sz w:val="24"/>
          <w:szCs w:val="24"/>
        </w:rPr>
        <w:t>Банковская гарантия должна быть подчинена материальному праву Российской Федерации и предусматривать Арбитражный суд Амурской области в качестве органа, компетентного разрешать споры из Банковской гара</w:t>
      </w:r>
      <w:r>
        <w:rPr>
          <w:bCs/>
          <w:sz w:val="24"/>
          <w:szCs w:val="24"/>
          <w:shd w:fill="FFFFFF" w:val="clear"/>
        </w:rPr>
        <w:t>нтии.</w:t>
      </w:r>
    </w:p>
    <w:p>
      <w:pPr>
        <w:pStyle w:val="ListParagraph"/>
        <w:widowControl/>
        <w:numPr>
          <w:ilvl w:val="2"/>
          <w:numId w:val="1"/>
        </w:numPr>
        <w:shd w:val="clear" w:color="auto" w:fill="FFFFFF"/>
        <w:tabs>
          <w:tab w:val="clear" w:pos="708"/>
          <w:tab w:val="left" w:pos="0" w:leader="none"/>
          <w:tab w:val="left" w:pos="1418" w:leader="none"/>
          <w:tab w:val="left" w:pos="1701" w:leader="none"/>
        </w:tabs>
        <w:ind w:left="0" w:firstLine="709"/>
        <w:jc w:val="both"/>
        <w:rPr>
          <w:rFonts w:ascii="Times New Roman" w:hAnsi="Times New Roman"/>
          <w:sz w:val="24"/>
          <w:szCs w:val="24"/>
        </w:rPr>
      </w:pPr>
      <w:r>
        <w:rPr>
          <w:bCs/>
          <w:sz w:val="24"/>
          <w:szCs w:val="24"/>
          <w:shd w:fill="FFFFFF" w:val="clear"/>
        </w:rPr>
        <w:t>Банковская</w:t>
      </w:r>
      <w:r>
        <w:rPr>
          <w:bCs/>
          <w:sz w:val="24"/>
          <w:szCs w:val="24"/>
        </w:rPr>
        <w:t xml:space="preserve"> гарантия не должна содержать условий или требований, противоречащих требованиям, указанным в пунктах 5.1.1 – 5.1.9 Договора, или делающих такие требования неисполнимыми.</w:t>
      </w:r>
    </w:p>
    <w:p>
      <w:pPr>
        <w:pStyle w:val="Normal"/>
        <w:widowControl/>
        <w:numPr>
          <w:ilvl w:val="1"/>
          <w:numId w:val="1"/>
        </w:numPr>
        <w:tabs>
          <w:tab w:val="clear" w:pos="708"/>
          <w:tab w:val="left" w:pos="0" w:leader="none"/>
          <w:tab w:val="left" w:pos="1134" w:leader="none"/>
        </w:tabs>
        <w:ind w:left="0" w:firstLine="709"/>
        <w:jc w:val="both"/>
        <w:rPr>
          <w:rFonts w:ascii="Times New Roman" w:hAnsi="Times New Roman"/>
          <w:sz w:val="24"/>
          <w:szCs w:val="24"/>
        </w:rPr>
      </w:pPr>
      <w:r>
        <w:rPr>
          <w:bCs/>
          <w:sz w:val="24"/>
          <w:szCs w:val="24"/>
        </w:rPr>
        <w:t>Банк-Гарант, выдавший Банковскую гарантию, должен соответствовать критериям, установленным в Приложении № 4 к Договору.</w:t>
      </w:r>
    </w:p>
    <w:p>
      <w:pPr>
        <w:pStyle w:val="ListParagraph"/>
        <w:widowControl/>
        <w:numPr>
          <w:ilvl w:val="1"/>
          <w:numId w:val="1"/>
        </w:numPr>
        <w:shd w:val="clear" w:color="auto" w:fill="FFFFFF"/>
        <w:tabs>
          <w:tab w:val="clear" w:pos="708"/>
          <w:tab w:val="left" w:pos="0" w:leader="none"/>
          <w:tab w:val="left" w:pos="1134" w:leader="none"/>
        </w:tabs>
        <w:ind w:left="0" w:firstLine="709"/>
        <w:jc w:val="both"/>
        <w:rPr>
          <w:rFonts w:ascii="Times New Roman" w:hAnsi="Times New Roman"/>
          <w:sz w:val="24"/>
          <w:szCs w:val="24"/>
        </w:rPr>
      </w:pPr>
      <w:r>
        <w:rPr>
          <w:bCs/>
          <w:sz w:val="24"/>
          <w:szCs w:val="24"/>
        </w:rPr>
        <w:t>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pPr>
        <w:pStyle w:val="ListParagraph"/>
        <w:widowControl/>
        <w:numPr>
          <w:ilvl w:val="1"/>
          <w:numId w:val="1"/>
        </w:numPr>
        <w:shd w:val="clear" w:color="auto" w:fill="FFFFFF"/>
        <w:tabs>
          <w:tab w:val="clear" w:pos="708"/>
          <w:tab w:val="left" w:pos="0" w:leader="none"/>
          <w:tab w:val="left" w:pos="1134" w:leader="none"/>
        </w:tabs>
        <w:ind w:left="0" w:firstLine="709"/>
        <w:jc w:val="both"/>
        <w:rPr>
          <w:rFonts w:ascii="Times New Roman" w:hAnsi="Times New Roman"/>
          <w:sz w:val="24"/>
          <w:szCs w:val="24"/>
        </w:rPr>
      </w:pPr>
      <w:r>
        <w:rPr>
          <w:bCs/>
          <w:sz w:val="24"/>
          <w:szCs w:val="24"/>
        </w:rPr>
        <w:t xml:space="preserve">Сумма Банковской гарантии возврата авансового платежа по согласованию </w:t>
        <w:br/>
        <w:t>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pPr>
        <w:pStyle w:val="ListParagraph"/>
        <w:widowControl/>
        <w:numPr>
          <w:ilvl w:val="1"/>
          <w:numId w:val="1"/>
        </w:numPr>
        <w:shd w:val="clear" w:color="auto" w:fill="FFFFFF"/>
        <w:tabs>
          <w:tab w:val="clear" w:pos="708"/>
          <w:tab w:val="left" w:pos="0" w:leader="none"/>
          <w:tab w:val="left" w:pos="1134" w:leader="none"/>
        </w:tabs>
        <w:ind w:left="0" w:firstLine="709"/>
        <w:jc w:val="both"/>
        <w:rPr>
          <w:rFonts w:ascii="Times New Roman" w:hAnsi="Times New Roman"/>
          <w:sz w:val="24"/>
          <w:szCs w:val="24"/>
        </w:rPr>
      </w:pPr>
      <w:r>
        <w:rPr>
          <w:bCs/>
          <w:sz w:val="24"/>
          <w:szCs w:val="24"/>
        </w:rPr>
        <w:t>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widowControl/>
        <w:numPr>
          <w:ilvl w:val="1"/>
          <w:numId w:val="1"/>
        </w:numPr>
        <w:shd w:val="clear" w:color="auto" w:fill="FFFFFF"/>
        <w:tabs>
          <w:tab w:val="clear" w:pos="708"/>
          <w:tab w:val="left" w:pos="0" w:leader="none"/>
          <w:tab w:val="left" w:pos="1134" w:leader="none"/>
        </w:tabs>
        <w:ind w:left="0" w:firstLine="709"/>
        <w:jc w:val="both"/>
        <w:rPr>
          <w:rFonts w:ascii="Times New Roman" w:hAnsi="Times New Roman"/>
          <w:sz w:val="24"/>
          <w:szCs w:val="24"/>
        </w:rPr>
      </w:pPr>
      <w:r>
        <w:rPr>
          <w:bCs/>
          <w:sz w:val="24"/>
          <w:szCs w:val="24"/>
        </w:rPr>
        <w:t>В случаях</w:t>
      </w:r>
      <w:r>
        <w:rPr>
          <w:bCs/>
          <w:sz w:val="24"/>
          <w:szCs w:val="24"/>
          <w:lang w:val="en-US"/>
        </w:rPr>
        <w:t>:</w:t>
      </w:r>
      <w:r>
        <w:rPr>
          <w:bCs/>
          <w:sz w:val="24"/>
          <w:szCs w:val="24"/>
        </w:rPr>
        <w:t xml:space="preserve"> </w:t>
      </w:r>
    </w:p>
    <w:p>
      <w:pPr>
        <w:pStyle w:val="ListParagraph"/>
        <w:widowControl/>
        <w:numPr>
          <w:ilvl w:val="1"/>
          <w:numId w:val="6"/>
        </w:numPr>
        <w:shd w:val="clear" w:color="auto" w:fill="FFFFFF"/>
        <w:tabs>
          <w:tab w:val="clear" w:pos="708"/>
          <w:tab w:val="left" w:pos="0" w:leader="none"/>
        </w:tabs>
        <w:ind w:left="0" w:firstLine="709"/>
        <w:jc w:val="both"/>
        <w:rPr>
          <w:rFonts w:ascii="Times New Roman" w:hAnsi="Times New Roman"/>
          <w:sz w:val="24"/>
          <w:szCs w:val="24"/>
        </w:rPr>
      </w:pPr>
      <w:r>
        <w:rPr>
          <w:bCs/>
          <w:sz w:val="24"/>
          <w:szCs w:val="24"/>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widowControl/>
        <w:numPr>
          <w:ilvl w:val="1"/>
          <w:numId w:val="6"/>
        </w:numPr>
        <w:shd w:val="clear" w:color="auto" w:fill="FFFFFF"/>
        <w:tabs>
          <w:tab w:val="clear" w:pos="708"/>
          <w:tab w:val="left" w:pos="0" w:leader="none"/>
        </w:tabs>
        <w:ind w:left="0" w:firstLine="709"/>
        <w:jc w:val="both"/>
        <w:rPr>
          <w:rFonts w:ascii="Times New Roman" w:hAnsi="Times New Roman"/>
          <w:sz w:val="24"/>
          <w:szCs w:val="24"/>
        </w:rPr>
      </w:pPr>
      <w:r>
        <w:rPr>
          <w:bCs/>
          <w:sz w:val="24"/>
          <w:szCs w:val="24"/>
        </w:rPr>
        <w: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t>
      </w:r>
    </w:p>
    <w:p>
      <w:pPr>
        <w:pStyle w:val="ListParagraph"/>
        <w:shd w:val="clear" w:color="auto" w:fill="FFFFFF"/>
        <w:tabs>
          <w:tab w:val="clear" w:pos="708"/>
          <w:tab w:val="left" w:pos="0" w:leader="none"/>
        </w:tabs>
        <w:ind w:left="0" w:firstLine="709"/>
        <w:jc w:val="both"/>
        <w:rPr>
          <w:rFonts w:ascii="Times New Roman" w:hAnsi="Times New Roman"/>
          <w:sz w:val="24"/>
          <w:szCs w:val="24"/>
        </w:rPr>
      </w:pPr>
      <w:r>
        <w:rPr>
          <w:bCs/>
          <w:sz w:val="24"/>
          <w:szCs w:val="24"/>
        </w:rPr>
        <w:t>Поставщик обязан предоставить Покупателю новую Банковскую гарантию</w:t>
      </w:r>
      <w:r>
        <w:rPr>
          <w:sz w:val="24"/>
          <w:szCs w:val="24"/>
        </w:rPr>
        <w:t xml:space="preserve"> </w:t>
      </w:r>
      <w:r>
        <w:rPr>
          <w:bCs/>
          <w:sz w:val="24"/>
          <w:szCs w:val="24"/>
        </w:rPr>
        <w:t>другого Банка-Гаранта, согласованного с Покупателем, соответствующую требованиям, установленным Договором, не позднее 10 (десяти) календарных дней с даты, когда ему стало известно либо должно стать известным об указанных обстоятельствах, либо с даты обращения Покупателя с требованием о замене Банковской гарантии.</w:t>
      </w:r>
    </w:p>
    <w:p>
      <w:pPr>
        <w:pStyle w:val="ListParagraph"/>
        <w:shd w:val="clear" w:color="auto" w:fill="FFFFFF"/>
        <w:tabs>
          <w:tab w:val="clear" w:pos="708"/>
          <w:tab w:val="left" w:pos="0" w:leader="none"/>
        </w:tabs>
        <w:ind w:left="0" w:firstLine="709"/>
        <w:jc w:val="both"/>
        <w:rPr>
          <w:rFonts w:ascii="Times New Roman" w:hAnsi="Times New Roman"/>
          <w:sz w:val="24"/>
          <w:szCs w:val="24"/>
        </w:rPr>
      </w:pPr>
      <w:r>
        <w:rPr>
          <w:bCs/>
          <w:sz w:val="24"/>
          <w:szCs w:val="24"/>
        </w:rPr>
        <w:t>В случае непредставления Поставщиком в установленный срок новой Банковской гарантии Покупатель вправе удерживать сумму непогашенного (незачтенного) аванса</w:t>
      </w:r>
      <w:r>
        <w:rPr>
          <w:rStyle w:val="Style19"/>
          <w:bCs/>
          <w:sz w:val="24"/>
          <w:szCs w:val="24"/>
        </w:rPr>
        <w:footnoteReference w:id="9"/>
      </w:r>
      <w:r>
        <w:rPr>
          <w:bCs/>
          <w:sz w:val="24"/>
          <w:szCs w:val="24"/>
        </w:rPr>
        <w:t xml:space="preserve"> при выплате каждого платежа, причитающегося Поставщику, до полного зачета непогашенного (незачтенного) аванса, </w:t>
      </w:r>
      <w:r>
        <w:rPr>
          <w:sz w:val="24"/>
          <w:szCs w:val="24"/>
        </w:rPr>
        <w:t>при выплате каждого платежа, причитающегося Поставщику.</w:t>
      </w:r>
    </w:p>
    <w:p>
      <w:pPr>
        <w:pStyle w:val="ListParagraph"/>
        <w:widowControl/>
        <w:numPr>
          <w:ilvl w:val="1"/>
          <w:numId w:val="1"/>
        </w:numPr>
        <w:shd w:val="clear" w:color="auto" w:fill="FFFFFF"/>
        <w:tabs>
          <w:tab w:val="clear" w:pos="708"/>
          <w:tab w:val="left" w:pos="0" w:leader="none"/>
          <w:tab w:val="left" w:pos="1134" w:leader="none"/>
        </w:tabs>
        <w:ind w:left="0" w:firstLine="709"/>
        <w:jc w:val="both"/>
        <w:rPr>
          <w:rFonts w:ascii="Times New Roman" w:hAnsi="Times New Roman"/>
          <w:sz w:val="24"/>
          <w:szCs w:val="24"/>
        </w:rPr>
      </w:pPr>
      <w:r>
        <w:rPr>
          <w:bCs/>
          <w:sz w:val="24"/>
          <w:szCs w:val="24"/>
        </w:rPr>
        <w:t>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t>
      </w:r>
    </w:p>
    <w:p>
      <w:pPr>
        <w:pStyle w:val="ListParagraph"/>
        <w:widowControl/>
        <w:numPr>
          <w:ilvl w:val="1"/>
          <w:numId w:val="1"/>
        </w:numPr>
        <w:shd w:val="clear" w:color="auto" w:fill="FFFFFF"/>
        <w:tabs>
          <w:tab w:val="clear" w:pos="708"/>
          <w:tab w:val="left" w:pos="1182" w:leader="none"/>
        </w:tabs>
        <w:ind w:left="0" w:firstLine="709"/>
        <w:jc w:val="both"/>
        <w:rPr>
          <w:rFonts w:ascii="Times New Roman" w:hAnsi="Times New Roman"/>
          <w:sz w:val="24"/>
          <w:szCs w:val="24"/>
        </w:rPr>
      </w:pPr>
      <w:r>
        <w:rPr>
          <w:bCs/>
          <w:sz w:val="24"/>
          <w:szCs w:val="24"/>
        </w:rPr>
        <w:t>Принадлежащее Покупателю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w:t>
      </w:r>
    </w:p>
    <w:p>
      <w:pPr>
        <w:pStyle w:val="ListParagraph"/>
        <w:widowControl/>
        <w:numPr>
          <w:ilvl w:val="1"/>
          <w:numId w:val="1"/>
        </w:numPr>
        <w:shd w:val="clear" w:color="auto" w:fill="FFFFFF"/>
        <w:tabs>
          <w:tab w:val="clear" w:pos="708"/>
          <w:tab w:val="left" w:pos="1182" w:leader="none"/>
        </w:tabs>
        <w:ind w:left="0" w:firstLine="709"/>
        <w:jc w:val="both"/>
        <w:rPr>
          <w:rFonts w:ascii="Times New Roman" w:hAnsi="Times New Roman"/>
          <w:sz w:val="24"/>
          <w:szCs w:val="24"/>
        </w:rPr>
      </w:pPr>
      <w:r>
        <w:rPr>
          <w:bCs/>
          <w:color w:val="000000"/>
          <w:sz w:val="24"/>
          <w:szCs w:val="24"/>
          <w:highlight w:val="white"/>
        </w:rPr>
        <w:t xml:space="preserve">Банковской гарантией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r>
        <w:rPr>
          <w:bCs/>
          <w:color w:val="000000"/>
          <w:sz w:val="24"/>
          <w:szCs w:val="24"/>
          <w:highlight w:val="white"/>
          <w:lang w:val="ru-RU"/>
        </w:rPr>
        <w:t>Выбор формы направления такого требования осуществляется Бенефициаром самостоятельно.</w:t>
      </w:r>
    </w:p>
    <w:p>
      <w:pPr>
        <w:pStyle w:val="ListParagraph"/>
        <w:widowControl/>
        <w:numPr>
          <w:ilvl w:val="1"/>
          <w:numId w:val="1"/>
        </w:numPr>
        <w:shd w:val="clear" w:color="auto" w:fill="FFFFFF"/>
        <w:tabs>
          <w:tab w:val="clear" w:pos="708"/>
          <w:tab w:val="left" w:pos="1307" w:leader="none"/>
        </w:tabs>
        <w:ind w:left="0" w:firstLine="709"/>
        <w:jc w:val="both"/>
        <w:rPr>
          <w:rFonts w:ascii="Times New Roman" w:hAnsi="Times New Roman"/>
          <w:sz w:val="24"/>
          <w:szCs w:val="24"/>
        </w:rPr>
      </w:pPr>
      <w:r>
        <w:rPr>
          <w:rFonts w:eastAsia="Times New Roman" w:cs="Times New Roman"/>
          <w:b w:val="false"/>
          <w:bCs w:val="false"/>
          <w:color w:val="000000"/>
          <w:sz w:val="24"/>
          <w:szCs w:val="24"/>
          <w:highlight w:val="white"/>
          <w:lang w:val="ru-RU" w:eastAsia="ru-RU" w:bidi="ar-SA"/>
        </w:rPr>
        <w:t>Банковская гарантия предоставляется:</w:t>
      </w:r>
    </w:p>
    <w:p>
      <w:pPr>
        <w:pStyle w:val="Normal"/>
        <w:widowControl w:val="false"/>
        <w:numPr>
          <w:ilvl w:val="0"/>
          <w:numId w:val="0"/>
        </w:numPr>
        <w:spacing w:before="0" w:after="0"/>
        <w:ind w:left="0" w:right="0" w:hanging="0"/>
        <w:jc w:val="both"/>
        <w:rPr>
          <w:rFonts w:ascii="Times New Roman" w:hAnsi="Times New Roman"/>
          <w:sz w:val="24"/>
          <w:szCs w:val="24"/>
        </w:rPr>
      </w:pPr>
      <w:r>
        <w:rPr>
          <w:rFonts w:eastAsia="Times New Roman" w:cs="Times New Roman"/>
          <w:color w:val="000000"/>
          <w:sz w:val="24"/>
          <w:szCs w:val="24"/>
          <w:highlight w:val="white"/>
          <w:lang w:val="ru-RU" w:eastAsia="ru-RU" w:bidi="ar-SA"/>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w:t>
      </w:r>
    </w:p>
    <w:p>
      <w:pPr>
        <w:pStyle w:val="Normal"/>
        <w:widowControl w:val="false"/>
        <w:numPr>
          <w:ilvl w:val="0"/>
          <w:numId w:val="0"/>
        </w:numPr>
        <w:spacing w:before="0" w:after="0"/>
        <w:ind w:left="0" w:right="0" w:hanging="0"/>
        <w:jc w:val="both"/>
        <w:rPr>
          <w:rFonts w:ascii="Times New Roman" w:hAnsi="Times New Roman"/>
          <w:sz w:val="24"/>
          <w:szCs w:val="24"/>
        </w:rPr>
      </w:pPr>
      <w:r>
        <w:rPr>
          <w:rFonts w:eastAsia="Times New Roman" w:cs="Times New Roman"/>
          <w:color w:val="000000"/>
          <w:sz w:val="24"/>
          <w:szCs w:val="24"/>
          <w:highlight w:val="white"/>
          <w:lang w:val="ru-RU" w:eastAsia="ru-RU" w:bidi="ar-SA"/>
        </w:rPr>
        <w:t>либо</w:t>
      </w:r>
    </w:p>
    <w:p>
      <w:pPr>
        <w:pStyle w:val="ListParagraph"/>
        <w:widowControl/>
        <w:numPr>
          <w:ilvl w:val="0"/>
          <w:numId w:val="0"/>
        </w:numPr>
        <w:shd w:val="clear" w:fill="FFFFFF"/>
        <w:tabs>
          <w:tab w:val="clear" w:pos="708"/>
          <w:tab w:val="left" w:pos="1134" w:leader="none"/>
        </w:tabs>
        <w:bidi w:val="0"/>
        <w:spacing w:lineRule="auto" w:line="240" w:before="60" w:after="0"/>
        <w:ind w:left="0" w:right="113" w:hanging="0"/>
        <w:contextualSpacing/>
        <w:jc w:val="both"/>
        <w:rPr>
          <w:rFonts w:ascii="Times New Roman" w:hAnsi="Times New Roman"/>
          <w:sz w:val="24"/>
          <w:szCs w:val="24"/>
        </w:rPr>
      </w:pPr>
      <w:r>
        <w:rPr>
          <w:rFonts w:eastAsia="Times New Roman" w:cs="Times New Roman"/>
          <w:b w:val="false"/>
          <w:bCs w:val="false"/>
          <w:color w:val="000000"/>
          <w:sz w:val="24"/>
          <w:szCs w:val="24"/>
          <w:highlight w:val="white"/>
          <w:lang w:val="ru-RU" w:eastAsia="ru-RU" w:bidi="ar-SA"/>
        </w:rPr>
        <w:t>- в оригинале на бумажном носителе.</w:t>
      </w:r>
    </w:p>
    <w:p>
      <w:pPr>
        <w:pStyle w:val="Normal"/>
        <w:shd w:val="clear" w:color="auto" w:fill="FFFFFF"/>
        <w:rPr>
          <w:rFonts w:ascii="Times New Roman" w:hAnsi="Times New Roman"/>
          <w:b/>
          <w:b/>
          <w:sz w:val="24"/>
          <w:szCs w:val="24"/>
          <w:shd w:fill="FFFF00" w:val="clear"/>
        </w:rPr>
      </w:pPr>
      <w:r>
        <w:rPr>
          <w:b/>
          <w:sz w:val="24"/>
          <w:szCs w:val="24"/>
          <w:shd w:fill="FFFF00" w:val="clear"/>
        </w:rPr>
      </w:r>
    </w:p>
    <w:p>
      <w:pPr>
        <w:pStyle w:val="Normal"/>
        <w:numPr>
          <w:ilvl w:val="0"/>
          <w:numId w:val="1"/>
        </w:numPr>
        <w:shd w:val="clear" w:color="auto" w:fill="FFFFFF"/>
        <w:tabs>
          <w:tab w:val="clear" w:pos="708"/>
          <w:tab w:val="left" w:pos="284" w:leader="none"/>
        </w:tabs>
        <w:ind w:left="0" w:hanging="0"/>
        <w:jc w:val="center"/>
        <w:rPr>
          <w:rFonts w:ascii="Times New Roman" w:hAnsi="Times New Roman"/>
          <w:sz w:val="24"/>
          <w:szCs w:val="24"/>
        </w:rPr>
      </w:pPr>
      <w:r>
        <w:rPr>
          <w:b/>
          <w:bCs/>
          <w:sz w:val="24"/>
          <w:szCs w:val="24"/>
        </w:rPr>
        <w:t>Ответственность Сторон</w:t>
      </w:r>
    </w:p>
    <w:p>
      <w:pPr>
        <w:pStyle w:val="ListParagraph"/>
        <w:numPr>
          <w:ilvl w:val="1"/>
          <w:numId w:val="1"/>
        </w:numPr>
        <w:tabs>
          <w:tab w:val="clear" w:pos="708"/>
          <w:tab w:val="left" w:pos="1134" w:leader="none"/>
        </w:tabs>
        <w:ind w:left="0" w:firstLine="709"/>
        <w:jc w:val="both"/>
        <w:rPr>
          <w:rFonts w:ascii="Times New Roman" w:hAnsi="Times New Roman"/>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в Договором прямо не предусмотрено иное. </w:t>
      </w:r>
    </w:p>
    <w:p>
      <w:pPr>
        <w:pStyle w:val="Normal"/>
        <w:widowControl/>
        <w:numPr>
          <w:ilvl w:val="1"/>
          <w:numId w:val="1"/>
        </w:numPr>
        <w:shd w:val="clear" w:color="auto" w:fill="FFFFFF"/>
        <w:tabs>
          <w:tab w:val="clear" w:pos="708"/>
          <w:tab w:val="left" w:pos="1134" w:leader="none"/>
        </w:tabs>
        <w:ind w:left="0" w:firstLine="709"/>
        <w:jc w:val="both"/>
        <w:rPr>
          <w:rFonts w:ascii="Times New Roman" w:hAnsi="Times New Roman"/>
          <w:sz w:val="24"/>
          <w:szCs w:val="24"/>
        </w:rPr>
      </w:pPr>
      <w:r>
        <w:rPr>
          <w:bCs/>
          <w:sz w:val="24"/>
          <w:szCs w:val="24"/>
          <w:shd w:fill="auto" w:val="clear"/>
        </w:rPr>
        <w:t xml:space="preserve">Покупатель не несет ответственности за ненадлежащее исполнение обязательств </w:t>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1"/>
        </w:numPr>
        <w:tabs>
          <w:tab w:val="clear" w:pos="708"/>
          <w:tab w:val="left" w:pos="1134" w:leader="none"/>
        </w:tabs>
        <w:ind w:left="0" w:firstLine="709"/>
        <w:jc w:val="both"/>
        <w:rPr>
          <w:rFonts w:ascii="Times New Roman" w:hAnsi="Times New Roman"/>
          <w:sz w:val="24"/>
          <w:szCs w:val="24"/>
        </w:rPr>
      </w:pPr>
      <w:r>
        <w:rPr>
          <w:bCs/>
          <w:sz w:val="24"/>
          <w:szCs w:val="24"/>
          <w:shd w:fill="auto" w:val="clear"/>
        </w:rPr>
        <w:t>В случае нарушения Покупателем сроков оплаты, установленных разделом 2 Договора (з</w:t>
      </w:r>
      <w:r>
        <w:rPr>
          <w:bCs/>
          <w:sz w:val="24"/>
          <w:szCs w:val="24"/>
          <w:highlight w:val="white"/>
        </w:rPr>
        <w:t xml:space="preserve">а исключением срока оплаты авансовых платежей), Поставщик вправе </w:t>
      </w:r>
      <w:r>
        <w:rPr>
          <w:sz w:val="24"/>
          <w:szCs w:val="24"/>
          <w:highlight w:val="white"/>
        </w:rPr>
        <w:t>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w:t>
      </w:r>
    </w:p>
    <w:p>
      <w:pPr>
        <w:pStyle w:val="Normal"/>
        <w:widowControl/>
        <w:numPr>
          <w:ilvl w:val="1"/>
          <w:numId w:val="1"/>
        </w:numPr>
        <w:tabs>
          <w:tab w:val="clear" w:pos="708"/>
          <w:tab w:val="left" w:pos="1134" w:leader="none"/>
        </w:tabs>
        <w:ind w:left="0" w:firstLine="709"/>
        <w:jc w:val="both"/>
        <w:rPr>
          <w:rFonts w:ascii="Times New Roman" w:hAnsi="Times New Roman"/>
          <w:sz w:val="24"/>
          <w:szCs w:val="24"/>
        </w:rPr>
      </w:pPr>
      <w:r>
        <w:rPr>
          <w:bCs/>
          <w:sz w:val="24"/>
          <w:szCs w:val="24"/>
        </w:rPr>
        <w:t xml:space="preserve">В случае </w:t>
      </w:r>
      <w:r>
        <w:rPr>
          <w:sz w:val="24"/>
          <w:szCs w:val="24"/>
        </w:rPr>
        <w:t xml:space="preserve">нарушения Поставщиком обязательств по поставке </w:t>
      </w:r>
      <w:r>
        <w:rPr>
          <w:sz w:val="24"/>
          <w:szCs w:val="24"/>
          <w:shd w:fill="FFFFFF" w:val="clear"/>
        </w:rPr>
        <w:t>Товара</w:t>
      </w:r>
      <w:r>
        <w:rPr>
          <w:sz w:val="24"/>
          <w:szCs w:val="24"/>
        </w:rPr>
        <w:t xml:space="preserve"> (нарушение срока поставки, недопоставка),</w:t>
      </w:r>
      <w:r>
        <w:rPr>
          <w:sz w:val="24"/>
          <w:szCs w:val="24"/>
          <w:shd w:fill="FFFFFF" w:val="clear"/>
        </w:rPr>
        <w:t xml:space="preserve"> а также в случае несвоевременного устранения выявленных недостатков Товара, Покупатель вправе потребовать уплаты Поставщиком:</w:t>
      </w:r>
    </w:p>
    <w:p>
      <w:pPr>
        <w:pStyle w:val="ListParagraph"/>
        <w:widowControl/>
        <w:numPr>
          <w:ilvl w:val="2"/>
          <w:numId w:val="1"/>
        </w:numPr>
        <w:tabs>
          <w:tab w:val="clear" w:pos="708"/>
          <w:tab w:val="left" w:pos="1276" w:leader="none"/>
        </w:tabs>
        <w:ind w:left="0" w:firstLine="709"/>
        <w:jc w:val="both"/>
        <w:rPr>
          <w:rFonts w:ascii="Times New Roman" w:hAnsi="Times New Roman"/>
          <w:sz w:val="24"/>
          <w:szCs w:val="24"/>
        </w:rPr>
      </w:pPr>
      <w:r>
        <w:rPr>
          <w:sz w:val="24"/>
          <w:szCs w:val="24"/>
          <w:shd w:fill="FFFFFF" w:val="clear"/>
        </w:rPr>
        <w:t>Неустойки в размере 0,1 (ноль целых</w:t>
      </w:r>
      <w:r>
        <w:rPr>
          <w:rFonts w:eastAsia="Calibri"/>
          <w:bCs/>
          <w:sz w:val="24"/>
          <w:szCs w:val="24"/>
          <w:shd w:fill="FFFFFF" w:val="clear"/>
        </w:rPr>
        <w:t xml:space="preserve"> и одна десятая) </w:t>
      </w:r>
      <w:r>
        <w:rPr>
          <w:bCs/>
          <w:sz w:val="24"/>
          <w:szCs w:val="24"/>
          <w:shd w:fill="FFFFFF" w:val="clear"/>
        </w:rPr>
        <w:t xml:space="preserve">процента от цены </w:t>
      </w:r>
      <w:r>
        <w:rPr>
          <w:rFonts w:eastAsia="Calibri"/>
          <w:bCs/>
          <w:sz w:val="24"/>
          <w:szCs w:val="24"/>
          <w:shd w:fill="FFFFFF" w:val="clear"/>
        </w:rPr>
        <w:t>Партии Товара</w:t>
      </w:r>
      <w:r>
        <w:rPr>
          <w:bCs/>
          <w:sz w:val="24"/>
          <w:szCs w:val="24"/>
          <w:shd w:fill="FFFFFF" w:val="clear"/>
        </w:rPr>
        <w:t xml:space="preserve"> за каждый день просрочки;</w:t>
      </w:r>
    </w:p>
    <w:p>
      <w:pPr>
        <w:pStyle w:val="ListParagraph"/>
        <w:widowControl/>
        <w:numPr>
          <w:ilvl w:val="2"/>
          <w:numId w:val="1"/>
        </w:numPr>
        <w:tabs>
          <w:tab w:val="clear" w:pos="708"/>
          <w:tab w:val="left" w:pos="1276" w:leader="none"/>
        </w:tabs>
        <w:ind w:left="0" w:firstLine="709"/>
        <w:jc w:val="both"/>
        <w:rPr>
          <w:rFonts w:ascii="Times New Roman" w:hAnsi="Times New Roman"/>
          <w:sz w:val="24"/>
          <w:szCs w:val="24"/>
        </w:rPr>
      </w:pPr>
      <w:r>
        <w:rPr>
          <w:sz w:val="24"/>
          <w:szCs w:val="24"/>
          <w:shd w:fill="FFFFFF" w:val="clear"/>
        </w:rPr>
        <w:t>Неустойки в размере</w:t>
      </w:r>
      <w:r>
        <w:rPr>
          <w:bCs/>
          <w:sz w:val="24"/>
          <w:szCs w:val="24"/>
          <w:shd w:fill="FFFFFF" w:val="clear"/>
        </w:rPr>
        <w:t xml:space="preserve"> 0,1 </w:t>
      </w:r>
      <w:r>
        <w:rPr>
          <w:sz w:val="24"/>
          <w:szCs w:val="24"/>
          <w:shd w:fill="FFFFFF" w:val="clear"/>
        </w:rPr>
        <w:t>(ноль целых и одна десятая) процента</w:t>
      </w:r>
      <w:r>
        <w:rPr>
          <w:bCs/>
          <w:sz w:val="24"/>
          <w:szCs w:val="24"/>
          <w:shd w:fill="FFFFFF" w:val="clear"/>
        </w:rPr>
        <w:t xml:space="preserve"> от Цены Договора за каждый день просрочки - в случае несвоевременного устранения недостатков, влияющих на возможность эксплуатации (использования) Товара в целом</w:t>
      </w:r>
      <w:r>
        <w:rPr>
          <w:rFonts w:eastAsia="Calibri"/>
          <w:bCs/>
          <w:sz w:val="24"/>
          <w:szCs w:val="24"/>
          <w:shd w:fill="FFFFFF" w:val="clear"/>
        </w:rPr>
        <w:t>;</w:t>
      </w:r>
    </w:p>
    <w:p>
      <w:pPr>
        <w:pStyle w:val="ListParagraph"/>
        <w:widowControl/>
        <w:numPr>
          <w:ilvl w:val="2"/>
          <w:numId w:val="1"/>
        </w:numPr>
        <w:tabs>
          <w:tab w:val="clear" w:pos="708"/>
          <w:tab w:val="left" w:pos="1276" w:leader="none"/>
        </w:tabs>
        <w:spacing w:lineRule="auto" w:line="247" w:before="0" w:after="5"/>
        <w:ind w:left="0" w:firstLine="709"/>
        <w:contextualSpacing/>
        <w:jc w:val="both"/>
        <w:rPr>
          <w:rFonts w:ascii="Times New Roman" w:hAnsi="Times New Roman"/>
          <w:sz w:val="24"/>
          <w:szCs w:val="24"/>
        </w:rPr>
      </w:pPr>
      <w:r>
        <w:rPr>
          <w:sz w:val="24"/>
          <w:szCs w:val="24"/>
          <w:shd w:fill="FFFFFF" w:val="clear"/>
        </w:rPr>
        <w:t>Неустойки в</w:t>
      </w:r>
      <w:r>
        <w:rPr>
          <w:bCs/>
          <w:sz w:val="24"/>
          <w:szCs w:val="24"/>
          <w:shd w:fill="FFFFFF" w:val="clear"/>
        </w:rPr>
        <w:t xml:space="preserve"> размере 0,1 </w:t>
      </w:r>
      <w:r>
        <w:rPr>
          <w:sz w:val="24"/>
          <w:szCs w:val="24"/>
          <w:shd w:fill="FFFFFF" w:val="clear"/>
        </w:rPr>
        <w:t>(ноль целых и одна десятая) процента</w:t>
      </w:r>
      <w:r>
        <w:rPr>
          <w:bCs/>
          <w:sz w:val="24"/>
          <w:szCs w:val="24"/>
          <w:shd w:fill="FFFFFF" w:val="clear"/>
        </w:rPr>
        <w:t xml:space="preserve"> от стоимости Партии Товара за каждый день просрочки - в случае несвоевременного устранения недостатков, не влияющих на возможность эксплуатации (использования) Товара в целом.</w:t>
      </w:r>
    </w:p>
    <w:p>
      <w:pPr>
        <w:pStyle w:val="ListParagraph"/>
        <w:widowControl/>
        <w:numPr>
          <w:ilvl w:val="1"/>
          <w:numId w:val="1"/>
        </w:numPr>
        <w:shd w:val="clear" w:color="auto" w:fill="FFFFFF"/>
        <w:tabs>
          <w:tab w:val="clear" w:pos="708"/>
          <w:tab w:val="left" w:pos="1134" w:leader="none"/>
        </w:tabs>
        <w:ind w:left="0" w:firstLine="709"/>
        <w:jc w:val="both"/>
        <w:rPr>
          <w:rFonts w:ascii="Times New Roman" w:hAnsi="Times New Roman"/>
          <w:sz w:val="24"/>
          <w:szCs w:val="24"/>
        </w:rPr>
      </w:pPr>
      <w:r>
        <w:rPr>
          <w:sz w:val="24"/>
          <w:szCs w:val="24"/>
          <w:shd w:fill="FFFFFF" w:val="clear"/>
        </w:rPr>
        <w:t xml:space="preserve">В случае несвоевременного возврата аванса </w:t>
      </w:r>
      <w:r>
        <w:rPr>
          <w:bCs/>
          <w:sz w:val="24"/>
          <w:szCs w:val="24"/>
          <w:shd w:fill="FFFFFF" w:val="clear"/>
        </w:rPr>
        <w:t xml:space="preserve">Покупатель вправе требовать уплаты Поставщиком неустойки в размере </w:t>
      </w:r>
      <w:r>
        <w:rPr>
          <w:sz w:val="24"/>
          <w:szCs w:val="24"/>
          <w:shd w:fill="FFFFFF" w:val="clear"/>
        </w:rPr>
        <w:t>в размере 0,1 (ноль целых и одна десятая) процента от размера невозвращенного аванса за каждый день просрочки начиная с даты, установленной для возврата аванса.</w:t>
      </w:r>
    </w:p>
    <w:p>
      <w:pPr>
        <w:pStyle w:val="ListParagraph"/>
        <w:widowControl/>
        <w:numPr>
          <w:ilvl w:val="1"/>
          <w:numId w:val="1"/>
        </w:numPr>
        <w:shd w:val="clear" w:color="auto" w:fill="FFFFFF"/>
        <w:tabs>
          <w:tab w:val="clear" w:pos="708"/>
          <w:tab w:val="left" w:pos="1134" w:leader="none"/>
        </w:tabs>
        <w:ind w:left="0" w:firstLine="709"/>
        <w:jc w:val="both"/>
        <w:rPr>
          <w:rFonts w:ascii="Times New Roman" w:hAnsi="Times New Roman"/>
          <w:sz w:val="24"/>
          <w:szCs w:val="24"/>
        </w:rPr>
      </w:pPr>
      <w:r>
        <w:rPr>
          <w:bCs/>
          <w:sz w:val="24"/>
          <w:szCs w:val="24"/>
          <w:shd w:fill="FFFFFF" w:val="clear"/>
        </w:rPr>
        <w:t>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w:t>
      </w:r>
      <w:r>
        <w:rPr>
          <w:bCs/>
          <w:sz w:val="24"/>
          <w:szCs w:val="24"/>
        </w:rPr>
        <w:t xml:space="preserve">я убытков, вправе требовать уплаты Поставщиком штрафа в размерах, установленных Приложением № 5 к Договору. </w:t>
      </w:r>
    </w:p>
    <w:p>
      <w:pPr>
        <w:pStyle w:val="ListParagraph"/>
        <w:widowControl/>
        <w:numPr>
          <w:ilvl w:val="1"/>
          <w:numId w:val="1"/>
        </w:numPr>
        <w:shd w:val="clear" w:color="auto" w:fill="FFFFFF"/>
        <w:tabs>
          <w:tab w:val="clear" w:pos="708"/>
          <w:tab w:val="left" w:pos="1134" w:leader="none"/>
        </w:tabs>
        <w:ind w:left="0" w:firstLine="709"/>
        <w:jc w:val="both"/>
        <w:rPr>
          <w:rFonts w:ascii="Times New Roman" w:hAnsi="Times New Roman"/>
          <w:sz w:val="24"/>
          <w:szCs w:val="24"/>
        </w:rPr>
      </w:pPr>
      <w:r>
        <w:rPr>
          <w:bCs/>
          <w:sz w:val="24"/>
          <w:szCs w:val="24"/>
        </w:rPr>
        <w:t xml:space="preserve">Если в результате составления и выставления Поставщиком счетов-фактур (УПД)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tabs>
          <w:tab w:val="clear" w:pos="708"/>
          <w:tab w:val="left" w:pos="1134" w:leader="none"/>
        </w:tabs>
        <w:ind w:left="0" w:firstLine="709"/>
        <w:jc w:val="both"/>
        <w:rPr>
          <w:rFonts w:ascii="Times New Roman" w:hAnsi="Times New Roman"/>
          <w:sz w:val="24"/>
          <w:szCs w:val="24"/>
        </w:rPr>
      </w:pPr>
      <w:r>
        <w:rPr>
          <w:bCs/>
          <w:sz w:val="24"/>
          <w:szCs w:val="24"/>
        </w:rPr>
        <w:t>В случае нарушения Поставщиком сроков предоставления счетов-фактур (УПД), установленных пунктом 2.8 Договора, Покупатель также имеет право требовать от Поставщика уплаты штрафа в размере 50 000 (Пятидесяти тысяч) рублей за каждый случай нарушения.</w:t>
      </w:r>
    </w:p>
    <w:p>
      <w:pPr>
        <w:pStyle w:val="ListParagraph"/>
        <w:widowControl/>
        <w:numPr>
          <w:ilvl w:val="1"/>
          <w:numId w:val="1"/>
        </w:numPr>
        <w:shd w:val="clear" w:color="auto" w:fill="FFFFFF"/>
        <w:tabs>
          <w:tab w:val="clear" w:pos="708"/>
          <w:tab w:val="left" w:pos="1134" w:leader="none"/>
        </w:tabs>
        <w:suppressAutoHyphens w:val="true"/>
        <w:bidi w:val="0"/>
        <w:spacing w:before="0" w:after="0"/>
        <w:ind w:left="0" w:right="0" w:firstLine="737"/>
        <w:contextualSpacing/>
        <w:jc w:val="both"/>
        <w:rPr>
          <w:rFonts w:ascii="Times New Roman" w:hAnsi="Times New Roman"/>
          <w:sz w:val="24"/>
          <w:szCs w:val="24"/>
        </w:rPr>
      </w:pPr>
      <w:r>
        <w:rPr>
          <w:bCs/>
          <w:sz w:val="24"/>
          <w:szCs w:val="24"/>
        </w:rPr>
        <w:t xml:space="preserve">За непредоставление либо несвоевременное предоставление / переоформление Поставщиком Банковских гарантий, предусмотренных Договором, </w:t>
      </w:r>
      <w:r>
        <w:rPr>
          <w:bCs/>
          <w:sz w:val="24"/>
          <w:szCs w:val="24"/>
          <w:shd w:fill="FFFFFF" w:val="clear"/>
        </w:rPr>
        <w:t>в порядке и сроки, установленные разделом 5 Договора,</w:t>
      </w:r>
      <w:r>
        <w:rPr>
          <w:bCs/>
          <w:sz w:val="24"/>
          <w:szCs w:val="24"/>
        </w:rPr>
        <w:t xml:space="preserve"> Покупатель вправе требовать уплаты Поставщиком неустойки в размере 0,03 (ноль целых и три сотых) % от Цены Договора за каждый день просрочки</w:t>
      </w:r>
      <w:r>
        <w:rPr>
          <w:rStyle w:val="Style19"/>
          <w:bCs/>
          <w:sz w:val="24"/>
          <w:szCs w:val="24"/>
        </w:rPr>
        <w:footnoteReference w:id="10"/>
      </w:r>
      <w:r>
        <w:rPr>
          <w:bCs/>
          <w:sz w:val="24"/>
          <w:szCs w:val="24"/>
        </w:rPr>
        <w:t>.</w:t>
      </w:r>
    </w:p>
    <w:p>
      <w:pPr>
        <w:pStyle w:val="ListParagraph"/>
        <w:widowControl/>
        <w:numPr>
          <w:ilvl w:val="1"/>
          <w:numId w:val="1"/>
        </w:numPr>
        <w:shd w:val="clear" w:color="auto" w:fill="FFFFFF"/>
        <w:tabs>
          <w:tab w:val="clear" w:pos="708"/>
          <w:tab w:val="left" w:pos="1134" w:leader="none"/>
        </w:tabs>
        <w:ind w:left="0" w:firstLine="709"/>
        <w:jc w:val="both"/>
        <w:rPr>
          <w:rFonts w:ascii="Times New Roman" w:hAnsi="Times New Roman"/>
          <w:sz w:val="24"/>
          <w:szCs w:val="24"/>
        </w:rPr>
      </w:pPr>
      <w:r>
        <w:rPr>
          <w:bCs/>
          <w:sz w:val="24"/>
          <w:szCs w:val="24"/>
        </w:rPr>
        <w:t>Поставщик несет ответственность перед Покупателем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1"/>
        </w:numPr>
        <w:shd w:val="clear" w:color="auto" w:fill="FFFFFF"/>
        <w:tabs>
          <w:tab w:val="clear" w:pos="708"/>
          <w:tab w:val="left" w:pos="1276" w:leader="none"/>
        </w:tabs>
        <w:ind w:left="0" w:firstLine="709"/>
        <w:jc w:val="both"/>
        <w:rPr>
          <w:rFonts w:ascii="Times New Roman" w:hAnsi="Times New Roman"/>
          <w:sz w:val="24"/>
          <w:szCs w:val="24"/>
        </w:rPr>
      </w:pPr>
      <w:r>
        <w:rPr>
          <w:sz w:val="24"/>
          <w:szCs w:val="24"/>
        </w:rPr>
        <w:t xml:space="preserve">В случае если неисполнение / ненадлежащее исполнение Поставщиком обязательств по Договору повлекло за собой нарушение Покупателем обязательств на </w:t>
      </w:r>
      <w:r>
        <w:rPr>
          <w:bCs/>
          <w:sz w:val="24"/>
          <w:szCs w:val="24"/>
        </w:rPr>
        <w:t xml:space="preserve">розничном рынке </w:t>
      </w:r>
      <w:r>
        <w:rPr>
          <w:sz w:val="24"/>
          <w:szCs w:val="24"/>
        </w:rPr>
        <w:t>электрической энергии и мощности, Поставщик несет ответственность перед Покупателем за причиненный ущерб в размере фактически понесенных и документально подтвержденных расходов, произведенных для восстановления нарушенного права.</w:t>
      </w:r>
    </w:p>
    <w:p>
      <w:pPr>
        <w:pStyle w:val="Normal"/>
        <w:widowControl/>
        <w:shd w:val="clear" w:color="auto" w:fill="FFFFFF"/>
        <w:tabs>
          <w:tab w:val="clear" w:pos="708"/>
          <w:tab w:val="left" w:pos="1134" w:leader="none"/>
        </w:tabs>
        <w:ind w:firstLine="709"/>
        <w:jc w:val="both"/>
        <w:rPr>
          <w:rFonts w:ascii="Times New Roman" w:hAnsi="Times New Roman"/>
          <w:sz w:val="24"/>
          <w:szCs w:val="24"/>
        </w:rPr>
      </w:pPr>
      <w:r>
        <w:rPr>
          <w:sz w:val="24"/>
          <w:szCs w:val="24"/>
        </w:rPr>
        <w:t>Предусмотренный настоящим пунктом ущерб Покупателя компенсируется Поставщиком в полной сумме сверх неустойки</w:t>
      </w:r>
      <w:r>
        <w:rPr>
          <w:rStyle w:val="Style19"/>
          <w:sz w:val="24"/>
          <w:szCs w:val="24"/>
        </w:rPr>
        <w:footnoteReference w:id="11"/>
      </w:r>
      <w:r>
        <w:rPr>
          <w:bCs/>
          <w:sz w:val="24"/>
          <w:szCs w:val="24"/>
        </w:rPr>
        <w:t xml:space="preserve">. </w:t>
      </w:r>
    </w:p>
    <w:p>
      <w:pPr>
        <w:pStyle w:val="ListParagraph"/>
        <w:widowControl/>
        <w:numPr>
          <w:ilvl w:val="1"/>
          <w:numId w:val="1"/>
        </w:numPr>
        <w:shd w:val="clear" w:color="auto" w:fill="FFFFFF"/>
        <w:tabs>
          <w:tab w:val="clear" w:pos="708"/>
          <w:tab w:val="left" w:pos="1134" w:leader="none"/>
          <w:tab w:val="left" w:pos="1418" w:leader="none"/>
        </w:tabs>
        <w:ind w:left="0" w:firstLine="709"/>
        <w:jc w:val="both"/>
        <w:rPr>
          <w:rFonts w:ascii="Times New Roman" w:hAnsi="Times New Roman"/>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1"/>
        </w:numPr>
        <w:shd w:val="clear" w:color="auto" w:fill="FFFFFF"/>
        <w:tabs>
          <w:tab w:val="clear" w:pos="708"/>
          <w:tab w:val="left" w:pos="1134" w:leader="none"/>
          <w:tab w:val="left" w:pos="1418" w:leader="none"/>
        </w:tabs>
        <w:ind w:left="0" w:firstLine="709"/>
        <w:jc w:val="both"/>
        <w:rPr>
          <w:rFonts w:ascii="Times New Roman" w:hAnsi="Times New Roman"/>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1"/>
        </w:numPr>
        <w:shd w:val="clear" w:color="auto" w:fill="FFFFFF"/>
        <w:tabs>
          <w:tab w:val="clear" w:pos="708"/>
          <w:tab w:val="left" w:pos="1134" w:leader="none"/>
          <w:tab w:val="left" w:pos="1418" w:leader="none"/>
        </w:tabs>
        <w:ind w:left="0" w:firstLine="709"/>
        <w:jc w:val="both"/>
        <w:rPr>
          <w:rFonts w:ascii="Times New Roman" w:hAnsi="Times New Roman"/>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1"/>
        </w:numPr>
        <w:shd w:val="clear" w:color="auto" w:fill="FFFFFF"/>
        <w:tabs>
          <w:tab w:val="clear" w:pos="708"/>
          <w:tab w:val="left" w:pos="1134" w:leader="none"/>
          <w:tab w:val="left" w:pos="1418" w:leader="none"/>
        </w:tabs>
        <w:ind w:left="0" w:firstLine="709"/>
        <w:jc w:val="both"/>
        <w:rPr>
          <w:rFonts w:ascii="Times New Roman" w:hAnsi="Times New Roman"/>
          <w:sz w:val="24"/>
          <w:szCs w:val="24"/>
        </w:rPr>
      </w:pPr>
      <w:r>
        <w:rPr>
          <w:sz w:val="24"/>
          <w:szCs w:val="24"/>
        </w:rPr>
        <w:t>Удержание пени и штрафов, подлежащих уплате Поставщиком, может быть произведено, по усмотрению Покупателя, путем вычета суммы пени (штрафа) из подлежащей оплате стоимости поставленного Покупателю Товара. Уплата (удержание) неустойки не освобождает стороны от исполнения своего обязательства в натуре.</w:t>
      </w:r>
    </w:p>
    <w:p>
      <w:pPr>
        <w:pStyle w:val="ListParagraph"/>
        <w:numPr>
          <w:ilvl w:val="0"/>
          <w:numId w:val="0"/>
        </w:numPr>
        <w:shd w:val="clear" w:color="auto" w:fill="FFFFFF"/>
        <w:ind w:left="1851" w:hanging="0"/>
        <w:jc w:val="both"/>
        <w:rPr>
          <w:rFonts w:ascii="Times New Roman" w:hAnsi="Times New Roman"/>
          <w:strike/>
          <w:sz w:val="24"/>
          <w:szCs w:val="24"/>
        </w:rPr>
      </w:pPr>
      <w:r>
        <w:rPr>
          <w:strike/>
          <w:sz w:val="24"/>
          <w:szCs w:val="24"/>
        </w:rPr>
      </w:r>
    </w:p>
    <w:p>
      <w:pPr>
        <w:pStyle w:val="ListParagraph"/>
        <w:widowControl/>
        <w:numPr>
          <w:ilvl w:val="0"/>
          <w:numId w:val="1"/>
        </w:numPr>
        <w:shd w:val="clear" w:color="auto" w:fill="FFFFFF"/>
        <w:tabs>
          <w:tab w:val="clear" w:pos="708"/>
          <w:tab w:val="left" w:pos="0" w:leader="none"/>
          <w:tab w:val="left" w:pos="284" w:leader="none"/>
        </w:tabs>
        <w:ind w:left="0" w:hanging="0"/>
        <w:jc w:val="center"/>
        <w:rPr>
          <w:rFonts w:ascii="Times New Roman" w:hAnsi="Times New Roman"/>
          <w:sz w:val="24"/>
          <w:szCs w:val="24"/>
        </w:rPr>
      </w:pPr>
      <w:r>
        <w:rPr>
          <w:b/>
          <w:bCs/>
          <w:sz w:val="24"/>
          <w:szCs w:val="24"/>
        </w:rPr>
        <w:t>Конфиденциальность</w:t>
      </w:r>
    </w:p>
    <w:p>
      <w:pPr>
        <w:pStyle w:val="ListParagraph"/>
        <w:widowControl/>
        <w:numPr>
          <w:ilvl w:val="1"/>
          <w:numId w:val="1"/>
        </w:numPr>
        <w:shd w:val="clear" w:color="auto" w:fill="FFFFFF"/>
        <w:tabs>
          <w:tab w:val="clear" w:pos="708"/>
          <w:tab w:val="left" w:pos="0" w:leader="none"/>
          <w:tab w:val="left" w:pos="1134" w:leader="none"/>
        </w:tabs>
        <w:ind w:left="0" w:firstLine="709"/>
        <w:jc w:val="both"/>
        <w:rPr>
          <w:rFonts w:ascii="Times New Roman" w:hAnsi="Times New Roman"/>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5"/>
        </w:numPr>
        <w:tabs>
          <w:tab w:val="clear" w:pos="708"/>
          <w:tab w:val="left" w:pos="0" w:leader="none"/>
          <w:tab w:val="left" w:pos="709" w:leader="none"/>
          <w:tab w:val="left" w:pos="1418" w:leader="none"/>
        </w:tabs>
        <w:ind w:left="0" w:firstLine="709"/>
        <w:jc w:val="both"/>
        <w:rPr>
          <w:rFonts w:ascii="Times New Roman" w:hAnsi="Times New Roman"/>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5"/>
        </w:numPr>
        <w:tabs>
          <w:tab w:val="clear" w:pos="708"/>
          <w:tab w:val="left" w:pos="0" w:leader="none"/>
          <w:tab w:val="left" w:pos="709" w:leader="none"/>
          <w:tab w:val="left" w:pos="1418" w:leader="none"/>
        </w:tabs>
        <w:ind w:left="0" w:firstLine="709"/>
        <w:jc w:val="both"/>
        <w:rPr>
          <w:rFonts w:ascii="Times New Roman" w:hAnsi="Times New Roman"/>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1"/>
        </w:numPr>
        <w:shd w:val="clear" w:color="auto" w:fill="FFFFFF"/>
        <w:tabs>
          <w:tab w:val="clear" w:pos="708"/>
          <w:tab w:val="left" w:pos="0" w:leader="none"/>
          <w:tab w:val="left" w:pos="1134" w:leader="none"/>
        </w:tabs>
        <w:ind w:left="0" w:firstLine="709"/>
        <w:jc w:val="both"/>
        <w:rPr>
          <w:rFonts w:ascii="Times New Roman" w:hAnsi="Times New Roman"/>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1"/>
        </w:numPr>
        <w:shd w:val="clear" w:color="auto" w:fill="FFFFFF"/>
        <w:tabs>
          <w:tab w:val="clear" w:pos="708"/>
          <w:tab w:val="left" w:pos="0" w:leader="none"/>
          <w:tab w:val="left" w:pos="1134" w:leader="none"/>
        </w:tabs>
        <w:ind w:left="0" w:firstLine="709"/>
        <w:jc w:val="both"/>
        <w:rPr>
          <w:rFonts w:ascii="Times New Roman" w:hAnsi="Times New Roman"/>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1"/>
        </w:numPr>
        <w:shd w:val="clear" w:color="auto" w:fill="FFFFFF"/>
        <w:tabs>
          <w:tab w:val="clear" w:pos="708"/>
          <w:tab w:val="left" w:pos="0" w:leader="none"/>
          <w:tab w:val="left" w:pos="1134" w:leader="none"/>
        </w:tabs>
        <w:ind w:left="0" w:firstLine="709"/>
        <w:jc w:val="both"/>
        <w:rPr>
          <w:rFonts w:ascii="Times New Roman" w:hAnsi="Times New Roman"/>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1"/>
        </w:numPr>
        <w:shd w:val="clear" w:color="auto" w:fill="FFFFFF"/>
        <w:tabs>
          <w:tab w:val="clear" w:pos="708"/>
          <w:tab w:val="left" w:pos="0" w:leader="none"/>
          <w:tab w:val="left" w:pos="1134" w:leader="none"/>
        </w:tabs>
        <w:ind w:left="0" w:firstLine="709"/>
        <w:jc w:val="both"/>
        <w:rPr>
          <w:rFonts w:ascii="Times New Roman" w:hAnsi="Times New Roman"/>
          <w:sz w:val="24"/>
          <w:szCs w:val="24"/>
        </w:rPr>
      </w:pPr>
      <w:r>
        <w:rPr>
          <w:bCs/>
          <w:sz w:val="24"/>
          <w:szCs w:val="24"/>
        </w:rPr>
        <w:t>Информация может включать в себя, в том числе, но не ограничиваясь:</w:t>
      </w:r>
    </w:p>
    <w:p>
      <w:pPr>
        <w:pStyle w:val="Normal"/>
        <w:widowControl/>
        <w:numPr>
          <w:ilvl w:val="0"/>
          <w:numId w:val="5"/>
        </w:numPr>
        <w:tabs>
          <w:tab w:val="clear" w:pos="708"/>
          <w:tab w:val="left" w:pos="0" w:leader="none"/>
          <w:tab w:val="left" w:pos="1418" w:leader="none"/>
        </w:tabs>
        <w:ind w:left="0" w:firstLine="709"/>
        <w:jc w:val="both"/>
        <w:rPr>
          <w:rFonts w:ascii="Times New Roman" w:hAnsi="Times New Roman"/>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5"/>
        </w:numPr>
        <w:tabs>
          <w:tab w:val="clear" w:pos="708"/>
          <w:tab w:val="left" w:pos="0" w:leader="none"/>
          <w:tab w:val="left" w:pos="1418" w:leader="none"/>
        </w:tabs>
        <w:ind w:left="0" w:firstLine="709"/>
        <w:jc w:val="both"/>
        <w:rPr>
          <w:rFonts w:ascii="Times New Roman" w:hAnsi="Times New Roman"/>
          <w:sz w:val="24"/>
          <w:szCs w:val="24"/>
        </w:rPr>
      </w:pPr>
      <w:r>
        <w:rPr>
          <w:bCs/>
          <w:sz w:val="24"/>
          <w:szCs w:val="24"/>
        </w:rPr>
        <w:t>учетные регистры бухгалтерского учета;</w:t>
      </w:r>
    </w:p>
    <w:p>
      <w:pPr>
        <w:pStyle w:val="Normal"/>
        <w:widowControl/>
        <w:numPr>
          <w:ilvl w:val="0"/>
          <w:numId w:val="5"/>
        </w:numPr>
        <w:tabs>
          <w:tab w:val="clear" w:pos="708"/>
          <w:tab w:val="left" w:pos="0" w:leader="none"/>
          <w:tab w:val="left" w:pos="1418" w:leader="none"/>
        </w:tabs>
        <w:ind w:left="0" w:firstLine="709"/>
        <w:jc w:val="both"/>
        <w:rPr>
          <w:rFonts w:ascii="Times New Roman" w:hAnsi="Times New Roman"/>
          <w:sz w:val="24"/>
          <w:szCs w:val="24"/>
        </w:rPr>
      </w:pPr>
      <w:r>
        <w:rPr>
          <w:bCs/>
          <w:sz w:val="24"/>
          <w:szCs w:val="24"/>
        </w:rPr>
        <w:t>бизнес-планы;</w:t>
      </w:r>
    </w:p>
    <w:p>
      <w:pPr>
        <w:pStyle w:val="Normal"/>
        <w:widowControl/>
        <w:numPr>
          <w:ilvl w:val="0"/>
          <w:numId w:val="5"/>
        </w:numPr>
        <w:tabs>
          <w:tab w:val="clear" w:pos="708"/>
          <w:tab w:val="left" w:pos="0" w:leader="none"/>
          <w:tab w:val="left" w:pos="1418" w:leader="none"/>
        </w:tabs>
        <w:ind w:left="0" w:firstLine="709"/>
        <w:jc w:val="both"/>
        <w:rPr>
          <w:rFonts w:ascii="Times New Roman" w:hAnsi="Times New Roman"/>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5"/>
        </w:numPr>
        <w:tabs>
          <w:tab w:val="clear" w:pos="708"/>
          <w:tab w:val="left" w:pos="0" w:leader="none"/>
          <w:tab w:val="left" w:pos="1418" w:leader="none"/>
        </w:tabs>
        <w:ind w:left="0" w:firstLine="709"/>
        <w:jc w:val="both"/>
        <w:rPr>
          <w:rFonts w:ascii="Times New Roman" w:hAnsi="Times New Roman"/>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5"/>
        </w:numPr>
        <w:tabs>
          <w:tab w:val="clear" w:pos="708"/>
          <w:tab w:val="left" w:pos="0" w:leader="none"/>
          <w:tab w:val="left" w:pos="1418" w:leader="none"/>
        </w:tabs>
        <w:ind w:left="0" w:firstLine="709"/>
        <w:jc w:val="both"/>
        <w:rPr>
          <w:rFonts w:ascii="Times New Roman" w:hAnsi="Times New Roman"/>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5"/>
        </w:numPr>
        <w:tabs>
          <w:tab w:val="clear" w:pos="708"/>
          <w:tab w:val="left" w:pos="0" w:leader="none"/>
          <w:tab w:val="left" w:pos="1418" w:leader="none"/>
        </w:tabs>
        <w:ind w:left="0" w:firstLine="709"/>
        <w:jc w:val="both"/>
        <w:rPr>
          <w:rFonts w:ascii="Times New Roman" w:hAnsi="Times New Roman"/>
          <w:sz w:val="24"/>
          <w:szCs w:val="24"/>
        </w:rPr>
      </w:pPr>
      <w:r>
        <w:rPr>
          <w:bCs/>
          <w:sz w:val="24"/>
          <w:szCs w:val="24"/>
        </w:rPr>
        <w:t xml:space="preserve">сведения о Поставщиках, поставщиках материалов, а также </w:t>
        <w:br/>
        <w:t>о покупателях продукции Покупателя и их аффилированных лицах;</w:t>
      </w:r>
    </w:p>
    <w:p>
      <w:pPr>
        <w:pStyle w:val="Normal"/>
        <w:widowControl/>
        <w:numPr>
          <w:ilvl w:val="0"/>
          <w:numId w:val="5"/>
        </w:numPr>
        <w:tabs>
          <w:tab w:val="clear" w:pos="708"/>
          <w:tab w:val="left" w:pos="0" w:leader="none"/>
          <w:tab w:val="left" w:pos="1418" w:leader="none"/>
        </w:tabs>
        <w:ind w:left="0" w:firstLine="709"/>
        <w:jc w:val="both"/>
        <w:rPr>
          <w:rFonts w:ascii="Times New Roman" w:hAnsi="Times New Roman"/>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5"/>
        </w:numPr>
        <w:tabs>
          <w:tab w:val="clear" w:pos="708"/>
          <w:tab w:val="left" w:pos="0" w:leader="none"/>
          <w:tab w:val="left" w:pos="1418" w:leader="none"/>
        </w:tabs>
        <w:ind w:left="0" w:firstLine="709"/>
        <w:jc w:val="both"/>
        <w:rPr>
          <w:rFonts w:ascii="Times New Roman" w:hAnsi="Times New Roman"/>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1"/>
        </w:numPr>
        <w:shd w:val="clear" w:color="auto" w:fill="FFFFFF"/>
        <w:tabs>
          <w:tab w:val="clear" w:pos="708"/>
          <w:tab w:val="left" w:pos="0" w:leader="none"/>
          <w:tab w:val="left" w:pos="1134" w:leader="none"/>
        </w:tabs>
        <w:ind w:left="0" w:firstLine="709"/>
        <w:jc w:val="both"/>
        <w:rPr>
          <w:rFonts w:ascii="Times New Roman" w:hAnsi="Times New Roman"/>
          <w:sz w:val="24"/>
          <w:szCs w:val="24"/>
        </w:rPr>
      </w:pPr>
      <w:bookmarkStart w:id="6"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6"/>
      <w:r>
        <w:rPr>
          <w:bCs/>
          <w:sz w:val="24"/>
          <w:szCs w:val="24"/>
        </w:rPr>
        <w:t xml:space="preserve"> </w:t>
      </w:r>
    </w:p>
    <w:p>
      <w:pPr>
        <w:pStyle w:val="ListParagraph"/>
        <w:widowControl/>
        <w:numPr>
          <w:ilvl w:val="2"/>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7.6.7 Договора.</w:t>
      </w:r>
    </w:p>
    <w:p>
      <w:pPr>
        <w:pStyle w:val="ListParagraph"/>
        <w:widowControl/>
        <w:numPr>
          <w:ilvl w:val="2"/>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bookmarkStart w:id="7" w:name="_Ref361337832"/>
      <w:bookmarkEnd w:id="7"/>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p>
    <w:p>
      <w:pPr>
        <w:pStyle w:val="ListParagraph"/>
        <w:widowControl/>
        <w:numPr>
          <w:ilvl w:val="2"/>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1"/>
        </w:numPr>
        <w:shd w:val="clear" w:color="auto" w:fill="FFFFFF"/>
        <w:tabs>
          <w:tab w:val="clear" w:pos="708"/>
          <w:tab w:val="left" w:pos="0" w:leader="none"/>
          <w:tab w:val="left" w:pos="1134" w:leader="none"/>
        </w:tabs>
        <w:ind w:left="0" w:firstLine="709"/>
        <w:jc w:val="both"/>
        <w:rPr>
          <w:rFonts w:ascii="Times New Roman" w:hAnsi="Times New Roman"/>
          <w:sz w:val="24"/>
          <w:szCs w:val="24"/>
        </w:rPr>
      </w:pPr>
      <w:bookmarkStart w:id="8" w:name="_Ref361337863"/>
      <w:bookmarkEnd w:id="8"/>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p>
    <w:p>
      <w:pPr>
        <w:pStyle w:val="Normal"/>
        <w:numPr>
          <w:ilvl w:val="1"/>
          <w:numId w:val="1"/>
        </w:numPr>
        <w:shd w:val="clear" w:color="auto" w:fill="FFFFFF"/>
        <w:tabs>
          <w:tab w:val="clear" w:pos="708"/>
          <w:tab w:val="left" w:pos="0" w:leader="none"/>
          <w:tab w:val="left" w:pos="1134" w:leader="none"/>
        </w:tabs>
        <w:ind w:left="0" w:firstLine="709"/>
        <w:jc w:val="both"/>
        <w:rPr>
          <w:rFonts w:ascii="Times New Roman" w:hAnsi="Times New Roman"/>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shd w:val="clear" w:color="auto" w:fill="FFFFFF"/>
        <w:jc w:val="both"/>
        <w:rPr>
          <w:rFonts w:ascii="Times New Roman" w:hAnsi="Times New Roman"/>
          <w:bCs/>
          <w:sz w:val="24"/>
          <w:szCs w:val="24"/>
        </w:rPr>
      </w:pPr>
      <w:r>
        <w:rPr>
          <w:bCs/>
          <w:sz w:val="24"/>
          <w:szCs w:val="24"/>
        </w:rPr>
      </w:r>
    </w:p>
    <w:p>
      <w:pPr>
        <w:pStyle w:val="ListParagraph"/>
        <w:widowControl/>
        <w:numPr>
          <w:ilvl w:val="0"/>
          <w:numId w:val="1"/>
        </w:numPr>
        <w:shd w:val="clear" w:color="auto" w:fill="FFFFFF"/>
        <w:tabs>
          <w:tab w:val="clear" w:pos="708"/>
          <w:tab w:val="left" w:pos="426" w:leader="none"/>
        </w:tabs>
        <w:jc w:val="center"/>
        <w:rPr>
          <w:rFonts w:ascii="Times New Roman" w:hAnsi="Times New Roman"/>
          <w:sz w:val="24"/>
          <w:szCs w:val="24"/>
        </w:rPr>
      </w:pPr>
      <w:r>
        <w:rPr>
          <w:b/>
          <w:bCs/>
          <w:sz w:val="24"/>
          <w:szCs w:val="24"/>
        </w:rPr>
        <w:t>Антикоррупционная оговорка</w:t>
      </w:r>
    </w:p>
    <w:p>
      <w:pPr>
        <w:pStyle w:val="ListParagraph"/>
        <w:widowControl/>
        <w:numPr>
          <w:ilvl w:val="1"/>
          <w:numId w:val="1"/>
        </w:numPr>
        <w:shd w:val="clear" w:color="auto" w:fill="FFFFFF"/>
        <w:tabs>
          <w:tab w:val="clear" w:pos="708"/>
          <w:tab w:val="left" w:pos="1418" w:leader="none"/>
        </w:tabs>
        <w:ind w:left="0" w:firstLine="709"/>
        <w:jc w:val="both"/>
        <w:rPr>
          <w:rFonts w:ascii="Times New Roman" w:hAnsi="Times New Roman"/>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widowControl/>
        <w:numPr>
          <w:ilvl w:val="1"/>
          <w:numId w:val="1"/>
        </w:numPr>
        <w:shd w:val="clear" w:color="auto" w:fill="FFFFFF"/>
        <w:tabs>
          <w:tab w:val="clear" w:pos="708"/>
          <w:tab w:val="left" w:pos="1418" w:leader="none"/>
        </w:tabs>
        <w:ind w:left="0" w:firstLine="709"/>
        <w:jc w:val="both"/>
        <w:rPr>
          <w:rFonts w:ascii="Times New Roman" w:hAnsi="Times New Roman"/>
          <w:sz w:val="24"/>
          <w:szCs w:val="24"/>
        </w:rPr>
      </w:pPr>
      <w:r>
        <w:rPr>
          <w:bCs/>
          <w:color w:val="000000"/>
          <w:sz w:val="24"/>
          <w:szCs w:val="24"/>
        </w:rPr>
        <w:t xml:space="preserve">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w:t>
      </w:r>
      <w:r>
        <w:rPr>
          <w:bCs/>
          <w:color w:val="000000"/>
          <w:sz w:val="24"/>
          <w:szCs w:val="24"/>
          <w:shd w:fill="FFFFFF" w:val="clear"/>
        </w:rPr>
        <w:t>Применимым правом</w:t>
      </w:r>
      <w:r>
        <w:rPr>
          <w:bCs/>
          <w:color w:val="000000"/>
          <w:sz w:val="24"/>
          <w:szCs w:val="24"/>
        </w:rPr>
        <w:t xml:space="preserve">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numPr>
          <w:ilvl w:val="1"/>
          <w:numId w:val="1"/>
        </w:numPr>
        <w:shd w:val="clear" w:color="auto" w:fill="FFFFFF"/>
        <w:tabs>
          <w:tab w:val="clear" w:pos="708"/>
          <w:tab w:val="left" w:pos="1418" w:leader="none"/>
        </w:tabs>
        <w:ind w:left="0" w:firstLine="709"/>
        <w:jc w:val="both"/>
        <w:rPr>
          <w:rFonts w:ascii="Times New Roman" w:hAnsi="Times New Roman"/>
          <w:sz w:val="24"/>
          <w:szCs w:val="24"/>
        </w:rPr>
      </w:pP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numPr>
          <w:ilvl w:val="1"/>
          <w:numId w:val="1"/>
        </w:numPr>
        <w:shd w:val="clear" w:color="auto" w:fill="FFFFFF"/>
        <w:tabs>
          <w:tab w:val="clear" w:pos="708"/>
          <w:tab w:val="left" w:pos="1418" w:leader="none"/>
        </w:tabs>
        <w:ind w:left="0" w:firstLine="709"/>
        <w:jc w:val="both"/>
        <w:rPr>
          <w:rFonts w:ascii="Times New Roman" w:hAnsi="Times New Roman"/>
          <w:sz w:val="24"/>
          <w:szCs w:val="24"/>
        </w:rPr>
      </w:pP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numPr>
          <w:ilvl w:val="1"/>
          <w:numId w:val="1"/>
        </w:numPr>
        <w:shd w:val="clear" w:color="auto" w:fill="FFFFFF"/>
        <w:tabs>
          <w:tab w:val="clear" w:pos="708"/>
          <w:tab w:val="left" w:pos="1418" w:leader="none"/>
        </w:tabs>
        <w:ind w:left="0" w:firstLine="709"/>
        <w:jc w:val="both"/>
        <w:rPr>
          <w:rFonts w:ascii="Times New Roman" w:hAnsi="Times New Roman"/>
          <w:sz w:val="24"/>
          <w:szCs w:val="24"/>
        </w:rPr>
      </w:pPr>
      <w:r>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widowControl/>
        <w:numPr>
          <w:ilvl w:val="1"/>
          <w:numId w:val="1"/>
        </w:numPr>
        <w:shd w:val="clear" w:color="auto" w:fill="FFFFFF"/>
        <w:tabs>
          <w:tab w:val="clear" w:pos="708"/>
          <w:tab w:val="left" w:pos="1418" w:leader="none"/>
        </w:tabs>
        <w:ind w:left="0" w:firstLine="709"/>
        <w:jc w:val="both"/>
        <w:rPr>
          <w:rFonts w:ascii="Times New Roman" w:hAnsi="Times New Roman"/>
          <w:sz w:val="24"/>
          <w:szCs w:val="24"/>
        </w:rPr>
      </w:pPr>
      <w:r>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numPr>
          <w:ilvl w:val="1"/>
          <w:numId w:val="1"/>
        </w:numPr>
        <w:shd w:val="clear" w:color="auto" w:fill="FFFFFF"/>
        <w:tabs>
          <w:tab w:val="clear" w:pos="708"/>
          <w:tab w:val="left" w:pos="567" w:leader="none"/>
          <w:tab w:val="left" w:pos="1418" w:leader="none"/>
        </w:tabs>
        <w:ind w:left="0" w:firstLine="709"/>
        <w:jc w:val="both"/>
        <w:rPr>
          <w:rFonts w:ascii="Times New Roman" w:hAnsi="Times New Roman"/>
          <w:sz w:val="24"/>
          <w:szCs w:val="24"/>
        </w:rPr>
      </w:pPr>
      <w:r>
        <w:rPr>
          <w:color w:val="000000"/>
          <w:sz w:val="24"/>
          <w:szCs w:val="24"/>
        </w:rPr>
        <w:t xml:space="preserve">Каналы связи Линия доверия Группы РусГидро: </w:t>
      </w:r>
    </w:p>
    <w:p>
      <w:pPr>
        <w:pStyle w:val="ListParagraph"/>
        <w:numPr>
          <w:ilvl w:val="2"/>
          <w:numId w:val="1"/>
        </w:numPr>
        <w:shd w:val="clear" w:color="auto" w:fill="FFFFFF"/>
        <w:tabs>
          <w:tab w:val="clear" w:pos="708"/>
          <w:tab w:val="left" w:pos="567" w:leader="none"/>
          <w:tab w:val="left" w:pos="1418" w:leader="none"/>
        </w:tabs>
        <w:ind w:left="0" w:firstLine="709"/>
        <w:jc w:val="both"/>
        <w:rPr>
          <w:rFonts w:ascii="Times New Roman" w:hAnsi="Times New Roman"/>
          <w:sz w:val="24"/>
          <w:szCs w:val="24"/>
        </w:rPr>
      </w:pPr>
      <w:r>
        <w:rPr>
          <w:sz w:val="24"/>
          <w:szCs w:val="24"/>
        </w:rPr>
        <w:t>Электронная почта: ld@rushydro.ru.</w:t>
      </w:r>
    </w:p>
    <w:p>
      <w:pPr>
        <w:pStyle w:val="ListParagraph"/>
        <w:numPr>
          <w:ilvl w:val="2"/>
          <w:numId w:val="1"/>
        </w:numPr>
        <w:shd w:val="clear" w:color="auto" w:fill="FFFFFF"/>
        <w:tabs>
          <w:tab w:val="clear" w:pos="708"/>
          <w:tab w:val="left" w:pos="567" w:leader="none"/>
          <w:tab w:val="left" w:pos="1418" w:leader="none"/>
        </w:tabs>
        <w:ind w:left="0" w:firstLine="709"/>
        <w:jc w:val="both"/>
        <w:rPr>
          <w:rFonts w:ascii="Times New Roman" w:hAnsi="Times New Roman"/>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widowControl/>
        <w:numPr>
          <w:ilvl w:val="2"/>
          <w:numId w:val="1"/>
        </w:numPr>
        <w:tabs>
          <w:tab w:val="clear" w:pos="708"/>
          <w:tab w:val="left" w:pos="1418" w:leader="none"/>
        </w:tabs>
        <w:spacing w:lineRule="auto" w:line="259" w:before="0" w:after="160"/>
        <w:ind w:left="0" w:firstLine="709"/>
        <w:contextualSpacing/>
        <w:jc w:val="both"/>
        <w:rPr>
          <w:rFonts w:ascii="Times New Roman" w:hAnsi="Times New Roman"/>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8"/>
          <w:tab w:val="left" w:pos="0" w:leader="none"/>
          <w:tab w:val="left" w:pos="284" w:leader="none"/>
          <w:tab w:val="left" w:pos="567" w:leader="none"/>
        </w:tabs>
        <w:ind w:left="0" w:firstLine="709"/>
        <w:jc w:val="both"/>
        <w:rPr>
          <w:rFonts w:ascii="Times New Roman" w:hAnsi="Times New Roman"/>
          <w:b/>
          <w:b/>
          <w:bCs/>
          <w:sz w:val="24"/>
          <w:szCs w:val="24"/>
        </w:rPr>
      </w:pPr>
      <w:r>
        <w:rPr>
          <w:b/>
          <w:bCs/>
          <w:sz w:val="24"/>
          <w:szCs w:val="24"/>
        </w:rPr>
      </w:r>
    </w:p>
    <w:p>
      <w:pPr>
        <w:pStyle w:val="ListParagraph"/>
        <w:widowControl/>
        <w:numPr>
          <w:ilvl w:val="0"/>
          <w:numId w:val="1"/>
        </w:numPr>
        <w:shd w:val="clear" w:color="auto" w:fill="FFFFFF"/>
        <w:tabs>
          <w:tab w:val="clear" w:pos="708"/>
          <w:tab w:val="left" w:pos="426" w:leader="none"/>
        </w:tabs>
        <w:ind w:left="0" w:hanging="0"/>
        <w:jc w:val="center"/>
        <w:rPr>
          <w:rFonts w:ascii="Times New Roman" w:hAnsi="Times New Roman"/>
          <w:sz w:val="24"/>
          <w:szCs w:val="24"/>
        </w:rPr>
      </w:pPr>
      <w:r>
        <w:rPr>
          <w:b/>
          <w:bCs/>
          <w:sz w:val="24"/>
          <w:szCs w:val="24"/>
        </w:rPr>
        <w:t>Обстоятельства непреодолимой силы (форс-мажор)</w:t>
      </w:r>
    </w:p>
    <w:p>
      <w:pPr>
        <w:pStyle w:val="ListParagraph"/>
        <w:widowControl/>
        <w:numPr>
          <w:ilvl w:val="1"/>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Pr>
          <w:bCs/>
          <w:sz w:val="24"/>
          <w:szCs w:val="24"/>
        </w:rPr>
        <w:t>.</w:t>
      </w:r>
    </w:p>
    <w:p>
      <w:pPr>
        <w:pStyle w:val="ListParagraph"/>
        <w:widowControl/>
        <w:numPr>
          <w:ilvl w:val="1"/>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1"/>
        </w:numPr>
        <w:shd w:val="clear" w:color="auto" w:fill="FFFFFF"/>
        <w:tabs>
          <w:tab w:val="clear" w:pos="708"/>
          <w:tab w:val="left" w:pos="0" w:leader="none"/>
          <w:tab w:val="left" w:pos="568" w:leader="none"/>
          <w:tab w:val="left" w:pos="1418" w:leader="none"/>
        </w:tabs>
        <w:ind w:left="0" w:firstLine="709"/>
        <w:jc w:val="both"/>
        <w:rPr>
          <w:rFonts w:ascii="Times New Roman" w:hAnsi="Times New Roman"/>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0" w:leader="none"/>
          <w:tab w:val="left" w:pos="568" w:leader="none"/>
          <w:tab w:val="left" w:pos="1418" w:leader="none"/>
        </w:tabs>
        <w:ind w:left="0" w:firstLine="709"/>
        <w:jc w:val="both"/>
        <w:rPr>
          <w:rFonts w:ascii="Times New Roman" w:hAnsi="Times New Roman"/>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rFonts w:ascii="Times New Roman" w:hAnsi="Times New Roman"/>
          <w:sz w:val="24"/>
          <w:szCs w:val="24"/>
        </w:rPr>
      </w:pPr>
      <w:r>
        <w:rPr>
          <w:sz w:val="24"/>
          <w:szCs w:val="24"/>
        </w:rPr>
      </w:r>
    </w:p>
    <w:p>
      <w:pPr>
        <w:pStyle w:val="Normal"/>
        <w:widowControl/>
        <w:numPr>
          <w:ilvl w:val="0"/>
          <w:numId w:val="1"/>
        </w:numPr>
        <w:shd w:val="clear" w:color="auto" w:fill="FFFFFF"/>
        <w:tabs>
          <w:tab w:val="clear" w:pos="708"/>
          <w:tab w:val="left" w:pos="426" w:leader="none"/>
        </w:tabs>
        <w:spacing w:lineRule="auto" w:line="259" w:before="0" w:after="0"/>
        <w:ind w:left="0" w:hanging="0"/>
        <w:contextualSpacing/>
        <w:jc w:val="center"/>
        <w:rPr>
          <w:rFonts w:ascii="Times New Roman" w:hAnsi="Times New Roman"/>
          <w:sz w:val="24"/>
          <w:szCs w:val="24"/>
        </w:rPr>
      </w:pPr>
      <w:r>
        <w:rPr>
          <w:b/>
          <w:bCs/>
          <w:sz w:val="24"/>
          <w:szCs w:val="24"/>
        </w:rPr>
        <w:t>Особые положения</w:t>
      </w:r>
    </w:p>
    <w:p>
      <w:pPr>
        <w:pStyle w:val="ListParagraph"/>
        <w:widowControl/>
        <w:numPr>
          <w:ilvl w:val="1"/>
          <w:numId w:val="1"/>
        </w:numPr>
        <w:shd w:val="clear" w:color="auto" w:fill="FFFFFF"/>
        <w:tabs>
          <w:tab w:val="clear" w:pos="708"/>
          <w:tab w:val="left" w:pos="0" w:leader="none"/>
          <w:tab w:val="left" w:pos="568" w:leader="none"/>
          <w:tab w:val="left" w:pos="1418" w:leader="none"/>
        </w:tabs>
        <w:ind w:left="0" w:firstLine="709"/>
        <w:jc w:val="both"/>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z w:val="24"/>
            <w:szCs w:val="24"/>
          </w:rPr>
          <w:t>Критери</w:t>
        </w:r>
      </w:hyperlink>
      <w:r>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ListParagraph"/>
        <w:widowControl/>
        <w:numPr>
          <w:ilvl w:val="1"/>
          <w:numId w:val="1"/>
        </w:numPr>
        <w:shd w:val="clear" w:color="auto" w:fill="FFFFFF"/>
        <w:tabs>
          <w:tab w:val="clear" w:pos="708"/>
          <w:tab w:val="left" w:pos="0" w:leader="none"/>
          <w:tab w:val="left" w:pos="568" w:leader="none"/>
          <w:tab w:val="left" w:pos="1418" w:leader="none"/>
        </w:tabs>
        <w:ind w:left="0" w:firstLine="709"/>
        <w:jc w:val="both"/>
        <w:rPr>
          <w:rFonts w:ascii="Times New Roman" w:hAnsi="Times New Roman"/>
          <w:sz w:val="24"/>
          <w:szCs w:val="24"/>
        </w:rPr>
      </w:pPr>
      <w:r>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10.1 Договора, а также обеспечить прекращение участия таких организаций в исполнении Договора.</w:t>
      </w:r>
    </w:p>
    <w:p>
      <w:pPr>
        <w:pStyle w:val="ListParagraph"/>
        <w:widowControl/>
        <w:numPr>
          <w:ilvl w:val="1"/>
          <w:numId w:val="1"/>
        </w:numPr>
        <w:shd w:val="clear" w:color="auto" w:fill="FFFFFF"/>
        <w:tabs>
          <w:tab w:val="clear" w:pos="708"/>
          <w:tab w:val="left" w:pos="0" w:leader="none"/>
          <w:tab w:val="left" w:pos="568" w:leader="none"/>
          <w:tab w:val="left" w:pos="1418" w:leader="none"/>
        </w:tabs>
        <w:ind w:left="0" w:firstLine="709"/>
        <w:jc w:val="both"/>
        <w:rPr>
          <w:rFonts w:ascii="Times New Roman" w:hAnsi="Times New Roman"/>
          <w:sz w:val="24"/>
          <w:szCs w:val="24"/>
        </w:rPr>
      </w:pPr>
      <w:r>
        <w:rPr>
          <w:bCs/>
          <w:sz w:val="24"/>
          <w:szCs w:val="24"/>
        </w:rPr>
        <w:t>В случае нарушения Поставщиком обязательств, установленных пунктами 10.1, 10.2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widowControl/>
        <w:numPr>
          <w:ilvl w:val="1"/>
          <w:numId w:val="1"/>
        </w:numPr>
        <w:shd w:val="clear" w:color="auto" w:fill="FFFFFF"/>
        <w:tabs>
          <w:tab w:val="clear" w:pos="708"/>
          <w:tab w:val="left" w:pos="0" w:leader="none"/>
          <w:tab w:val="left" w:pos="568" w:leader="none"/>
          <w:tab w:val="left" w:pos="1418" w:leader="none"/>
        </w:tabs>
        <w:ind w:left="0" w:firstLine="709"/>
        <w:jc w:val="both"/>
        <w:rPr>
          <w:rFonts w:ascii="Times New Roman" w:hAnsi="Times New Roman"/>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p>
    <w:p>
      <w:pPr>
        <w:pStyle w:val="ListParagraph"/>
        <w:widowControl/>
        <w:numPr>
          <w:ilvl w:val="1"/>
          <w:numId w:val="1"/>
        </w:numPr>
        <w:shd w:val="clear" w:color="auto" w:fill="FFFFFF"/>
        <w:tabs>
          <w:tab w:val="clear" w:pos="708"/>
          <w:tab w:val="left" w:pos="284" w:leader="none"/>
          <w:tab w:val="left" w:pos="568" w:leader="none"/>
          <w:tab w:val="left" w:pos="1418" w:leader="none"/>
        </w:tabs>
        <w:ind w:left="0" w:firstLine="709"/>
        <w:jc w:val="both"/>
        <w:rPr>
          <w:rFonts w:ascii="Times New Roman" w:hAnsi="Times New Roman"/>
          <w:sz w:val="24"/>
          <w:szCs w:val="24"/>
        </w:rPr>
      </w:pPr>
      <w:r>
        <w:rPr>
          <w:bCs/>
          <w:sz w:val="24"/>
          <w:szCs w:val="24"/>
        </w:rPr>
        <w:t>Штраф, предусмотренный пунктом 10.4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10.3 Договора.</w:t>
      </w:r>
    </w:p>
    <w:p>
      <w:pPr>
        <w:pStyle w:val="ListParagraph"/>
        <w:widowControl/>
        <w:numPr>
          <w:ilvl w:val="1"/>
          <w:numId w:val="1"/>
        </w:numPr>
        <w:shd w:val="clear" w:color="auto" w:fill="FFFFFF"/>
        <w:tabs>
          <w:tab w:val="clear" w:pos="708"/>
          <w:tab w:val="left" w:pos="284" w:leader="none"/>
          <w:tab w:val="left" w:pos="568" w:leader="none"/>
          <w:tab w:val="left" w:pos="1418" w:leader="none"/>
        </w:tabs>
        <w:ind w:left="0" w:firstLine="709"/>
        <w:jc w:val="both"/>
        <w:rPr>
          <w:rFonts w:ascii="Times New Roman" w:hAnsi="Times New Roman"/>
          <w:sz w:val="24"/>
          <w:szCs w:val="24"/>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1"/>
        </w:numPr>
        <w:shd w:val="clear" w:color="auto" w:fill="FFFFFF"/>
        <w:tabs>
          <w:tab w:val="clear" w:pos="708"/>
          <w:tab w:val="left" w:pos="284" w:leader="none"/>
          <w:tab w:val="left" w:pos="568" w:leader="none"/>
          <w:tab w:val="left" w:pos="1418" w:leader="none"/>
        </w:tabs>
        <w:ind w:left="0" w:firstLine="709"/>
        <w:jc w:val="both"/>
        <w:rPr>
          <w:rFonts w:ascii="Times New Roman" w:hAnsi="Times New Roman"/>
          <w:sz w:val="24"/>
          <w:szCs w:val="24"/>
        </w:rPr>
      </w:pPr>
      <w:r>
        <w:rPr>
          <w:bCs/>
          <w:sz w:val="24"/>
          <w:szCs w:val="24"/>
        </w:rPr>
        <w:t>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Normal"/>
        <w:shd w:val="clear" w:color="auto" w:fill="FFFFFF"/>
        <w:jc w:val="both"/>
        <w:rPr>
          <w:rFonts w:ascii="Times New Roman" w:hAnsi="Times New Roman"/>
          <w:sz w:val="24"/>
          <w:szCs w:val="24"/>
        </w:rPr>
      </w:pPr>
      <w:r>
        <w:rPr>
          <w:sz w:val="24"/>
          <w:szCs w:val="24"/>
        </w:rPr>
      </w:r>
    </w:p>
    <w:p>
      <w:pPr>
        <w:pStyle w:val="ListParagraph"/>
        <w:widowControl/>
        <w:numPr>
          <w:ilvl w:val="0"/>
          <w:numId w:val="1"/>
        </w:numPr>
        <w:shd w:val="clear" w:color="auto" w:fill="FFFFFF"/>
        <w:tabs>
          <w:tab w:val="clear" w:pos="708"/>
          <w:tab w:val="left" w:pos="426" w:leader="none"/>
          <w:tab w:val="left" w:pos="567" w:leader="none"/>
        </w:tabs>
        <w:ind w:left="0" w:hanging="0"/>
        <w:jc w:val="center"/>
        <w:rPr>
          <w:rFonts w:ascii="Times New Roman" w:hAnsi="Times New Roman"/>
          <w:sz w:val="24"/>
          <w:szCs w:val="24"/>
        </w:rPr>
      </w:pPr>
      <w:r>
        <w:rPr>
          <w:b/>
          <w:bCs/>
          <w:sz w:val="24"/>
          <w:szCs w:val="24"/>
        </w:rPr>
        <w:t>Заверения</w:t>
      </w:r>
      <w:r>
        <w:rPr>
          <w:b/>
          <w:sz w:val="24"/>
          <w:szCs w:val="24"/>
        </w:rPr>
        <w:t xml:space="preserve"> Сторон</w:t>
      </w:r>
    </w:p>
    <w:p>
      <w:pPr>
        <w:pStyle w:val="ListParagraph"/>
        <w:widowControl/>
        <w:numPr>
          <w:ilvl w:val="1"/>
          <w:numId w:val="1"/>
        </w:numPr>
        <w:shd w:val="clear" w:color="auto" w:fill="FFFFFF"/>
        <w:tabs>
          <w:tab w:val="clear" w:pos="708"/>
          <w:tab w:val="left" w:pos="0" w:leader="none"/>
          <w:tab w:val="left" w:pos="1134" w:leader="none"/>
          <w:tab w:val="left" w:pos="1418" w:leader="none"/>
        </w:tabs>
        <w:ind w:left="0" w:firstLine="709"/>
        <w:jc w:val="both"/>
        <w:rPr>
          <w:rFonts w:ascii="Times New Roman" w:hAnsi="Times New Roman"/>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8"/>
        </w:numPr>
        <w:shd w:val="clear" w:color="auto" w:fill="FFFFFF"/>
        <w:tabs>
          <w:tab w:val="clear" w:pos="708"/>
          <w:tab w:val="left" w:pos="0" w:leader="none"/>
          <w:tab w:val="left" w:pos="709" w:leader="none"/>
          <w:tab w:val="left" w:pos="1418" w:leader="none"/>
        </w:tabs>
        <w:ind w:left="0" w:firstLine="709"/>
        <w:jc w:val="both"/>
        <w:rPr>
          <w:rFonts w:ascii="Times New Roman" w:hAnsi="Times New Roman"/>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8"/>
        </w:numPr>
        <w:shd w:val="clear" w:color="auto" w:fill="FFFFFF"/>
        <w:tabs>
          <w:tab w:val="clear" w:pos="708"/>
          <w:tab w:val="left" w:pos="0" w:leader="none"/>
          <w:tab w:val="left" w:pos="709" w:leader="none"/>
          <w:tab w:val="left" w:pos="1418" w:leader="none"/>
        </w:tabs>
        <w:ind w:left="0" w:firstLine="709"/>
        <w:jc w:val="both"/>
        <w:rPr>
          <w:rFonts w:ascii="Times New Roman" w:hAnsi="Times New Roman"/>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8"/>
        </w:numPr>
        <w:shd w:val="clear" w:color="auto" w:fill="FFFFFF"/>
        <w:tabs>
          <w:tab w:val="clear" w:pos="708"/>
          <w:tab w:val="left" w:pos="0" w:leader="none"/>
          <w:tab w:val="left" w:pos="709" w:leader="none"/>
          <w:tab w:val="left" w:pos="1418" w:leader="none"/>
        </w:tabs>
        <w:ind w:left="0" w:firstLine="709"/>
        <w:jc w:val="both"/>
        <w:rPr>
          <w:rFonts w:ascii="Times New Roman" w:hAnsi="Times New Roman"/>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8"/>
        </w:numPr>
        <w:shd w:val="clear" w:color="auto" w:fill="FFFFFF"/>
        <w:tabs>
          <w:tab w:val="clear" w:pos="708"/>
          <w:tab w:val="left" w:pos="0" w:leader="none"/>
          <w:tab w:val="left" w:pos="709" w:leader="none"/>
          <w:tab w:val="left" w:pos="1418" w:leader="none"/>
        </w:tabs>
        <w:ind w:left="0" w:firstLine="709"/>
        <w:jc w:val="both"/>
        <w:rPr>
          <w:rFonts w:ascii="Times New Roman" w:hAnsi="Times New Roman"/>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8"/>
        </w:numPr>
        <w:shd w:val="clear" w:color="auto" w:fill="FFFFFF"/>
        <w:tabs>
          <w:tab w:val="clear" w:pos="708"/>
          <w:tab w:val="left" w:pos="0" w:leader="none"/>
          <w:tab w:val="left" w:pos="709" w:leader="none"/>
          <w:tab w:val="left" w:pos="1418" w:leader="none"/>
        </w:tabs>
        <w:ind w:left="0" w:firstLine="709"/>
        <w:jc w:val="both"/>
        <w:rPr>
          <w:rFonts w:ascii="Times New Roman" w:hAnsi="Times New Roman"/>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10"/>
        </w:numPr>
        <w:shd w:val="clear" w:color="auto" w:fill="FFFFFF"/>
        <w:tabs>
          <w:tab w:val="clear" w:pos="708"/>
          <w:tab w:val="left" w:pos="0" w:leader="none"/>
          <w:tab w:val="left" w:pos="709" w:leader="none"/>
        </w:tabs>
        <w:ind w:left="0" w:firstLine="709"/>
        <w:jc w:val="both"/>
        <w:rPr>
          <w:rFonts w:ascii="Times New Roman" w:hAnsi="Times New Roman"/>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0"/>
        </w:numPr>
        <w:shd w:val="clear" w:color="auto" w:fill="FFFFFF"/>
        <w:tabs>
          <w:tab w:val="clear" w:pos="708"/>
          <w:tab w:val="left" w:pos="0" w:leader="none"/>
          <w:tab w:val="left" w:pos="709" w:leader="none"/>
        </w:tabs>
        <w:ind w:left="0" w:firstLine="709"/>
        <w:jc w:val="both"/>
        <w:rPr>
          <w:rFonts w:ascii="Times New Roman" w:hAnsi="Times New Roman"/>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0"/>
        </w:numPr>
        <w:shd w:val="clear" w:color="auto" w:fill="FFFFFF"/>
        <w:tabs>
          <w:tab w:val="clear" w:pos="708"/>
          <w:tab w:val="left" w:pos="0" w:leader="none"/>
          <w:tab w:val="left" w:pos="709" w:leader="none"/>
        </w:tabs>
        <w:ind w:left="0" w:firstLine="709"/>
        <w:jc w:val="both"/>
        <w:rPr>
          <w:rFonts w:ascii="Times New Roman" w:hAnsi="Times New Roman"/>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10"/>
        </w:numPr>
        <w:shd w:val="clear" w:color="auto" w:fill="FFFFFF"/>
        <w:tabs>
          <w:tab w:val="clear" w:pos="708"/>
          <w:tab w:val="left" w:pos="0" w:leader="none"/>
          <w:tab w:val="left" w:pos="709" w:leader="none"/>
        </w:tabs>
        <w:ind w:left="0" w:firstLine="709"/>
        <w:jc w:val="both"/>
        <w:rPr>
          <w:rFonts w:ascii="Times New Roman" w:hAnsi="Times New Roman"/>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9"/>
        </w:numPr>
        <w:shd w:val="clear" w:color="auto" w:fill="FFFFFF"/>
        <w:tabs>
          <w:tab w:val="clear" w:pos="708"/>
          <w:tab w:val="left" w:pos="0" w:leader="none"/>
          <w:tab w:val="left" w:pos="567" w:leader="none"/>
        </w:tabs>
        <w:ind w:left="0" w:firstLine="709"/>
        <w:jc w:val="both"/>
        <w:rPr>
          <w:rFonts w:ascii="Times New Roman" w:hAnsi="Times New Roman"/>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9"/>
        </w:numPr>
        <w:shd w:val="clear" w:color="auto" w:fill="FFFFFF"/>
        <w:tabs>
          <w:tab w:val="clear" w:pos="708"/>
          <w:tab w:val="left" w:pos="0" w:leader="none"/>
          <w:tab w:val="left" w:pos="567" w:leader="none"/>
        </w:tabs>
        <w:ind w:left="0" w:firstLine="709"/>
        <w:jc w:val="both"/>
        <w:rPr>
          <w:rFonts w:ascii="Times New Roman" w:hAnsi="Times New Roman"/>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9"/>
        </w:numPr>
        <w:shd w:val="clear" w:color="auto" w:fill="FFFFFF"/>
        <w:tabs>
          <w:tab w:val="clear" w:pos="708"/>
          <w:tab w:val="left" w:pos="0" w:leader="none"/>
          <w:tab w:val="left" w:pos="567" w:leader="none"/>
        </w:tabs>
        <w:ind w:left="0" w:firstLine="709"/>
        <w:jc w:val="both"/>
        <w:rPr>
          <w:rFonts w:ascii="Times New Roman" w:hAnsi="Times New Roman"/>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9"/>
        </w:numPr>
        <w:shd w:val="clear" w:color="auto" w:fill="FFFFFF"/>
        <w:tabs>
          <w:tab w:val="clear" w:pos="708"/>
          <w:tab w:val="left" w:pos="0" w:leader="none"/>
          <w:tab w:val="left" w:pos="567" w:leader="none"/>
        </w:tabs>
        <w:ind w:left="0" w:firstLine="709"/>
        <w:jc w:val="both"/>
        <w:rPr>
          <w:rFonts w:ascii="Times New Roman" w:hAnsi="Times New Roman"/>
          <w:sz w:val="24"/>
          <w:szCs w:val="24"/>
        </w:rPr>
      </w:pPr>
      <w:r>
        <w:rPr>
          <w:sz w:val="24"/>
          <w:szCs w:val="24"/>
        </w:rPr>
        <w:t xml:space="preserve">вся информация, предоставленная Покупателю, является достоверной, полной </w:t>
        <w:br/>
        <w:t>и точной, и Поставщик не скрыл никаких обстоятельств, которые при их обнаружении могли</w:t>
        <w:br/>
        <w:t>бы негативно повлиять на решение Покупателя заключить Договор на указанных в нем условиях.</w:t>
      </w:r>
    </w:p>
    <w:p>
      <w:pPr>
        <w:pStyle w:val="Normal"/>
        <w:widowControl/>
        <w:numPr>
          <w:ilvl w:val="1"/>
          <w:numId w:val="1"/>
        </w:numPr>
        <w:tabs>
          <w:tab w:val="clear" w:pos="708"/>
          <w:tab w:val="left" w:pos="0" w:leader="none"/>
          <w:tab w:val="left" w:pos="1418" w:leader="none"/>
        </w:tabs>
        <w:ind w:left="0" w:firstLine="709"/>
        <w:jc w:val="both"/>
        <w:rPr>
          <w:rFonts w:ascii="Times New Roman" w:hAnsi="Times New Roman"/>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обязан по письменному требованию Покупателя уплатить последнему штраф в размере 5 (пяти) % от Цены Договора, указанной в пункте 2.1 Договора.</w:t>
      </w:r>
    </w:p>
    <w:p>
      <w:pPr>
        <w:pStyle w:val="ListParagraph"/>
        <w:widowControl/>
        <w:numPr>
          <w:ilvl w:val="1"/>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8"/>
          <w:tab w:val="left" w:pos="1134" w:leader="none"/>
          <w:tab w:val="left" w:pos="1418" w:leader="none"/>
        </w:tabs>
        <w:ind w:left="709" w:hanging="0"/>
        <w:jc w:val="both"/>
        <w:rPr>
          <w:rFonts w:ascii="Times New Roman" w:hAnsi="Times New Roman"/>
          <w:sz w:val="24"/>
          <w:szCs w:val="24"/>
        </w:rPr>
      </w:pPr>
      <w:r>
        <w:rPr>
          <w:sz w:val="24"/>
          <w:szCs w:val="24"/>
        </w:rPr>
      </w:r>
    </w:p>
    <w:p>
      <w:pPr>
        <w:pStyle w:val="ListParagraph"/>
        <w:widowControl/>
        <w:numPr>
          <w:ilvl w:val="0"/>
          <w:numId w:val="1"/>
        </w:numPr>
        <w:shd w:val="clear" w:color="auto" w:fill="FFFFFF"/>
        <w:tabs>
          <w:tab w:val="clear" w:pos="708"/>
          <w:tab w:val="left" w:pos="426" w:leader="none"/>
        </w:tabs>
        <w:ind w:left="0" w:hanging="0"/>
        <w:jc w:val="center"/>
        <w:rPr>
          <w:rFonts w:ascii="Times New Roman" w:hAnsi="Times New Roman"/>
          <w:sz w:val="24"/>
          <w:szCs w:val="24"/>
        </w:rPr>
      </w:pPr>
      <w:r>
        <w:rPr>
          <w:b/>
          <w:bCs/>
          <w:sz w:val="24"/>
          <w:szCs w:val="24"/>
        </w:rPr>
        <w:t>П</w:t>
      </w:r>
      <w:r>
        <w:rPr>
          <w:b/>
          <w:sz w:val="24"/>
          <w:szCs w:val="24"/>
        </w:rPr>
        <w:t>рекращение (расторжение) Договора</w:t>
      </w:r>
    </w:p>
    <w:p>
      <w:pPr>
        <w:pStyle w:val="ListParagraph"/>
        <w:widowControl/>
        <w:numPr>
          <w:ilvl w:val="1"/>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14.8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ListParagraph"/>
        <w:widowControl/>
        <w:numPr>
          <w:ilvl w:val="1"/>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7"/>
        </w:numPr>
        <w:tabs>
          <w:tab w:val="clear" w:pos="708"/>
          <w:tab w:val="left" w:pos="0" w:leader="none"/>
          <w:tab w:val="left" w:pos="1418" w:leader="none"/>
        </w:tabs>
        <w:ind w:left="0" w:right="23" w:firstLine="709"/>
        <w:jc w:val="both"/>
        <w:rPr>
          <w:rFonts w:ascii="Times New Roman" w:hAnsi="Times New Roman"/>
          <w:sz w:val="24"/>
          <w:szCs w:val="24"/>
        </w:rPr>
      </w:pPr>
      <w:r>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pPr>
        <w:pStyle w:val="ListParagraph"/>
        <w:widowControl/>
        <w:numPr>
          <w:ilvl w:val="0"/>
          <w:numId w:val="7"/>
        </w:numPr>
        <w:tabs>
          <w:tab w:val="clear" w:pos="708"/>
          <w:tab w:val="left" w:pos="0" w:leader="none"/>
          <w:tab w:val="left" w:pos="1418" w:leader="none"/>
        </w:tabs>
        <w:ind w:left="0" w:right="23" w:firstLine="709"/>
        <w:jc w:val="both"/>
        <w:rPr>
          <w:rFonts w:ascii="Times New Roman" w:hAnsi="Times New Roman"/>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7"/>
        </w:numPr>
        <w:tabs>
          <w:tab w:val="clear" w:pos="708"/>
          <w:tab w:val="left" w:pos="0" w:leader="none"/>
          <w:tab w:val="left" w:pos="1418" w:leader="none"/>
        </w:tabs>
        <w:ind w:left="0" w:right="23" w:firstLine="709"/>
        <w:jc w:val="both"/>
        <w:rPr>
          <w:rFonts w:ascii="Times New Roman" w:hAnsi="Times New Roman"/>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7"/>
        </w:numPr>
        <w:tabs>
          <w:tab w:val="clear" w:pos="708"/>
          <w:tab w:val="left" w:pos="0" w:leader="none"/>
          <w:tab w:val="left" w:pos="1418" w:leader="none"/>
        </w:tabs>
        <w:ind w:left="0" w:right="23" w:firstLine="709"/>
        <w:jc w:val="both"/>
        <w:rPr>
          <w:rFonts w:ascii="Times New Roman" w:hAnsi="Times New Roman"/>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7"/>
        </w:numPr>
        <w:tabs>
          <w:tab w:val="clear" w:pos="708"/>
          <w:tab w:val="left" w:pos="0" w:leader="none"/>
          <w:tab w:val="left" w:pos="1418" w:leader="none"/>
        </w:tabs>
        <w:ind w:left="0" w:right="23" w:firstLine="709"/>
        <w:jc w:val="both"/>
        <w:rPr>
          <w:rFonts w:ascii="Times New Roman" w:hAnsi="Times New Roman"/>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br/>
        <w:t>об обстоятельствах, указанных в разделе 11 Договора, и имеющих существенное значение для его заключения и исполнения.</w:t>
      </w:r>
    </w:p>
    <w:p>
      <w:pPr>
        <w:pStyle w:val="ListParagraph"/>
        <w:widowControl/>
        <w:numPr>
          <w:ilvl w:val="1"/>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sz w:val="24"/>
          <w:szCs w:val="24"/>
        </w:rPr>
        <w:t xml:space="preserve">В случае отказа Покупателя от Договора в случаях, предусмотренных пунктами 12.2,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8"/>
          <w:tab w:val="left" w:pos="1134" w:leader="none"/>
        </w:tabs>
        <w:ind w:left="709" w:hanging="0"/>
        <w:jc w:val="both"/>
        <w:rPr>
          <w:rFonts w:ascii="Times New Roman" w:hAnsi="Times New Roman"/>
          <w:sz w:val="24"/>
          <w:szCs w:val="24"/>
        </w:rPr>
      </w:pPr>
      <w:r>
        <w:rPr>
          <w:sz w:val="24"/>
          <w:szCs w:val="24"/>
        </w:rPr>
      </w:r>
    </w:p>
    <w:p>
      <w:pPr>
        <w:pStyle w:val="ListParagraph"/>
        <w:widowControl/>
        <w:numPr>
          <w:ilvl w:val="0"/>
          <w:numId w:val="1"/>
        </w:numPr>
        <w:shd w:val="clear" w:color="auto" w:fill="FFFFFF"/>
        <w:tabs>
          <w:tab w:val="clear" w:pos="708"/>
          <w:tab w:val="left" w:pos="426" w:leader="none"/>
        </w:tabs>
        <w:ind w:left="0" w:hanging="0"/>
        <w:jc w:val="center"/>
        <w:rPr>
          <w:rFonts w:ascii="Times New Roman" w:hAnsi="Times New Roman"/>
          <w:sz w:val="24"/>
          <w:szCs w:val="24"/>
        </w:rPr>
      </w:pPr>
      <w:r>
        <w:rPr>
          <w:b/>
          <w:bCs/>
          <w:sz w:val="24"/>
          <w:szCs w:val="24"/>
        </w:rPr>
        <w:t>Разрешение споров</w:t>
      </w:r>
    </w:p>
    <w:p>
      <w:pPr>
        <w:pStyle w:val="ListParagraph"/>
        <w:widowControl/>
        <w:numPr>
          <w:ilvl w:val="1"/>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bCs/>
          <w:sz w:val="24"/>
          <w:szCs w:val="24"/>
        </w:rPr>
        <w:t>Споры, указанные в пункте 13.1 Договора, которые не были урегулированы Сторонами путем переговоров, подлежат разрешению в Арбитражном суде Амурской области в соответствии с законодательством Российской Федерации, за исключением споров из Банковской гарантии, подсудность которых предусмотрена пунктом 5.1.9 Договора.</w:t>
      </w:r>
    </w:p>
    <w:p>
      <w:pPr>
        <w:pStyle w:val="ListParagraph"/>
        <w:widowControl/>
        <w:numPr>
          <w:ilvl w:val="1"/>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14.8 Договора.</w:t>
      </w:r>
    </w:p>
    <w:p>
      <w:pPr>
        <w:pStyle w:val="ListParagraph"/>
        <w:widowControl/>
        <w:numPr>
          <w:ilvl w:val="1"/>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pPr>
        <w:pStyle w:val="ListParagraph"/>
        <w:widowControl/>
        <w:shd w:val="clear" w:color="auto" w:fill="FFFFFF"/>
        <w:tabs>
          <w:tab w:val="clear" w:pos="708"/>
          <w:tab w:val="left" w:pos="0" w:leader="none"/>
        </w:tabs>
        <w:ind w:left="709" w:hanging="0"/>
        <w:jc w:val="both"/>
        <w:rPr>
          <w:rFonts w:ascii="Times New Roman" w:hAnsi="Times New Roman"/>
          <w:bCs/>
          <w:sz w:val="24"/>
          <w:szCs w:val="24"/>
        </w:rPr>
      </w:pPr>
      <w:r>
        <w:rPr>
          <w:bCs/>
          <w:sz w:val="24"/>
          <w:szCs w:val="24"/>
        </w:rPr>
      </w:r>
    </w:p>
    <w:p>
      <w:pPr>
        <w:pStyle w:val="ListParagraph"/>
        <w:widowControl/>
        <w:numPr>
          <w:ilvl w:val="0"/>
          <w:numId w:val="1"/>
        </w:numPr>
        <w:shd w:val="clear" w:color="auto" w:fill="FFFFFF"/>
        <w:tabs>
          <w:tab w:val="clear" w:pos="708"/>
          <w:tab w:val="left" w:pos="426" w:leader="none"/>
        </w:tabs>
        <w:ind w:left="0" w:hanging="0"/>
        <w:jc w:val="center"/>
        <w:rPr>
          <w:rFonts w:ascii="Times New Roman" w:hAnsi="Times New Roman"/>
          <w:sz w:val="24"/>
          <w:szCs w:val="24"/>
        </w:rPr>
      </w:pPr>
      <w:r>
        <w:rPr>
          <w:b/>
          <w:bCs/>
          <w:sz w:val="24"/>
          <w:szCs w:val="24"/>
        </w:rPr>
        <w:t>Заключительные положения</w:t>
      </w:r>
    </w:p>
    <w:p>
      <w:pPr>
        <w:pStyle w:val="ListParagraph"/>
        <w:widowControl/>
        <w:numPr>
          <w:ilvl w:val="1"/>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r>
        <w:rPr>
          <w:sz w:val="24"/>
          <w:szCs w:val="24"/>
          <w:highlight w:val="lightGray"/>
        </w:rPr>
        <w:t xml:space="preserve">В соответствии с пунктом 2 статьи 425 ГК РФ, условия Договора применяются к отношениям Сторон, возникшим </w:t>
        <w:br/>
        <w:t>с __________</w:t>
      </w:r>
      <w:r>
        <w:rPr>
          <w:sz w:val="24"/>
          <w:szCs w:val="24"/>
        </w:rPr>
        <w:t>.</w:t>
      </w:r>
    </w:p>
    <w:p>
      <w:pPr>
        <w:pStyle w:val="ListParagraph"/>
        <w:widowControl/>
        <w:numPr>
          <w:ilvl w:val="1"/>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sz w:val="24"/>
          <w:szCs w:val="24"/>
          <w:highlight w:val="lightGray"/>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ListParagraph"/>
        <w:shd w:val="clear" w:color="auto" w:fill="FFFFFF"/>
        <w:tabs>
          <w:tab w:val="clear" w:pos="708"/>
          <w:tab w:val="left" w:pos="1134" w:leader="none"/>
        </w:tabs>
        <w:ind w:left="0" w:firstLine="709"/>
        <w:jc w:val="both"/>
        <w:rPr>
          <w:rFonts w:ascii="Times New Roman" w:hAnsi="Times New Roman"/>
          <w:sz w:val="24"/>
          <w:szCs w:val="24"/>
        </w:rPr>
      </w:pPr>
      <w:r>
        <w:rPr>
          <w:sz w:val="24"/>
          <w:szCs w:val="24"/>
          <w:highlight w:val="lightGray"/>
        </w:rPr>
        <w:t xml:space="preserve">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r>
        <w:rPr>
          <w:rStyle w:val="Style19"/>
          <w:sz w:val="24"/>
          <w:szCs w:val="24"/>
          <w:highlight w:val="lightGray"/>
        </w:rPr>
        <w:footnoteReference w:id="12"/>
      </w:r>
    </w:p>
    <w:p>
      <w:pPr>
        <w:pStyle w:val="ListParagraph"/>
        <w:widowControl/>
        <w:numPr>
          <w:ilvl w:val="1"/>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14.7 Договора. </w:t>
      </w:r>
    </w:p>
    <w:p>
      <w:pPr>
        <w:pStyle w:val="ListParagraph"/>
        <w:widowControl/>
        <w:numPr>
          <w:ilvl w:val="1"/>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в письменной форме в порядке, предусмотренном пунктом 14.8 Договора. Использование с</w:t>
      </w:r>
      <w:r>
        <w:rPr>
          <w:sz w:val="24"/>
          <w:szCs w:val="24"/>
          <w:shd w:fill="FFFFFF" w:val="clear"/>
        </w:rPr>
        <w:t>редств электронной</w:t>
      </w:r>
      <w:r>
        <w:rPr>
          <w:sz w:val="24"/>
          <w:szCs w:val="24"/>
        </w:rPr>
        <w:t xml:space="preserve">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bookmarkStart w:id="9" w:name="_Ref361338004"/>
      <w:r>
        <w:rPr>
          <w:sz w:val="24"/>
          <w:szCs w:val="24"/>
        </w:rPr>
        <w:t>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14.8 Договора.</w:t>
      </w:r>
      <w:bookmarkEnd w:id="9"/>
      <w:r>
        <w:rPr>
          <w:sz w:val="24"/>
          <w:szCs w:val="24"/>
        </w:rPr>
        <w:t xml:space="preserve"> </w:t>
      </w:r>
    </w:p>
    <w:p>
      <w:pPr>
        <w:pStyle w:val="ListParagraph"/>
        <w:widowControl/>
        <w:numPr>
          <w:ilvl w:val="1"/>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bookmarkStart w:id="10" w:name="_Ref361338019"/>
      <w:r>
        <w:rPr>
          <w:sz w:val="24"/>
          <w:szCs w:val="24"/>
        </w:rPr>
        <w:t xml:space="preserve">Письма, уведомления и / или сообщения направляются Стороне-получателю </w:t>
        <w:br/>
        <w:t>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w:t>
      </w:r>
      <w:bookmarkEnd w:id="10"/>
      <w:r>
        <w:rPr>
          <w:bCs/>
          <w:sz w:val="24"/>
          <w:szCs w:val="24"/>
        </w:rPr>
        <w:t xml:space="preserve"> будет считаться полученным:</w:t>
      </w:r>
    </w:p>
    <w:p>
      <w:pPr>
        <w:pStyle w:val="ListParagraph"/>
        <w:widowControl/>
        <w:numPr>
          <w:ilvl w:val="2"/>
          <w:numId w:val="1"/>
        </w:numPr>
        <w:shd w:val="clear" w:color="auto" w:fill="FFFFFF"/>
        <w:tabs>
          <w:tab w:val="clear" w:pos="708"/>
          <w:tab w:val="left" w:pos="0" w:leader="none"/>
          <w:tab w:val="left" w:pos="1701" w:leader="none"/>
        </w:tabs>
        <w:ind w:left="0" w:firstLine="709"/>
        <w:jc w:val="both"/>
        <w:rPr>
          <w:rFonts w:ascii="Times New Roman" w:hAnsi="Times New Roman"/>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r>
        <w:rPr>
          <w:bCs/>
          <w:sz w:val="24"/>
          <w:szCs w:val="24"/>
        </w:rPr>
        <w:t>.</w:t>
      </w:r>
    </w:p>
    <w:p>
      <w:pPr>
        <w:pStyle w:val="ListParagraph"/>
        <w:widowControl/>
        <w:numPr>
          <w:ilvl w:val="2"/>
          <w:numId w:val="1"/>
        </w:numPr>
        <w:shd w:val="clear" w:color="auto" w:fill="FFFFFF"/>
        <w:tabs>
          <w:tab w:val="clear" w:pos="708"/>
          <w:tab w:val="left" w:pos="0" w:leader="none"/>
          <w:tab w:val="left" w:pos="1701" w:leader="none"/>
        </w:tabs>
        <w:ind w:left="0" w:firstLine="709"/>
        <w:jc w:val="both"/>
        <w:rPr>
          <w:rFonts w:ascii="Times New Roman" w:hAnsi="Times New Roman"/>
          <w:sz w:val="24"/>
          <w:szCs w:val="24"/>
        </w:rPr>
      </w:pPr>
      <w:bookmarkStart w:id="11" w:name="_Ref361338032"/>
      <w:bookmarkEnd w:id="11"/>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widowControl/>
        <w:numPr>
          <w:ilvl w:val="2"/>
          <w:numId w:val="1"/>
        </w:numPr>
        <w:shd w:val="clear" w:color="auto" w:fill="FFFFFF"/>
        <w:tabs>
          <w:tab w:val="clear" w:pos="708"/>
          <w:tab w:val="left" w:pos="0" w:leader="none"/>
          <w:tab w:val="left" w:pos="1701" w:leader="none"/>
        </w:tabs>
        <w:ind w:left="0" w:firstLine="709"/>
        <w:jc w:val="both"/>
        <w:rPr>
          <w:rFonts w:ascii="Times New Roman" w:hAnsi="Times New Roman"/>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xml:space="preserve">) – в дату направления электронного сообщения, зафиксированную на почтовом сервере отправителя. </w:t>
      </w:r>
    </w:p>
    <w:p>
      <w:pPr>
        <w:pStyle w:val="ListParagraph"/>
        <w:shd w:val="clear" w:color="auto" w:fill="FFFFFF"/>
        <w:tabs>
          <w:tab w:val="clear" w:pos="708"/>
          <w:tab w:val="left" w:pos="0" w:leader="none"/>
          <w:tab w:val="left" w:pos="1418" w:leader="none"/>
          <w:tab w:val="left" w:pos="1701" w:leader="none"/>
        </w:tabs>
        <w:ind w:left="0" w:firstLine="709"/>
        <w:jc w:val="both"/>
        <w:rPr>
          <w:rFonts w:ascii="Times New Roman" w:hAnsi="Times New Roman"/>
          <w:sz w:val="24"/>
          <w:szCs w:val="24"/>
        </w:rPr>
      </w:pPr>
      <w:r>
        <w:rPr>
          <w:bCs/>
          <w:sz w:val="24"/>
          <w:szCs w:val="24"/>
        </w:rPr>
        <w:t>Оригиналы документов, н</w:t>
      </w:r>
      <w:r>
        <w:rPr>
          <w:bCs/>
          <w:sz w:val="24"/>
          <w:szCs w:val="24"/>
          <w:shd w:fill="FFFFFF" w:val="clear"/>
        </w:rPr>
        <w:t xml:space="preserve">аправленные посредством электронной почты, </w:t>
      </w:r>
      <w:r>
        <w:rPr>
          <w:bCs/>
          <w:sz w:val="24"/>
          <w:szCs w:val="24"/>
        </w:rPr>
        <w:t xml:space="preserve">должны не позднее следующего рабочего дня быть направлены Стороной-отправителем способами, указанными в пунктах 14.8.1 – 14.8.2 Договора. </w:t>
      </w:r>
    </w:p>
    <w:p>
      <w:pPr>
        <w:pStyle w:val="ListParagraph"/>
        <w:shd w:val="clear" w:color="auto" w:fill="FFFFFF"/>
        <w:tabs>
          <w:tab w:val="clear" w:pos="708"/>
          <w:tab w:val="left" w:pos="0" w:leader="none"/>
          <w:tab w:val="left" w:pos="1134" w:leader="none"/>
          <w:tab w:val="left" w:pos="1418" w:leader="none"/>
          <w:tab w:val="left" w:pos="1701" w:leader="none"/>
        </w:tabs>
        <w:ind w:left="0" w:firstLine="709"/>
        <w:jc w:val="both"/>
        <w:rPr>
          <w:rFonts w:ascii="Times New Roman" w:hAnsi="Times New Roman"/>
          <w:sz w:val="24"/>
          <w:szCs w:val="24"/>
        </w:rPr>
      </w:pPr>
      <w:r>
        <w:rPr>
          <w:bCs/>
          <w:sz w:val="24"/>
          <w:szCs w:val="24"/>
        </w:rPr>
        <w:t xml:space="preserve">В случае заключения Соглашения, согласно которому </w:t>
      </w:r>
      <w:r>
        <w:rPr>
          <w:sz w:val="24"/>
          <w:szCs w:val="24"/>
        </w:rPr>
        <w:t xml:space="preserve">обмен документами / информацией между сторонами осуществляется в электронной форме через операторов электронного документооборота, </w:t>
      </w:r>
      <w:r>
        <w:rPr>
          <w:bCs/>
          <w:iCs/>
          <w:color w:val="000000"/>
          <w:sz w:val="24"/>
          <w:szCs w:val="24"/>
        </w:rPr>
        <w:t>определение порядка и условий взаимодействия Сторон в процессе обмена документами в электронной форме во исполнение своих обязательств по настоящему Договору устанавливается таким Соглашением.</w:t>
      </w:r>
    </w:p>
    <w:p>
      <w:pPr>
        <w:pStyle w:val="Normal"/>
        <w:widowControl/>
        <w:numPr>
          <w:ilvl w:val="1"/>
          <w:numId w:val="1"/>
        </w:numPr>
        <w:tabs>
          <w:tab w:val="clear" w:pos="708"/>
          <w:tab w:val="left" w:pos="0" w:leader="none"/>
          <w:tab w:val="left" w:pos="1418" w:leader="none"/>
        </w:tabs>
        <w:ind w:left="0" w:firstLine="709"/>
        <w:jc w:val="both"/>
        <w:rPr>
          <w:rFonts w:ascii="Times New Roman" w:hAnsi="Times New Roman"/>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sz w:val="24"/>
          <w:szCs w:val="24"/>
        </w:rPr>
        <w:t xml:space="preserve">Уступка (передача), в том числе в залог, прав (требований) к Покупателю </w:t>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bookmarkStart w:id="12" w:name="_GoBack"/>
      <w:bookmarkEnd w:id="12"/>
      <w:r>
        <w:rPr>
          <w:bCs/>
          <w:sz w:val="24"/>
          <w:szCs w:val="24"/>
        </w:rPr>
        <w:t>.</w:t>
      </w:r>
      <w:r>
        <w:rPr>
          <w:sz w:val="24"/>
          <w:szCs w:val="24"/>
        </w:rPr>
        <w:t xml:space="preserve"> </w:t>
      </w:r>
    </w:p>
    <w:p>
      <w:pPr>
        <w:pStyle w:val="ListParagraph"/>
        <w:widowControl/>
        <w:numPr>
          <w:ilvl w:val="1"/>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sz w:val="24"/>
          <w:szCs w:val="24"/>
        </w:rPr>
        <w:t>Договор составлен в 2 (двух) оригинальных экземплярах, имеющих равную юридическую силу, по 1 (одному) для каждой из Сторон.</w:t>
      </w:r>
    </w:p>
    <w:p>
      <w:pPr>
        <w:pStyle w:val="ListParagraph"/>
        <w:widowControl/>
        <w:numPr>
          <w:ilvl w:val="1"/>
          <w:numId w:val="1"/>
        </w:numPr>
        <w:shd w:val="clear" w:color="auto" w:fill="FFFFFF"/>
        <w:tabs>
          <w:tab w:val="clear" w:pos="708"/>
          <w:tab w:val="left" w:pos="0" w:leader="none"/>
          <w:tab w:val="left" w:pos="1418" w:leader="none"/>
        </w:tabs>
        <w:ind w:left="0" w:firstLine="709"/>
        <w:jc w:val="both"/>
        <w:rPr>
          <w:rFonts w:ascii="Times New Roman" w:hAnsi="Times New Roman"/>
          <w:sz w:val="24"/>
          <w:szCs w:val="24"/>
        </w:rPr>
      </w:pPr>
      <w:r>
        <w:rPr>
          <w:bCs/>
          <w:iCs/>
          <w:sz w:val="24"/>
          <w:szCs w:val="24"/>
        </w:rPr>
        <w:t>АО «ДРСК» в течение двух рабочих дней с момента заключения договора направляет в адрес стороны по договору информацию о контактных данных и ФИО ответственного исполнителя по договору со стороны АО «ДРСК»/филиала АО «ДРСК».</w:t>
      </w:r>
    </w:p>
    <w:p>
      <w:pPr>
        <w:pStyle w:val="Normal"/>
        <w:shd w:val="clear" w:color="auto" w:fill="FFFFFF"/>
        <w:tabs>
          <w:tab w:val="clear" w:pos="708"/>
          <w:tab w:val="left" w:pos="1134" w:leader="none"/>
        </w:tabs>
        <w:ind w:firstLine="709"/>
        <w:jc w:val="both"/>
        <w:rPr>
          <w:rFonts w:ascii="Times New Roman" w:hAnsi="Times New Roman"/>
          <w:sz w:val="24"/>
          <w:szCs w:val="24"/>
        </w:rPr>
      </w:pPr>
      <w:r>
        <w:rPr>
          <w:bCs/>
          <w:iCs/>
          <w:sz w:val="24"/>
          <w:szCs w:val="24"/>
        </w:rPr>
        <w:t>Любая переписка, а также документы по исполнению договора (акты, счета-фактуры, УПД и т.п.), оформляемые на бумажном носителе, направляются контрагентом в адрес АО «ДРСК» с сопроводительным письмом, с указанием контактных данных и ФИО ответственного исполнителя по договору со стороны АО «ДРСК»/филиала АО «ДРСК». В случае отсутствия контактной информации поступившие документы не считаются поступившими в АО «ДРСК»/филиал АО «ДРСК.</w:t>
      </w:r>
    </w:p>
    <w:p>
      <w:pPr>
        <w:pStyle w:val="Normal"/>
        <w:shd w:val="clear" w:color="auto" w:fill="FFFFFF"/>
        <w:ind w:firstLine="567"/>
        <w:jc w:val="both"/>
        <w:rPr>
          <w:rFonts w:ascii="Times New Roman" w:hAnsi="Times New Roman"/>
          <w:sz w:val="24"/>
          <w:szCs w:val="24"/>
        </w:rPr>
      </w:pPr>
      <w:r>
        <w:rPr>
          <w:sz w:val="24"/>
          <w:szCs w:val="24"/>
        </w:rPr>
      </w:r>
    </w:p>
    <w:p>
      <w:pPr>
        <w:pStyle w:val="Normal"/>
        <w:widowControl/>
        <w:numPr>
          <w:ilvl w:val="0"/>
          <w:numId w:val="1"/>
        </w:numPr>
        <w:shd w:val="clear" w:color="auto" w:fill="FFFFFF"/>
        <w:tabs>
          <w:tab w:val="clear" w:pos="708"/>
          <w:tab w:val="left" w:pos="284" w:leader="none"/>
        </w:tabs>
        <w:spacing w:lineRule="auto" w:line="259" w:before="0" w:after="0"/>
        <w:contextualSpacing/>
        <w:jc w:val="center"/>
        <w:rPr>
          <w:rFonts w:ascii="Times New Roman" w:hAnsi="Times New Roman"/>
          <w:sz w:val="24"/>
          <w:szCs w:val="24"/>
        </w:rPr>
      </w:pPr>
      <w:r>
        <w:rPr>
          <w:b/>
          <w:bCs/>
          <w:sz w:val="24"/>
          <w:szCs w:val="24"/>
        </w:rPr>
        <w:t xml:space="preserve">Список приложений </w:t>
      </w:r>
    </w:p>
    <w:p>
      <w:pPr>
        <w:pStyle w:val="Normal"/>
        <w:widowControl/>
        <w:shd w:val="clear" w:color="auto" w:fill="FFFFFF"/>
        <w:tabs>
          <w:tab w:val="clear" w:pos="708"/>
          <w:tab w:val="left" w:pos="0" w:leader="none"/>
        </w:tabs>
        <w:suppressAutoHyphens w:val="true"/>
        <w:ind w:firstLine="709"/>
        <w:jc w:val="both"/>
        <w:rPr>
          <w:rFonts w:ascii="Times New Roman" w:hAnsi="Times New Roman"/>
          <w:sz w:val="24"/>
          <w:szCs w:val="24"/>
        </w:rPr>
      </w:pPr>
      <w:r>
        <w:rPr>
          <w:rFonts w:eastAsia="Calibri"/>
          <w:sz w:val="24"/>
          <w:szCs w:val="24"/>
          <w:lang w:eastAsia="en-US"/>
        </w:rPr>
        <w:t>Приложение № 1 – Спецификация.</w:t>
      </w:r>
    </w:p>
    <w:p>
      <w:pPr>
        <w:pStyle w:val="Normal"/>
        <w:widowControl/>
        <w:shd w:val="clear" w:color="auto" w:fill="FFFFFF"/>
        <w:tabs>
          <w:tab w:val="clear" w:pos="708"/>
          <w:tab w:val="left" w:pos="0" w:leader="none"/>
          <w:tab w:val="left" w:pos="2694" w:leader="none"/>
        </w:tabs>
        <w:suppressAutoHyphens w:val="true"/>
        <w:ind w:firstLine="709"/>
        <w:jc w:val="both"/>
        <w:rPr>
          <w:rFonts w:ascii="Times New Roman" w:hAnsi="Times New Roman"/>
          <w:sz w:val="24"/>
          <w:szCs w:val="24"/>
        </w:rPr>
      </w:pPr>
      <w:bookmarkStart w:id="13" w:name="sub_1"/>
      <w:bookmarkEnd w:id="13"/>
      <w:r>
        <w:rPr>
          <w:rFonts w:eastAsia="Calibri"/>
          <w:sz w:val="24"/>
          <w:szCs w:val="24"/>
          <w:lang w:eastAsia="en-US"/>
        </w:rPr>
        <w:t>Приложение № 2 – Критерии отбора Банков-Гарантов.</w:t>
      </w:r>
    </w:p>
    <w:p>
      <w:pPr>
        <w:pStyle w:val="Normal"/>
        <w:ind w:firstLine="709"/>
        <w:jc w:val="both"/>
        <w:rPr>
          <w:rFonts w:ascii="Times New Roman" w:hAnsi="Times New Roman"/>
          <w:sz w:val="24"/>
          <w:szCs w:val="24"/>
        </w:rPr>
      </w:pPr>
      <w:r>
        <w:rPr>
          <w:bCs/>
          <w:sz w:val="24"/>
          <w:szCs w:val="24"/>
        </w:rPr>
        <w:t xml:space="preserve">Приложение № 3 </w:t>
      </w:r>
      <w:r>
        <w:rPr>
          <w:rFonts w:eastAsia="Calibri"/>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rFonts w:ascii="Times New Roman" w:hAnsi="Times New Roman"/>
          <w:sz w:val="24"/>
          <w:szCs w:val="24"/>
        </w:rPr>
      </w:pPr>
      <w:r>
        <w:rPr>
          <w:bCs/>
          <w:sz w:val="24"/>
          <w:szCs w:val="24"/>
        </w:rPr>
        <w:t>Приложение №4 – Уведомление (форма).</w:t>
      </w:r>
    </w:p>
    <w:p>
      <w:pPr>
        <w:pStyle w:val="NormalWeb"/>
        <w:shd w:val="clear" w:color="auto" w:fill="FFFFFF"/>
        <w:spacing w:before="0" w:after="0"/>
        <w:ind w:firstLine="709"/>
        <w:jc w:val="left"/>
        <w:rPr>
          <w:rFonts w:ascii="Times New Roman" w:hAnsi="Times New Roman"/>
          <w:sz w:val="24"/>
          <w:szCs w:val="24"/>
        </w:rPr>
      </w:pPr>
      <w:r>
        <w:rPr>
          <w:bCs/>
          <w:color w:val="000000"/>
          <w:sz w:val="24"/>
          <w:szCs w:val="24"/>
        </w:rPr>
        <w:t>Приложение № 5 — Оферта Банка.</w:t>
      </w:r>
    </w:p>
    <w:p>
      <w:pPr>
        <w:pStyle w:val="Normal"/>
        <w:ind w:firstLine="709"/>
        <w:jc w:val="both"/>
        <w:rPr>
          <w:rFonts w:ascii="Times New Roman" w:hAnsi="Times New Roman"/>
          <w:sz w:val="24"/>
          <w:szCs w:val="24"/>
        </w:rPr>
      </w:pPr>
      <w:r>
        <w:rPr>
          <w:sz w:val="24"/>
          <w:szCs w:val="24"/>
        </w:rPr>
      </w:r>
    </w:p>
    <w:p>
      <w:pPr>
        <w:pStyle w:val="ListParagraph"/>
        <w:widowControl/>
        <w:numPr>
          <w:ilvl w:val="0"/>
          <w:numId w:val="1"/>
        </w:numPr>
        <w:shd w:val="clear" w:color="auto" w:fill="FFFFFF"/>
        <w:tabs>
          <w:tab w:val="clear" w:pos="708"/>
          <w:tab w:val="left" w:pos="426" w:leader="none"/>
        </w:tabs>
        <w:ind w:left="0" w:hanging="0"/>
        <w:jc w:val="center"/>
        <w:rPr>
          <w:rFonts w:ascii="Times New Roman" w:hAnsi="Times New Roman"/>
          <w:sz w:val="24"/>
          <w:szCs w:val="24"/>
        </w:rPr>
      </w:pPr>
      <w:r>
        <w:rPr>
          <w:b/>
          <w:bCs/>
          <w:sz w:val="24"/>
          <w:szCs w:val="24"/>
        </w:rPr>
        <w:t>Адреса и платежные реквизиты Сторон</w:t>
      </w:r>
    </w:p>
    <w:p>
      <w:pPr>
        <w:pStyle w:val="ListParagraph"/>
        <w:widowControl/>
        <w:shd w:val="clear" w:color="auto" w:fill="FFFFFF"/>
        <w:tabs>
          <w:tab w:val="clear" w:pos="708"/>
          <w:tab w:val="left" w:pos="426" w:leader="none"/>
        </w:tabs>
        <w:ind w:left="360" w:hanging="0"/>
        <w:rPr>
          <w:rFonts w:ascii="Times New Roman" w:hAnsi="Times New Roman"/>
          <w:b/>
          <w:b/>
          <w:bCs/>
          <w:sz w:val="24"/>
          <w:szCs w:val="24"/>
        </w:rPr>
      </w:pPr>
      <w:r>
        <w:rPr>
          <w:b/>
          <w:bCs/>
          <w:sz w:val="24"/>
          <w:szCs w:val="24"/>
        </w:rPr>
      </w:r>
    </w:p>
    <w:tbl>
      <w:tblPr>
        <w:tblW w:w="9890"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65"/>
        <w:gridCol w:w="163"/>
        <w:gridCol w:w="4612"/>
        <w:gridCol w:w="350"/>
      </w:tblGrid>
      <w:tr>
        <w:trPr/>
        <w:tc>
          <w:tcPr>
            <w:tcW w:w="4928" w:type="dxa"/>
            <w:gridSpan w:val="2"/>
            <w:tcBorders/>
            <w:shd w:fill="auto" w:val="clear"/>
          </w:tcPr>
          <w:p>
            <w:pPr>
              <w:pStyle w:val="Normal"/>
              <w:widowControl w:val="false"/>
              <w:rPr>
                <w:rFonts w:ascii="Times New Roman" w:hAnsi="Times New Roman"/>
                <w:sz w:val="24"/>
                <w:szCs w:val="24"/>
              </w:rPr>
            </w:pPr>
            <w:r>
              <w:rPr>
                <w:sz w:val="24"/>
                <w:szCs w:val="24"/>
              </w:rPr>
              <w:t>ПОКУПАТЕЛЬ:</w:t>
            </w:r>
          </w:p>
        </w:tc>
        <w:tc>
          <w:tcPr>
            <w:tcW w:w="4962" w:type="dxa"/>
            <w:gridSpan w:val="2"/>
            <w:tcBorders/>
            <w:shd w:fill="auto" w:val="clear"/>
          </w:tcPr>
          <w:p>
            <w:pPr>
              <w:pStyle w:val="Normal"/>
              <w:widowControl w:val="false"/>
              <w:rPr>
                <w:rFonts w:ascii="Times New Roman" w:hAnsi="Times New Roman"/>
                <w:sz w:val="24"/>
                <w:szCs w:val="24"/>
              </w:rPr>
            </w:pPr>
            <w:r>
              <w:rPr>
                <w:sz w:val="24"/>
                <w:szCs w:val="24"/>
              </w:rPr>
              <w:t>ПОСТАВЩИК:</w:t>
            </w:r>
          </w:p>
        </w:tc>
      </w:tr>
      <w:tr>
        <w:trPr/>
        <w:tc>
          <w:tcPr>
            <w:tcW w:w="4928" w:type="dxa"/>
            <w:gridSpan w:val="2"/>
            <w:tcBorders/>
            <w:shd w:color="auto" w:fill="BFBFBF" w:val="clear"/>
          </w:tcPr>
          <w:p>
            <w:pPr>
              <w:pStyle w:val="Normal"/>
              <w:widowControl w:val="false"/>
              <w:rPr>
                <w:rFonts w:ascii="Times New Roman" w:hAnsi="Times New Roman"/>
                <w:b/>
                <w:b/>
                <w:color w:val="000000"/>
                <w:sz w:val="24"/>
                <w:szCs w:val="24"/>
              </w:rPr>
            </w:pPr>
            <w:r>
              <w:rPr>
                <w:b/>
                <w:color w:val="000000"/>
                <w:sz w:val="24"/>
                <w:szCs w:val="24"/>
              </w:rPr>
            </w:r>
          </w:p>
          <w:p>
            <w:pPr>
              <w:pStyle w:val="Normal"/>
              <w:widowControl w:val="false"/>
              <w:rPr>
                <w:rFonts w:ascii="Times New Roman" w:hAnsi="Times New Roman"/>
                <w:b/>
                <w:b/>
                <w:color w:val="000000"/>
                <w:sz w:val="24"/>
                <w:szCs w:val="24"/>
              </w:rPr>
            </w:pPr>
            <w:r>
              <w:rPr>
                <w:b/>
                <w:color w:val="000000"/>
                <w:sz w:val="24"/>
                <w:szCs w:val="24"/>
              </w:rPr>
              <w:t>Акционерное общество</w:t>
            </w:r>
          </w:p>
          <w:p>
            <w:pPr>
              <w:pStyle w:val="Normal"/>
              <w:widowControl w:val="false"/>
              <w:rPr>
                <w:rFonts w:ascii="Times New Roman" w:hAnsi="Times New Roman"/>
                <w:b/>
                <w:b/>
                <w:color w:val="000000"/>
                <w:sz w:val="24"/>
                <w:szCs w:val="24"/>
              </w:rPr>
            </w:pPr>
            <w:r>
              <w:rPr>
                <w:b/>
                <w:color w:val="000000"/>
                <w:sz w:val="24"/>
                <w:szCs w:val="24"/>
              </w:rPr>
              <w:t>«Дальневосточная распределительная сетевая компания» (АО «ДРСК»)</w:t>
            </w:r>
          </w:p>
          <w:p>
            <w:pPr>
              <w:pStyle w:val="Normal"/>
              <w:widowControl w:val="false"/>
              <w:tabs>
                <w:tab w:val="clear" w:pos="708"/>
                <w:tab w:val="left" w:pos="993" w:leader="none"/>
              </w:tabs>
              <w:spacing w:before="0" w:after="0"/>
              <w:ind w:left="0" w:right="64" w:hanging="0"/>
              <w:contextualSpacing/>
              <w:rPr>
                <w:rFonts w:ascii="Times New Roman" w:hAnsi="Times New Roman"/>
                <w:sz w:val="24"/>
                <w:szCs w:val="24"/>
              </w:rPr>
            </w:pPr>
            <w:r>
              <w:rPr>
                <w:sz w:val="24"/>
                <w:szCs w:val="24"/>
              </w:rPr>
              <w:t>675004, г. Благовещенск,</w:t>
            </w:r>
          </w:p>
          <w:p>
            <w:pPr>
              <w:pStyle w:val="Normal"/>
              <w:widowControl w:val="false"/>
              <w:tabs>
                <w:tab w:val="clear" w:pos="708"/>
                <w:tab w:val="left" w:pos="993" w:leader="none"/>
              </w:tabs>
              <w:spacing w:before="0" w:after="0"/>
              <w:ind w:left="0" w:right="64" w:hanging="0"/>
              <w:contextualSpacing/>
              <w:rPr>
                <w:rFonts w:ascii="Times New Roman" w:hAnsi="Times New Roman"/>
                <w:sz w:val="24"/>
                <w:szCs w:val="24"/>
              </w:rPr>
            </w:pPr>
            <w:r>
              <w:rPr>
                <w:sz w:val="24"/>
                <w:szCs w:val="24"/>
              </w:rPr>
              <w:t>ул. Шевченко, 32</w:t>
            </w:r>
          </w:p>
          <w:p>
            <w:pPr>
              <w:pStyle w:val="Normal"/>
              <w:widowControl w:val="false"/>
              <w:tabs>
                <w:tab w:val="clear" w:pos="708"/>
                <w:tab w:val="left" w:pos="993" w:leader="none"/>
              </w:tabs>
              <w:spacing w:before="0" w:after="0"/>
              <w:ind w:left="0" w:right="64" w:hanging="0"/>
              <w:contextualSpacing/>
              <w:rPr>
                <w:rFonts w:ascii="Times New Roman" w:hAnsi="Times New Roman"/>
                <w:sz w:val="24"/>
                <w:szCs w:val="24"/>
              </w:rPr>
            </w:pPr>
            <w:r>
              <w:rPr>
                <w:sz w:val="24"/>
                <w:szCs w:val="24"/>
              </w:rPr>
              <w:t>ИНН 2801108200,  КПП 775050001</w:t>
            </w:r>
          </w:p>
          <w:p>
            <w:pPr>
              <w:pStyle w:val="Normal"/>
              <w:widowControl w:val="false"/>
              <w:tabs>
                <w:tab w:val="clear" w:pos="708"/>
                <w:tab w:val="left" w:pos="993" w:leader="none"/>
              </w:tabs>
              <w:spacing w:before="0" w:after="0"/>
              <w:ind w:left="0" w:right="64" w:hanging="0"/>
              <w:contextualSpacing/>
              <w:rPr>
                <w:rFonts w:ascii="Times New Roman" w:hAnsi="Times New Roman"/>
                <w:sz w:val="24"/>
                <w:szCs w:val="24"/>
              </w:rPr>
            </w:pPr>
            <w:r>
              <w:rPr>
                <w:sz w:val="24"/>
                <w:szCs w:val="24"/>
              </w:rPr>
              <w:t>Банк ГПБ (АО) г. Москва</w:t>
            </w:r>
          </w:p>
          <w:p>
            <w:pPr>
              <w:pStyle w:val="Normal"/>
              <w:widowControl w:val="false"/>
              <w:tabs>
                <w:tab w:val="clear" w:pos="708"/>
                <w:tab w:val="left" w:pos="993" w:leader="none"/>
              </w:tabs>
              <w:spacing w:before="0" w:after="0"/>
              <w:ind w:left="0" w:right="64" w:hanging="0"/>
              <w:contextualSpacing/>
              <w:rPr>
                <w:rFonts w:ascii="Times New Roman" w:hAnsi="Times New Roman"/>
                <w:sz w:val="24"/>
                <w:szCs w:val="24"/>
              </w:rPr>
            </w:pPr>
            <w:r>
              <w:rPr>
                <w:sz w:val="24"/>
                <w:szCs w:val="24"/>
              </w:rPr>
              <w:t>ИНН 7744001497, КПП 997950001</w:t>
            </w:r>
          </w:p>
          <w:p>
            <w:pPr>
              <w:pStyle w:val="Normal"/>
              <w:widowControl w:val="false"/>
              <w:tabs>
                <w:tab w:val="clear" w:pos="708"/>
                <w:tab w:val="left" w:pos="993" w:leader="none"/>
              </w:tabs>
              <w:spacing w:before="0" w:after="0"/>
              <w:ind w:left="0" w:right="64" w:hanging="0"/>
              <w:contextualSpacing/>
              <w:rPr>
                <w:rFonts w:ascii="Times New Roman" w:hAnsi="Times New Roman"/>
                <w:sz w:val="24"/>
                <w:szCs w:val="24"/>
                <w:shd w:fill="auto" w:val="clear"/>
              </w:rPr>
            </w:pPr>
            <w:r>
              <w:rPr>
                <w:sz w:val="24"/>
                <w:szCs w:val="24"/>
                <w:shd w:fill="auto" w:val="clear"/>
              </w:rPr>
              <w:t>БИК 044525823</w:t>
            </w:r>
          </w:p>
          <w:p>
            <w:pPr>
              <w:pStyle w:val="Normal"/>
              <w:widowControl w:val="false"/>
              <w:tabs>
                <w:tab w:val="clear" w:pos="708"/>
                <w:tab w:val="left" w:pos="993" w:leader="none"/>
              </w:tabs>
              <w:spacing w:before="0" w:after="0"/>
              <w:ind w:left="0" w:right="64" w:hanging="0"/>
              <w:contextualSpacing/>
              <w:rPr>
                <w:rFonts w:ascii="Times New Roman" w:hAnsi="Times New Roman"/>
                <w:color w:val="302709"/>
                <w:sz w:val="24"/>
                <w:szCs w:val="24"/>
                <w:shd w:fill="auto" w:val="clear"/>
              </w:rPr>
            </w:pPr>
            <w:r>
              <w:rPr>
                <w:color w:val="302709"/>
                <w:sz w:val="24"/>
                <w:szCs w:val="24"/>
                <w:shd w:fill="auto" w:val="clear"/>
              </w:rPr>
              <w:t>Р/с 40702810700000173241</w:t>
            </w:r>
          </w:p>
          <w:p>
            <w:pPr>
              <w:pStyle w:val="Normal"/>
              <w:widowControl w:val="false"/>
              <w:tabs>
                <w:tab w:val="clear" w:pos="708"/>
                <w:tab w:val="left" w:pos="993" w:leader="none"/>
              </w:tabs>
              <w:spacing w:before="0" w:after="0"/>
              <w:ind w:left="0" w:right="64" w:hanging="0"/>
              <w:contextualSpacing/>
              <w:rPr>
                <w:rFonts w:ascii="Times New Roman" w:hAnsi="Times New Roman"/>
                <w:sz w:val="24"/>
                <w:szCs w:val="24"/>
              </w:rPr>
            </w:pPr>
            <w:r>
              <w:rPr>
                <w:color w:val="302709"/>
                <w:sz w:val="24"/>
                <w:szCs w:val="24"/>
                <w:shd w:fill="auto" w:val="clear"/>
              </w:rPr>
              <w:t>Кор/счет 30101810200000000823</w:t>
            </w:r>
          </w:p>
        </w:tc>
        <w:tc>
          <w:tcPr>
            <w:tcW w:w="4962" w:type="dxa"/>
            <w:gridSpan w:val="2"/>
            <w:tcBorders/>
            <w:shd w:color="auto" w:fill="BFBFBF" w:val="clear"/>
          </w:tcPr>
          <w:p>
            <w:pPr>
              <w:pStyle w:val="Normal"/>
              <w:widowControl w:val="false"/>
              <w:rPr>
                <w:rFonts w:ascii="Times New Roman" w:hAnsi="Times New Roman"/>
                <w:sz w:val="24"/>
                <w:szCs w:val="24"/>
              </w:rPr>
            </w:pPr>
            <w:r>
              <w:rPr>
                <w:sz w:val="24"/>
                <w:szCs w:val="24"/>
              </w:rPr>
            </w:r>
          </w:p>
          <w:p>
            <w:pPr>
              <w:pStyle w:val="Normal"/>
              <w:widowControl w:val="false"/>
              <w:rPr>
                <w:rFonts w:ascii="Times New Roman" w:hAnsi="Times New Roman"/>
                <w:sz w:val="24"/>
                <w:szCs w:val="24"/>
              </w:rPr>
            </w:pPr>
            <w:r>
              <w:rPr>
                <w:sz w:val="24"/>
                <w:szCs w:val="24"/>
              </w:rPr>
            </w:r>
          </w:p>
          <w:p>
            <w:pPr>
              <w:pStyle w:val="Normal"/>
              <w:widowControl w:val="false"/>
              <w:rPr>
                <w:rFonts w:ascii="Times New Roman" w:hAnsi="Times New Roman"/>
                <w:sz w:val="24"/>
                <w:szCs w:val="24"/>
              </w:rPr>
            </w:pPr>
            <w:r>
              <w:rPr>
                <w:sz w:val="24"/>
                <w:szCs w:val="24"/>
              </w:rPr>
              <w:t>_________________________________</w:t>
            </w:r>
          </w:p>
          <w:p>
            <w:pPr>
              <w:pStyle w:val="Normal"/>
              <w:widowControl w:val="false"/>
              <w:rPr>
                <w:rFonts w:ascii="Times New Roman" w:hAnsi="Times New Roman"/>
                <w:sz w:val="24"/>
                <w:szCs w:val="24"/>
              </w:rPr>
            </w:pPr>
            <w:r>
              <w:rPr>
                <w:sz w:val="24"/>
                <w:szCs w:val="24"/>
              </w:rPr>
              <w:t>(наименование юридического лица)</w:t>
            </w:r>
          </w:p>
          <w:p>
            <w:pPr>
              <w:pStyle w:val="Normal"/>
              <w:widowControl w:val="false"/>
              <w:rPr>
                <w:rFonts w:ascii="Times New Roman" w:hAnsi="Times New Roman"/>
                <w:sz w:val="24"/>
                <w:szCs w:val="24"/>
              </w:rPr>
            </w:pPr>
            <w:r>
              <w:rPr>
                <w:sz w:val="24"/>
                <w:szCs w:val="24"/>
              </w:rPr>
            </w:r>
          </w:p>
          <w:p>
            <w:pPr>
              <w:pStyle w:val="Normal"/>
              <w:widowControl w:val="false"/>
              <w:rPr>
                <w:rFonts w:ascii="Times New Roman" w:hAnsi="Times New Roman"/>
                <w:sz w:val="24"/>
                <w:szCs w:val="24"/>
              </w:rPr>
            </w:pPr>
            <w:r>
              <w:rPr>
                <w:sz w:val="24"/>
                <w:szCs w:val="24"/>
              </w:rPr>
              <w:t>Место нахождения:</w:t>
            </w:r>
          </w:p>
          <w:p>
            <w:pPr>
              <w:pStyle w:val="Normal"/>
              <w:widowControl w:val="false"/>
              <w:rPr>
                <w:rFonts w:ascii="Times New Roman" w:hAnsi="Times New Roman"/>
                <w:sz w:val="24"/>
                <w:szCs w:val="24"/>
              </w:rPr>
            </w:pPr>
            <w:r>
              <w:rPr>
                <w:sz w:val="24"/>
                <w:szCs w:val="24"/>
              </w:rPr>
              <w:t>_________________________________</w:t>
            </w:r>
          </w:p>
          <w:p>
            <w:pPr>
              <w:pStyle w:val="Normal"/>
              <w:widowControl w:val="false"/>
              <w:rPr>
                <w:rFonts w:ascii="Times New Roman" w:hAnsi="Times New Roman"/>
                <w:sz w:val="24"/>
                <w:szCs w:val="24"/>
              </w:rPr>
            </w:pPr>
            <w:r>
              <w:rPr>
                <w:sz w:val="24"/>
                <w:szCs w:val="24"/>
              </w:rPr>
            </w:r>
          </w:p>
          <w:p>
            <w:pPr>
              <w:pStyle w:val="Normal"/>
              <w:widowControl w:val="false"/>
              <w:rPr>
                <w:rFonts w:ascii="Times New Roman" w:hAnsi="Times New Roman"/>
                <w:sz w:val="24"/>
                <w:szCs w:val="24"/>
              </w:rPr>
            </w:pPr>
            <w:r>
              <w:rPr>
                <w:sz w:val="24"/>
                <w:szCs w:val="24"/>
              </w:rPr>
            </w:r>
          </w:p>
          <w:p>
            <w:pPr>
              <w:pStyle w:val="Normal"/>
              <w:widowControl w:val="false"/>
              <w:rPr>
                <w:rFonts w:ascii="Times New Roman" w:hAnsi="Times New Roman"/>
                <w:sz w:val="24"/>
                <w:szCs w:val="24"/>
              </w:rPr>
            </w:pPr>
            <w:r>
              <w:rPr>
                <w:sz w:val="24"/>
                <w:szCs w:val="24"/>
              </w:rPr>
            </w:r>
          </w:p>
          <w:p>
            <w:pPr>
              <w:pStyle w:val="Normal"/>
              <w:widowControl w:val="false"/>
              <w:rPr>
                <w:rFonts w:ascii="Times New Roman" w:hAnsi="Times New Roman"/>
                <w:sz w:val="24"/>
                <w:szCs w:val="24"/>
              </w:rPr>
            </w:pPr>
            <w:r>
              <w:rPr>
                <w:sz w:val="24"/>
                <w:szCs w:val="24"/>
              </w:rPr>
              <w:t>Почтовый адрес:</w:t>
            </w:r>
          </w:p>
          <w:p>
            <w:pPr>
              <w:pStyle w:val="Normal"/>
              <w:widowControl w:val="false"/>
              <w:rPr>
                <w:rFonts w:ascii="Times New Roman" w:hAnsi="Times New Roman"/>
                <w:sz w:val="24"/>
                <w:szCs w:val="24"/>
              </w:rPr>
            </w:pPr>
            <w:r>
              <w:rPr>
                <w:sz w:val="24"/>
                <w:szCs w:val="24"/>
              </w:rPr>
              <w:t>_________________________________</w:t>
            </w:r>
          </w:p>
          <w:p>
            <w:pPr>
              <w:pStyle w:val="Normal"/>
              <w:widowControl w:val="false"/>
              <w:rPr>
                <w:rFonts w:ascii="Times New Roman" w:hAnsi="Times New Roman"/>
                <w:sz w:val="24"/>
                <w:szCs w:val="24"/>
              </w:rPr>
            </w:pPr>
            <w:r>
              <w:rPr>
                <w:sz w:val="24"/>
                <w:szCs w:val="24"/>
              </w:rPr>
              <w:t>ОГРН ___________________________</w:t>
            </w:r>
          </w:p>
          <w:p>
            <w:pPr>
              <w:pStyle w:val="Normal"/>
              <w:widowControl w:val="false"/>
              <w:rPr>
                <w:rFonts w:ascii="Times New Roman" w:hAnsi="Times New Roman"/>
                <w:sz w:val="24"/>
                <w:szCs w:val="24"/>
              </w:rPr>
            </w:pPr>
            <w:r>
              <w:rPr>
                <w:sz w:val="24"/>
                <w:szCs w:val="24"/>
              </w:rPr>
              <w:t>ИНН ____________ / КПП___________</w:t>
            </w:r>
          </w:p>
          <w:p>
            <w:pPr>
              <w:pStyle w:val="Normal"/>
              <w:widowControl w:val="false"/>
              <w:rPr>
                <w:rFonts w:ascii="Times New Roman" w:hAnsi="Times New Roman"/>
                <w:sz w:val="24"/>
                <w:szCs w:val="24"/>
              </w:rPr>
            </w:pPr>
            <w:r>
              <w:rPr>
                <w:sz w:val="24"/>
                <w:szCs w:val="24"/>
              </w:rPr>
              <w:t>_________________________________</w:t>
            </w:r>
          </w:p>
          <w:p>
            <w:pPr>
              <w:pStyle w:val="Normal"/>
              <w:widowControl w:val="false"/>
              <w:rPr>
                <w:rFonts w:ascii="Times New Roman" w:hAnsi="Times New Roman"/>
                <w:sz w:val="24"/>
                <w:szCs w:val="24"/>
              </w:rPr>
            </w:pPr>
            <w:r>
              <w:rPr>
                <w:sz w:val="24"/>
                <w:szCs w:val="24"/>
              </w:rPr>
              <w:t>(номер расчетного счета)</w:t>
            </w:r>
          </w:p>
          <w:p>
            <w:pPr>
              <w:pStyle w:val="Normal"/>
              <w:widowControl w:val="false"/>
              <w:rPr>
                <w:rFonts w:ascii="Times New Roman" w:hAnsi="Times New Roman"/>
                <w:sz w:val="24"/>
                <w:szCs w:val="24"/>
              </w:rPr>
            </w:pPr>
            <w:r>
              <w:rPr>
                <w:sz w:val="24"/>
                <w:szCs w:val="24"/>
              </w:rPr>
              <w:t>_________________________________</w:t>
            </w:r>
          </w:p>
          <w:p>
            <w:pPr>
              <w:pStyle w:val="Normal"/>
              <w:widowControl w:val="false"/>
              <w:rPr>
                <w:rFonts w:ascii="Times New Roman" w:hAnsi="Times New Roman"/>
                <w:sz w:val="24"/>
                <w:szCs w:val="24"/>
              </w:rPr>
            </w:pPr>
            <w:r>
              <w:rPr>
                <w:sz w:val="24"/>
                <w:szCs w:val="24"/>
              </w:rPr>
              <w:t>(наименование банка, в котором</w:t>
            </w:r>
          </w:p>
          <w:p>
            <w:pPr>
              <w:pStyle w:val="Normal"/>
              <w:widowControl w:val="false"/>
              <w:rPr>
                <w:rFonts w:ascii="Times New Roman" w:hAnsi="Times New Roman"/>
                <w:sz w:val="24"/>
                <w:szCs w:val="24"/>
              </w:rPr>
            </w:pPr>
            <w:r>
              <w:rPr>
                <w:sz w:val="24"/>
                <w:szCs w:val="24"/>
              </w:rPr>
              <w:t>открыт расчетный счет)</w:t>
            </w:r>
          </w:p>
          <w:p>
            <w:pPr>
              <w:pStyle w:val="Normal"/>
              <w:widowControl w:val="false"/>
              <w:rPr>
                <w:rFonts w:ascii="Times New Roman" w:hAnsi="Times New Roman"/>
                <w:sz w:val="24"/>
                <w:szCs w:val="24"/>
              </w:rPr>
            </w:pPr>
            <w:r>
              <w:rPr>
                <w:sz w:val="24"/>
                <w:szCs w:val="24"/>
              </w:rPr>
              <w:t>_________________________________</w:t>
            </w:r>
          </w:p>
          <w:p>
            <w:pPr>
              <w:pStyle w:val="Normal"/>
              <w:widowControl w:val="false"/>
              <w:rPr>
                <w:rFonts w:ascii="Times New Roman" w:hAnsi="Times New Roman"/>
                <w:sz w:val="24"/>
                <w:szCs w:val="24"/>
              </w:rPr>
            </w:pPr>
            <w:r>
              <w:rPr>
                <w:sz w:val="24"/>
                <w:szCs w:val="24"/>
              </w:rPr>
              <w:t>(номер корреспондентского счета банка)</w:t>
            </w:r>
          </w:p>
          <w:p>
            <w:pPr>
              <w:pStyle w:val="Normal"/>
              <w:widowControl w:val="false"/>
              <w:rPr>
                <w:rFonts w:ascii="Times New Roman" w:hAnsi="Times New Roman"/>
                <w:sz w:val="24"/>
                <w:szCs w:val="24"/>
              </w:rPr>
            </w:pPr>
            <w:r>
              <w:rPr>
                <w:sz w:val="24"/>
                <w:szCs w:val="24"/>
              </w:rPr>
              <w:t>_________________________________</w:t>
            </w:r>
          </w:p>
          <w:p>
            <w:pPr>
              <w:pStyle w:val="Normal"/>
              <w:widowControl w:val="false"/>
              <w:rPr>
                <w:rFonts w:ascii="Times New Roman" w:hAnsi="Times New Roman"/>
                <w:sz w:val="24"/>
                <w:szCs w:val="24"/>
              </w:rPr>
            </w:pPr>
            <w:r>
              <w:rPr>
                <w:sz w:val="24"/>
                <w:szCs w:val="24"/>
              </w:rPr>
              <w:t>(БИК банка)</w:t>
            </w:r>
          </w:p>
          <w:p>
            <w:pPr>
              <w:pStyle w:val="Normal"/>
              <w:widowControl w:val="false"/>
              <w:rPr>
                <w:rFonts w:ascii="Times New Roman" w:hAnsi="Times New Roman"/>
                <w:sz w:val="24"/>
                <w:szCs w:val="24"/>
              </w:rPr>
            </w:pPr>
            <w:r>
              <w:rPr>
                <w:sz w:val="24"/>
                <w:szCs w:val="24"/>
              </w:rPr>
              <w:t>_________________________________</w:t>
            </w:r>
          </w:p>
          <w:p>
            <w:pPr>
              <w:pStyle w:val="Normal"/>
              <w:widowControl w:val="false"/>
              <w:rPr>
                <w:rFonts w:ascii="Times New Roman" w:hAnsi="Times New Roman"/>
                <w:sz w:val="24"/>
                <w:szCs w:val="24"/>
              </w:rPr>
            </w:pPr>
            <w:r>
              <w:rPr>
                <w:sz w:val="24"/>
                <w:szCs w:val="24"/>
              </w:rPr>
              <w:t>(номер телефона)</w:t>
            </w:r>
          </w:p>
          <w:p>
            <w:pPr>
              <w:pStyle w:val="Normal"/>
              <w:widowControl w:val="false"/>
              <w:rPr>
                <w:rFonts w:ascii="Times New Roman" w:hAnsi="Times New Roman"/>
                <w:sz w:val="24"/>
                <w:szCs w:val="24"/>
              </w:rPr>
            </w:pPr>
            <w:r>
              <w:rPr>
                <w:sz w:val="24"/>
                <w:szCs w:val="24"/>
              </w:rPr>
              <w:t>_________________________________</w:t>
            </w:r>
          </w:p>
          <w:p>
            <w:pPr>
              <w:pStyle w:val="Normal"/>
              <w:widowControl w:val="false"/>
              <w:rPr>
                <w:rFonts w:ascii="Times New Roman" w:hAnsi="Times New Roman"/>
                <w:sz w:val="24"/>
                <w:szCs w:val="24"/>
              </w:rPr>
            </w:pPr>
            <w:r>
              <w:rPr>
                <w:sz w:val="24"/>
                <w:szCs w:val="24"/>
              </w:rPr>
              <w:t>(номер факса)</w:t>
            </w:r>
          </w:p>
          <w:p>
            <w:pPr>
              <w:pStyle w:val="Normal"/>
              <w:widowControl w:val="false"/>
              <w:rPr>
                <w:rFonts w:ascii="Times New Roman" w:hAnsi="Times New Roman"/>
                <w:sz w:val="24"/>
                <w:szCs w:val="24"/>
              </w:rPr>
            </w:pPr>
            <w:r>
              <w:rPr>
                <w:sz w:val="24"/>
                <w:szCs w:val="24"/>
              </w:rPr>
            </w:r>
          </w:p>
        </w:tc>
      </w:tr>
      <w:tr>
        <w:trPr/>
        <w:tc>
          <w:tcPr>
            <w:tcW w:w="4765" w:type="dxa"/>
            <w:tcBorders/>
            <w:shd w:fill="auto" w:val="clear"/>
          </w:tcPr>
          <w:p>
            <w:pPr>
              <w:pStyle w:val="Normal"/>
              <w:widowControl w:val="false"/>
              <w:rPr>
                <w:rFonts w:ascii="Times New Roman" w:hAnsi="Times New Roman"/>
                <w:sz w:val="24"/>
                <w:szCs w:val="24"/>
                <w:highlight w:val="lightGray"/>
              </w:rPr>
            </w:pPr>
            <w:r>
              <w:rPr>
                <w:sz w:val="24"/>
                <w:szCs w:val="24"/>
                <w:highlight w:val="lightGray"/>
              </w:rPr>
              <w:t xml:space="preserve">_______________ / _______________ </w:t>
            </w:r>
          </w:p>
          <w:p>
            <w:pPr>
              <w:pStyle w:val="Normal"/>
              <w:widowControl w:val="false"/>
              <w:rPr>
                <w:rFonts w:ascii="Times New Roman" w:hAnsi="Times New Roman"/>
                <w:sz w:val="24"/>
                <w:szCs w:val="24"/>
                <w:highlight w:val="lightGray"/>
              </w:rPr>
            </w:pPr>
            <w:r>
              <w:rPr>
                <w:sz w:val="24"/>
                <w:szCs w:val="24"/>
                <w:highlight w:val="lightGray"/>
              </w:rPr>
            </w:r>
          </w:p>
        </w:tc>
        <w:tc>
          <w:tcPr>
            <w:tcW w:w="4775" w:type="dxa"/>
            <w:gridSpan w:val="2"/>
            <w:tcBorders/>
            <w:shd w:fill="auto" w:val="clear"/>
          </w:tcPr>
          <w:p>
            <w:pPr>
              <w:pStyle w:val="Normal"/>
              <w:widowControl w:val="false"/>
              <w:rPr>
                <w:rFonts w:ascii="Times New Roman" w:hAnsi="Times New Roman"/>
                <w:sz w:val="24"/>
                <w:szCs w:val="24"/>
              </w:rPr>
            </w:pPr>
            <w:r>
              <w:rPr>
                <w:sz w:val="24"/>
                <w:szCs w:val="24"/>
                <w:highlight w:val="lightGray"/>
              </w:rPr>
              <w:t>_______________ / _______________</w:t>
            </w:r>
            <w:r>
              <w:rPr>
                <w:sz w:val="24"/>
                <w:szCs w:val="24"/>
              </w:rPr>
              <w:t xml:space="preserve"> </w:t>
            </w:r>
          </w:p>
        </w:tc>
        <w:tc>
          <w:tcPr>
            <w:tcW w:w="350" w:type="dxa"/>
            <w:tcBorders/>
            <w:shd w:fill="auto" w:val="clear"/>
          </w:tcPr>
          <w:p>
            <w:pPr>
              <w:pStyle w:val="Normal"/>
              <w:widowControl w:val="false"/>
              <w:rPr>
                <w:rFonts w:ascii="Times New Roman" w:hAnsi="Times New Roman"/>
                <w:sz w:val="24"/>
                <w:szCs w:val="24"/>
              </w:rPr>
            </w:pPr>
            <w:r>
              <w:rPr>
                <w:sz w:val="24"/>
                <w:szCs w:val="24"/>
              </w:rPr>
            </w:r>
          </w:p>
        </w:tc>
      </w:tr>
    </w:tbl>
    <w:p>
      <w:pPr>
        <w:sectPr>
          <w:headerReference w:type="default" r:id="rId5"/>
          <w:headerReference w:type="first" r:id="rId6"/>
          <w:footnotePr>
            <w:numFmt w:val="decimal"/>
          </w:footnotePr>
          <w:type w:val="nextPage"/>
          <w:pgSz w:w="11906" w:h="16838"/>
          <w:pgMar w:left="1418" w:right="851" w:header="709" w:top="1134" w:footer="0" w:bottom="1134" w:gutter="0"/>
          <w:pgNumType w:fmt="decimal"/>
          <w:formProt w:val="false"/>
          <w:titlePg/>
          <w:textDirection w:val="lrTb"/>
          <w:docGrid w:type="default" w:linePitch="360" w:charSpace="1638"/>
        </w:sectPr>
      </w:pPr>
    </w:p>
    <w:p>
      <w:pPr>
        <w:pStyle w:val="Normal"/>
        <w:suppressAutoHyphens w:val="true"/>
        <w:ind w:left="5103" w:right="96" w:hanging="0"/>
        <w:jc w:val="right"/>
        <w:rPr>
          <w:sz w:val="24"/>
          <w:szCs w:val="24"/>
        </w:rPr>
      </w:pPr>
      <w:r>
        <w:rPr>
          <w:sz w:val="24"/>
          <w:szCs w:val="24"/>
        </w:rPr>
        <w:t>Приложение № 1</w:t>
      </w:r>
    </w:p>
    <w:p>
      <w:pPr>
        <w:pStyle w:val="Normal"/>
        <w:suppressAutoHyphens w:val="true"/>
        <w:ind w:left="5103" w:right="96" w:hanging="0"/>
        <w:jc w:val="right"/>
        <w:rPr>
          <w:sz w:val="24"/>
          <w:szCs w:val="24"/>
        </w:rPr>
      </w:pPr>
      <w:r>
        <w:rPr>
          <w:sz w:val="24"/>
          <w:szCs w:val="24"/>
        </w:rPr>
        <w:t>к Договору поставки</w:t>
      </w:r>
    </w:p>
    <w:p>
      <w:pPr>
        <w:pStyle w:val="Normal"/>
        <w:suppressAutoHyphens w:val="true"/>
        <w:ind w:left="5103" w:right="96" w:hanging="0"/>
        <w:jc w:val="right"/>
        <w:rPr>
          <w:sz w:val="24"/>
          <w:szCs w:val="24"/>
        </w:rPr>
      </w:pPr>
      <w:r>
        <w:rPr>
          <w:sz w:val="24"/>
          <w:szCs w:val="24"/>
        </w:rPr>
        <w:t>от «____» __________ 20 _ г. № _____</w:t>
      </w:r>
    </w:p>
    <w:p>
      <w:pPr>
        <w:pStyle w:val="Normal"/>
        <w:jc w:val="center"/>
        <w:rPr>
          <w:sz w:val="24"/>
          <w:szCs w:val="24"/>
        </w:rPr>
      </w:pPr>
      <w:r>
        <w:rPr>
          <w:b/>
          <w:sz w:val="24"/>
          <w:szCs w:val="24"/>
          <w:shd w:fill="FFFFFF" w:val="clear"/>
        </w:rPr>
        <w:t>СПЕЦИФИКАЦИЯ</w:t>
      </w:r>
      <w:r>
        <w:rPr>
          <w:b/>
          <w:sz w:val="24"/>
          <w:szCs w:val="24"/>
        </w:rPr>
        <w:t xml:space="preserve"> </w:t>
      </w:r>
    </w:p>
    <w:p>
      <w:pPr>
        <w:pStyle w:val="Normal"/>
        <w:jc w:val="center"/>
        <w:rPr>
          <w:b/>
          <w:b/>
          <w:sz w:val="24"/>
          <w:szCs w:val="24"/>
        </w:rPr>
      </w:pPr>
      <w:r>
        <w:rPr>
          <w:b/>
          <w:sz w:val="24"/>
          <w:szCs w:val="24"/>
        </w:rPr>
      </w:r>
    </w:p>
    <w:tbl>
      <w:tblPr>
        <w:tblW w:w="14567" w:type="dxa"/>
        <w:jc w:val="left"/>
        <w:tblInd w:w="-729" w:type="dxa"/>
        <w:tblLayout w:type="fixed"/>
        <w:tblCellMar>
          <w:top w:w="0" w:type="dxa"/>
          <w:left w:w="78" w:type="dxa"/>
          <w:bottom w:w="0" w:type="dxa"/>
          <w:right w:w="108" w:type="dxa"/>
        </w:tblCellMar>
        <w:tblLook w:val="04a0" w:noHBand="0" w:noVBand="1" w:firstColumn="1" w:lastRow="0" w:lastColumn="0" w:firstRow="1"/>
      </w:tblPr>
      <w:tblGrid>
        <w:gridCol w:w="850"/>
        <w:gridCol w:w="2717"/>
        <w:gridCol w:w="1082"/>
        <w:gridCol w:w="1467"/>
        <w:gridCol w:w="2216"/>
        <w:gridCol w:w="1092"/>
        <w:gridCol w:w="791"/>
        <w:gridCol w:w="975"/>
        <w:gridCol w:w="1276"/>
        <w:gridCol w:w="801"/>
        <w:gridCol w:w="1298"/>
      </w:tblGrid>
      <w:tr>
        <w:trPr>
          <w:trHeight w:val="526" w:hRule="atLeast"/>
        </w:trPr>
        <w:tc>
          <w:tcPr>
            <w:tcW w:w="850"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bCs/>
                <w:strike/>
              </w:rPr>
            </w:pPr>
            <w:r>
              <w:rPr>
                <w:bCs/>
                <w:strike/>
              </w:rPr>
            </w:r>
          </w:p>
          <w:p>
            <w:pPr>
              <w:pStyle w:val="Normal"/>
              <w:widowControl w:val="false"/>
              <w:jc w:val="center"/>
              <w:rPr>
                <w:bCs/>
              </w:rPr>
            </w:pPr>
            <w:r>
              <w:rPr>
                <w:bCs/>
              </w:rPr>
              <w:t xml:space="preserve">№ </w:t>
            </w:r>
            <w:r>
              <w:rPr>
                <w:bCs/>
              </w:rPr>
              <w:t>поз.</w:t>
            </w:r>
          </w:p>
        </w:tc>
        <w:tc>
          <w:tcPr>
            <w:tcW w:w="2717"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bCs/>
              </w:rPr>
            </w:pPr>
            <w:r>
              <w:rPr>
                <w:bCs/>
              </w:rPr>
              <w:t>Наименование Товара</w:t>
            </w:r>
          </w:p>
        </w:tc>
        <w:tc>
          <w:tcPr>
            <w:tcW w:w="108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Артикул, тип, марка</w:t>
            </w:r>
          </w:p>
        </w:tc>
        <w:tc>
          <w:tcPr>
            <w:tcW w:w="1467"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bCs/>
              </w:rPr>
            </w:pPr>
            <w:r>
              <w:rPr>
                <w:bCs/>
              </w:rPr>
              <w:t>Завод изготовитель</w:t>
            </w:r>
          </w:p>
        </w:tc>
        <w:tc>
          <w:tcPr>
            <w:tcW w:w="221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Страна происхождения Товара</w:t>
            </w:r>
          </w:p>
        </w:tc>
        <w:tc>
          <w:tcPr>
            <w:tcW w:w="1092"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bCs/>
              </w:rPr>
            </w:pPr>
            <w:r>
              <w:rPr>
                <w:bCs/>
              </w:rPr>
              <w:t>Единица измерения</w:t>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
                <w:b/>
                <w:bCs/>
              </w:rPr>
            </w:pPr>
            <w:r>
              <w:rPr>
                <w:b/>
                <w:bCs/>
              </w:rPr>
            </w:r>
          </w:p>
          <w:p>
            <w:pPr>
              <w:pStyle w:val="Normal"/>
              <w:widowControl w:val="false"/>
              <w:jc w:val="center"/>
              <w:rPr>
                <w:bCs/>
              </w:rPr>
            </w:pPr>
            <w:r>
              <w:rPr>
                <w:bCs/>
              </w:rPr>
            </w:r>
          </w:p>
        </w:tc>
        <w:tc>
          <w:tcPr>
            <w:tcW w:w="791"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bCs/>
              </w:rPr>
            </w:pPr>
            <w:r>
              <w:rPr>
                <w:bCs/>
              </w:rPr>
              <w:t>Количество</w:t>
            </w:r>
          </w:p>
        </w:tc>
        <w:tc>
          <w:tcPr>
            <w:tcW w:w="975"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bCs/>
              </w:rPr>
            </w:pPr>
            <w:r>
              <w:rPr>
                <w:bCs/>
              </w:rPr>
              <w:t>Цена за единицу, руб. без НДС</w:t>
            </w:r>
          </w:p>
        </w:tc>
        <w:tc>
          <w:tcPr>
            <w:tcW w:w="1276"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bCs/>
              </w:rPr>
            </w:pPr>
            <w:r>
              <w:rPr>
                <w:bCs/>
              </w:rPr>
              <w:t>Цена, руб. без НДС</w:t>
            </w:r>
          </w:p>
        </w:tc>
        <w:tc>
          <w:tcPr>
            <w:tcW w:w="801"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bCs/>
              </w:rPr>
            </w:pPr>
            <w:r>
              <w:rPr>
                <w:bCs/>
              </w:rPr>
              <w:t>НДС</w:t>
            </w:r>
          </w:p>
          <w:p>
            <w:pPr>
              <w:pStyle w:val="Normal"/>
              <w:widowControl w:val="false"/>
              <w:jc w:val="center"/>
              <w:rPr>
                <w:bCs/>
              </w:rPr>
            </w:pPr>
            <w:r>
              <w:rPr>
                <w:bCs/>
              </w:rPr>
              <w:t>(___%) руб.</w:t>
            </w:r>
          </w:p>
        </w:tc>
        <w:tc>
          <w:tcPr>
            <w:tcW w:w="1298"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bCs/>
              </w:rPr>
            </w:pPr>
            <w:r>
              <w:rPr>
                <w:bCs/>
              </w:rPr>
              <w:t>Стоимость, руб., с НДС</w:t>
            </w:r>
          </w:p>
        </w:tc>
      </w:tr>
      <w:tr>
        <w:trPr>
          <w:trHeight w:val="538" w:hRule="atLeast"/>
        </w:trPr>
        <w:tc>
          <w:tcPr>
            <w:tcW w:w="850"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pPr>
            <w:r>
              <w:rPr>
                <w:highlight w:val="lightGray"/>
              </w:rPr>
              <w:t>1</w:t>
            </w:r>
          </w:p>
        </w:tc>
        <w:tc>
          <w:tcPr>
            <w:tcW w:w="2717"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rPr>
                <w:highlight w:val="yellow"/>
              </w:rPr>
            </w:pPr>
            <w:r>
              <w:rPr>
                <w:highlight w:val="yellow"/>
              </w:rPr>
            </w:r>
          </w:p>
        </w:tc>
        <w:tc>
          <w:tcPr>
            <w:tcW w:w="108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highlight w:val="yellow"/>
              </w:rPr>
            </w:pPr>
            <w:r>
              <w:rPr>
                <w:highlight w:val="yellow"/>
              </w:rPr>
            </w:r>
          </w:p>
        </w:tc>
        <w:tc>
          <w:tcPr>
            <w:tcW w:w="146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highlight w:val="yellow"/>
              </w:rPr>
            </w:pPr>
            <w:r>
              <w:rPr>
                <w:highlight w:val="yellow"/>
              </w:rPr>
            </w:r>
          </w:p>
        </w:tc>
        <w:tc>
          <w:tcPr>
            <w:tcW w:w="221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highlight w:val="yellow"/>
              </w:rPr>
            </w:pPr>
            <w:r>
              <w:rPr>
                <w:highlight w:val="yellow"/>
              </w:rPr>
            </w:r>
          </w:p>
        </w:tc>
        <w:tc>
          <w:tcPr>
            <w:tcW w:w="109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highlight w:val="yellow"/>
              </w:rPr>
            </w:pPr>
            <w:r>
              <w:rPr>
                <w:highlight w:val="yellow"/>
              </w:rPr>
            </w:r>
          </w:p>
        </w:tc>
        <w:tc>
          <w:tcPr>
            <w:tcW w:w="791"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rPr>
                <w:highlight w:val="yellow"/>
              </w:rPr>
            </w:pPr>
            <w:r>
              <w:rPr>
                <w:highlight w:val="yellow"/>
              </w:rPr>
            </w:r>
          </w:p>
        </w:tc>
        <w:tc>
          <w:tcPr>
            <w:tcW w:w="975"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rPr>
                <w:highlight w:val="yellow"/>
              </w:rPr>
            </w:pPr>
            <w:r>
              <w:rPr>
                <w:highlight w:val="yellow"/>
              </w:rPr>
            </w:r>
          </w:p>
        </w:tc>
        <w:tc>
          <w:tcPr>
            <w:tcW w:w="1276"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rPr>
                <w:highlight w:val="yellow"/>
              </w:rPr>
            </w:pPr>
            <w:r>
              <w:rPr>
                <w:highlight w:val="yellow"/>
              </w:rPr>
            </w:r>
          </w:p>
        </w:tc>
        <w:tc>
          <w:tcPr>
            <w:tcW w:w="801"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highlight w:val="yellow"/>
              </w:rPr>
            </w:pPr>
            <w:r>
              <w:rPr>
                <w:highlight w:val="yellow"/>
              </w:rPr>
            </w:r>
          </w:p>
        </w:tc>
        <w:tc>
          <w:tcPr>
            <w:tcW w:w="1298"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rPr>
                <w:highlight w:val="yellow"/>
              </w:rPr>
            </w:pPr>
            <w:r>
              <w:rPr>
                <w:highlight w:val="yellow"/>
              </w:rPr>
            </w:r>
          </w:p>
        </w:tc>
      </w:tr>
      <w:tr>
        <w:trPr>
          <w:trHeight w:val="538" w:hRule="atLeast"/>
        </w:trPr>
        <w:tc>
          <w:tcPr>
            <w:tcW w:w="850"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pPr>
            <w:r>
              <w:rPr>
                <w:highlight w:val="lightGray"/>
              </w:rPr>
              <w:t>2</w:t>
            </w:r>
          </w:p>
        </w:tc>
        <w:tc>
          <w:tcPr>
            <w:tcW w:w="2717"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rPr>
                <w:highlight w:val="yellow"/>
              </w:rPr>
            </w:pPr>
            <w:r>
              <w:rPr>
                <w:highlight w:val="yellow"/>
              </w:rPr>
            </w:r>
          </w:p>
        </w:tc>
        <w:tc>
          <w:tcPr>
            <w:tcW w:w="108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highlight w:val="yellow"/>
              </w:rPr>
            </w:pPr>
            <w:r>
              <w:rPr>
                <w:highlight w:val="yellow"/>
              </w:rPr>
            </w:r>
          </w:p>
        </w:tc>
        <w:tc>
          <w:tcPr>
            <w:tcW w:w="146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highlight w:val="yellow"/>
              </w:rPr>
            </w:pPr>
            <w:r>
              <w:rPr>
                <w:highlight w:val="yellow"/>
              </w:rPr>
            </w:r>
          </w:p>
        </w:tc>
        <w:tc>
          <w:tcPr>
            <w:tcW w:w="221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highlight w:val="yellow"/>
              </w:rPr>
            </w:pPr>
            <w:r>
              <w:rPr>
                <w:highlight w:val="yellow"/>
              </w:rPr>
            </w:r>
          </w:p>
        </w:tc>
        <w:tc>
          <w:tcPr>
            <w:tcW w:w="109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highlight w:val="yellow"/>
              </w:rPr>
            </w:pPr>
            <w:r>
              <w:rPr>
                <w:highlight w:val="yellow"/>
              </w:rPr>
            </w:r>
          </w:p>
        </w:tc>
        <w:tc>
          <w:tcPr>
            <w:tcW w:w="791"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rPr>
                <w:highlight w:val="yellow"/>
              </w:rPr>
            </w:pPr>
            <w:r>
              <w:rPr>
                <w:highlight w:val="yellow"/>
              </w:rPr>
            </w:r>
          </w:p>
        </w:tc>
        <w:tc>
          <w:tcPr>
            <w:tcW w:w="975"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rPr>
                <w:highlight w:val="yellow"/>
              </w:rPr>
            </w:pPr>
            <w:r>
              <w:rPr>
                <w:highlight w:val="yellow"/>
              </w:rPr>
            </w:r>
          </w:p>
        </w:tc>
        <w:tc>
          <w:tcPr>
            <w:tcW w:w="1276"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rPr>
                <w:highlight w:val="yellow"/>
              </w:rPr>
            </w:pPr>
            <w:r>
              <w:rPr>
                <w:highlight w:val="yellow"/>
              </w:rPr>
            </w:r>
          </w:p>
        </w:tc>
        <w:tc>
          <w:tcPr>
            <w:tcW w:w="801"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highlight w:val="yellow"/>
              </w:rPr>
            </w:pPr>
            <w:r>
              <w:rPr>
                <w:highlight w:val="yellow"/>
              </w:rPr>
            </w:r>
          </w:p>
        </w:tc>
        <w:tc>
          <w:tcPr>
            <w:tcW w:w="1298"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rPr>
                <w:highlight w:val="yellow"/>
              </w:rPr>
            </w:pPr>
            <w:r>
              <w:rPr>
                <w:highlight w:val="yellow"/>
              </w:rPr>
            </w:r>
          </w:p>
        </w:tc>
      </w:tr>
      <w:tr>
        <w:trPr>
          <w:trHeight w:val="262" w:hRule="atLeast"/>
        </w:trPr>
        <w:tc>
          <w:tcPr>
            <w:tcW w:w="13267" w:type="dxa"/>
            <w:gridSpan w:val="10"/>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highlight w:val="lightGray"/>
              </w:rPr>
            </w:pPr>
            <w:r>
              <w:rPr>
                <w:highlight w:val="lightGray"/>
              </w:rPr>
              <w:t>Итого стоимость всего Товара (с учетом доставки), руб. с НДС:</w:t>
            </w:r>
          </w:p>
        </w:tc>
        <w:tc>
          <w:tcPr>
            <w:tcW w:w="1298"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highlight w:val="yellow"/>
              </w:rPr>
            </w:pPr>
            <w:r>
              <w:rPr>
                <w:highlight w:val="yellow"/>
              </w:rPr>
            </w:r>
          </w:p>
        </w:tc>
      </w:tr>
    </w:tbl>
    <w:p>
      <w:pPr>
        <w:pStyle w:val="Normal"/>
        <w:rPr>
          <w:i/>
          <w:i/>
          <w:sz w:val="24"/>
          <w:szCs w:val="24"/>
          <w:highlight w:val="yellow"/>
        </w:rPr>
      </w:pPr>
      <w:r>
        <w:rPr>
          <w:i/>
          <w:sz w:val="24"/>
          <w:szCs w:val="24"/>
          <w:highlight w:val="yellow"/>
        </w:rPr>
      </w:r>
    </w:p>
    <w:p>
      <w:pPr>
        <w:pStyle w:val="Normal"/>
        <w:spacing w:before="0" w:after="200"/>
        <w:contextualSpacing/>
        <w:rPr/>
      </w:pPr>
      <w:r>
        <w:rPr>
          <w:b/>
          <w:bCs/>
          <w:i/>
          <w:color w:val="000000"/>
          <w:sz w:val="22"/>
          <w:szCs w:val="22"/>
        </w:rPr>
        <w:t>Реквизиты для заполнения счета - фактуры</w:t>
      </w:r>
      <w:r>
        <w:rPr>
          <w:b/>
          <w:i/>
          <w:sz w:val="22"/>
          <w:szCs w:val="22"/>
          <w:lang w:eastAsia="en-US"/>
        </w:rPr>
        <w:t xml:space="preserve"> </w:t>
      </w:r>
    </w:p>
    <w:p>
      <w:pPr>
        <w:pStyle w:val="Normal"/>
        <w:spacing w:before="0" w:after="200"/>
        <w:contextualSpacing/>
        <w:rPr/>
      </w:pPr>
      <w:r>
        <w:rPr>
          <w:b/>
          <w:i/>
          <w:sz w:val="22"/>
          <w:szCs w:val="22"/>
          <w:lang w:eastAsia="en-US"/>
        </w:rPr>
        <w:t>Грузополучатель</w:t>
      </w:r>
      <w:r>
        <w:rPr>
          <w:b/>
          <w:bCs/>
          <w:color w:val="000000"/>
          <w:sz w:val="22"/>
          <w:szCs w:val="22"/>
        </w:rPr>
        <w:t>:</w:t>
      </w:r>
      <w:r>
        <w:rPr>
          <w:b/>
          <w:i/>
          <w:sz w:val="22"/>
          <w:szCs w:val="22"/>
          <w:lang w:eastAsia="en-US"/>
        </w:rPr>
        <w:t xml:space="preserve"> филиал</w:t>
      </w:r>
      <w:r>
        <w:rPr>
          <w:b/>
          <w:i/>
          <w:sz w:val="22"/>
          <w:szCs w:val="22"/>
        </w:rPr>
        <w:t xml:space="preserve"> АО «ДРСК» «</w:t>
      </w:r>
      <w:r>
        <w:rPr>
          <w:b/>
          <w:bCs/>
          <w:i/>
          <w:color w:val="000000"/>
          <w:spacing w:val="-1"/>
          <w:sz w:val="22"/>
          <w:szCs w:val="22"/>
          <w:lang w:eastAsia="en-US"/>
        </w:rPr>
        <w:t>Амурские электрические сети</w:t>
      </w:r>
      <w:r>
        <w:rPr>
          <w:b/>
          <w:i/>
          <w:sz w:val="22"/>
          <w:szCs w:val="22"/>
        </w:rPr>
        <w:t>»</w:t>
      </w:r>
    </w:p>
    <w:p>
      <w:pPr>
        <w:pStyle w:val="Normal"/>
        <w:spacing w:before="0" w:after="200"/>
        <w:contextualSpacing/>
        <w:rPr/>
      </w:pPr>
      <w:r>
        <w:rPr>
          <w:i/>
          <w:color w:val="000000"/>
          <w:spacing w:val="-1"/>
          <w:sz w:val="22"/>
          <w:szCs w:val="22"/>
          <w:lang w:eastAsia="en-US"/>
        </w:rPr>
        <w:t>675000, РФ, Амурская область, г. Благовещенск, ул.</w:t>
      </w:r>
      <w:r>
        <w:rPr>
          <w:color w:val="000000"/>
          <w:spacing w:val="-1"/>
          <w:sz w:val="22"/>
          <w:szCs w:val="22"/>
          <w:lang w:eastAsia="en-US"/>
        </w:rPr>
        <w:t xml:space="preserve"> </w:t>
      </w:r>
      <w:r>
        <w:rPr>
          <w:i/>
          <w:sz w:val="22"/>
          <w:szCs w:val="22"/>
        </w:rPr>
        <w:t>Шевченко, д. 28</w:t>
      </w:r>
    </w:p>
    <w:p>
      <w:pPr>
        <w:pStyle w:val="Normal"/>
        <w:spacing w:before="0" w:after="200"/>
        <w:contextualSpacing/>
        <w:rPr/>
      </w:pPr>
      <w:r>
        <w:rPr>
          <w:i/>
          <w:color w:val="000000"/>
          <w:spacing w:val="-1"/>
          <w:sz w:val="22"/>
          <w:szCs w:val="22"/>
        </w:rPr>
        <w:t>Покупатель: АО «ДРСК»</w:t>
      </w:r>
    </w:p>
    <w:p>
      <w:pPr>
        <w:pStyle w:val="Normal"/>
        <w:spacing w:before="0" w:after="200"/>
        <w:contextualSpacing/>
        <w:rPr/>
      </w:pPr>
      <w:r>
        <w:rPr>
          <w:i/>
          <w:color w:val="000000"/>
          <w:spacing w:val="-1"/>
          <w:sz w:val="22"/>
          <w:szCs w:val="22"/>
        </w:rPr>
        <w:t xml:space="preserve">Адрес: </w:t>
      </w:r>
      <w:r>
        <w:rPr>
          <w:i/>
          <w:color w:val="000000"/>
          <w:spacing w:val="-1"/>
          <w:sz w:val="22"/>
          <w:szCs w:val="22"/>
          <w:lang w:eastAsia="en-US"/>
        </w:rPr>
        <w:t xml:space="preserve">675004, </w:t>
      </w:r>
      <w:r>
        <w:rPr>
          <w:i/>
          <w:sz w:val="22"/>
          <w:szCs w:val="22"/>
        </w:rPr>
        <w:t>РФ, Амурская область, г. Благовещенск, ул. Шевченко, д. 32.</w:t>
      </w:r>
    </w:p>
    <w:p>
      <w:pPr>
        <w:pStyle w:val="Normal"/>
        <w:spacing w:before="0" w:after="200"/>
        <w:contextualSpacing/>
        <w:rPr/>
      </w:pPr>
      <w:r>
        <w:rPr>
          <w:b/>
          <w:i/>
          <w:color w:val="000000"/>
          <w:spacing w:val="-1"/>
          <w:sz w:val="22"/>
          <w:szCs w:val="22"/>
        </w:rPr>
        <w:t>ИНН/КПП покупателя: 2801108200/</w:t>
      </w:r>
      <w:r>
        <w:rPr>
          <w:b/>
          <w:i/>
          <w:color w:val="000000"/>
          <w:spacing w:val="-1"/>
          <w:sz w:val="22"/>
          <w:szCs w:val="22"/>
          <w:u w:val="single"/>
          <w:lang w:eastAsia="en-US"/>
        </w:rPr>
        <w:t>280102003</w:t>
      </w:r>
    </w:p>
    <w:p>
      <w:pPr>
        <w:pStyle w:val="Normal"/>
        <w:spacing w:before="0" w:after="200"/>
        <w:contextualSpacing/>
        <w:rPr/>
      </w:pPr>
      <w:r>
        <w:rPr>
          <w:b/>
          <w:i/>
          <w:sz w:val="22"/>
          <w:szCs w:val="22"/>
          <w:highlight w:val="lightGray"/>
          <w:lang w:eastAsia="en-US"/>
        </w:rPr>
        <w:t xml:space="preserve">Место поставки: </w:t>
      </w:r>
      <w:r>
        <w:rPr>
          <w:i/>
          <w:color w:val="000000"/>
          <w:spacing w:val="-1"/>
          <w:sz w:val="22"/>
          <w:szCs w:val="22"/>
          <w:highlight w:val="lightGray"/>
          <w:lang w:eastAsia="en-US"/>
        </w:rPr>
        <w:t>675003 Амурская область, г. Благовещенск, ул. Театральная 179.</w:t>
      </w:r>
    </w:p>
    <w:p>
      <w:pPr>
        <w:pStyle w:val="Normal"/>
        <w:rPr>
          <w:i/>
          <w:i/>
          <w:sz w:val="22"/>
          <w:szCs w:val="22"/>
          <w:highlight w:val="lightGray"/>
        </w:rPr>
      </w:pPr>
      <w:r>
        <w:rPr>
          <w:i/>
          <w:sz w:val="22"/>
          <w:szCs w:val="22"/>
          <w:highlight w:val="lightGray"/>
        </w:rPr>
      </w:r>
    </w:p>
    <w:p>
      <w:pPr>
        <w:pStyle w:val="Normal"/>
        <w:rPr>
          <w:i/>
          <w:i/>
          <w:sz w:val="22"/>
          <w:szCs w:val="22"/>
          <w:highlight w:val="lightGray"/>
        </w:rPr>
      </w:pPr>
      <w:r>
        <w:rPr>
          <w:i/>
          <w:sz w:val="22"/>
          <w:szCs w:val="22"/>
          <w:highlight w:val="lightGray"/>
        </w:rPr>
      </w:r>
    </w:p>
    <w:p>
      <w:pPr>
        <w:pStyle w:val="Normal"/>
        <w:rPr>
          <w:i/>
          <w:i/>
          <w:sz w:val="22"/>
          <w:szCs w:val="22"/>
          <w:highlight w:val="lightGray"/>
        </w:rPr>
      </w:pPr>
      <w:r>
        <w:rPr>
          <w:i/>
          <w:sz w:val="22"/>
          <w:szCs w:val="22"/>
          <w:highlight w:val="lightGray"/>
        </w:rPr>
      </w:r>
    </w:p>
    <w:p>
      <w:pPr>
        <w:pStyle w:val="Normal"/>
        <w:rPr>
          <w:i/>
          <w:i/>
          <w:sz w:val="22"/>
          <w:szCs w:val="22"/>
          <w:highlight w:val="lightGray"/>
        </w:rPr>
      </w:pPr>
      <w:r>
        <w:rPr>
          <w:i/>
          <w:sz w:val="22"/>
          <w:szCs w:val="22"/>
          <w:highlight w:val="lightGray"/>
        </w:rPr>
      </w:r>
    </w:p>
    <w:p>
      <w:pPr>
        <w:pStyle w:val="Normal"/>
        <w:rPr>
          <w:i/>
          <w:i/>
          <w:sz w:val="22"/>
          <w:szCs w:val="22"/>
          <w:highlight w:val="lightGray"/>
        </w:rPr>
      </w:pPr>
      <w:r>
        <w:rPr>
          <w:i/>
          <w:sz w:val="22"/>
          <w:szCs w:val="22"/>
          <w:highlight w:val="lightGray"/>
        </w:rPr>
      </w:r>
    </w:p>
    <w:p>
      <w:pPr>
        <w:pStyle w:val="Normal"/>
        <w:rPr>
          <w:i/>
          <w:i/>
          <w:sz w:val="22"/>
          <w:szCs w:val="22"/>
        </w:rPr>
      </w:pPr>
      <w:r>
        <w:rPr>
          <w:i/>
          <w:sz w:val="22"/>
          <w:szCs w:val="22"/>
        </w:rPr>
      </w:r>
    </w:p>
    <w:p>
      <w:pPr>
        <w:pStyle w:val="Normal"/>
        <w:rPr>
          <w:i/>
          <w:i/>
          <w:sz w:val="22"/>
          <w:szCs w:val="22"/>
        </w:rPr>
      </w:pPr>
      <w:r>
        <w:rPr>
          <w:i/>
          <w:sz w:val="22"/>
          <w:szCs w:val="22"/>
        </w:rPr>
      </w:r>
    </w:p>
    <w:tbl>
      <w:tblPr>
        <w:tblW w:w="9632"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826"/>
        <w:gridCol w:w="4805"/>
      </w:tblGrid>
      <w:tr>
        <w:trPr>
          <w:trHeight w:val="269" w:hRule="atLeast"/>
        </w:trPr>
        <w:tc>
          <w:tcPr>
            <w:tcW w:w="4826" w:type="dxa"/>
            <w:tcBorders/>
            <w:shd w:fill="auto" w:val="clear"/>
          </w:tcPr>
          <w:p>
            <w:pPr>
              <w:pStyle w:val="Normal"/>
              <w:widowControl w:val="false"/>
              <w:rPr>
                <w:b/>
                <w:b/>
                <w:sz w:val="24"/>
              </w:rPr>
            </w:pPr>
            <w:r>
              <w:rPr>
                <w:b/>
                <w:sz w:val="24"/>
              </w:rPr>
              <w:t>Покупатель:</w:t>
            </w:r>
          </w:p>
        </w:tc>
        <w:tc>
          <w:tcPr>
            <w:tcW w:w="4805" w:type="dxa"/>
            <w:tcBorders/>
            <w:shd w:fill="auto" w:val="clear"/>
          </w:tcPr>
          <w:p>
            <w:pPr>
              <w:pStyle w:val="Normal"/>
              <w:widowControl w:val="false"/>
              <w:rPr>
                <w:b/>
                <w:b/>
                <w:sz w:val="24"/>
              </w:rPr>
            </w:pPr>
            <w:r>
              <w:rPr>
                <w:b/>
                <w:sz w:val="24"/>
              </w:rPr>
              <w:t>Поставщик:</w:t>
            </w:r>
          </w:p>
        </w:tc>
      </w:tr>
    </w:tbl>
    <w:p>
      <w:pPr>
        <w:pStyle w:val="Normal"/>
        <w:rPr>
          <w:sz w:val="24"/>
          <w:szCs w:val="24"/>
        </w:rPr>
      </w:pPr>
      <w:r>
        <w:rPr>
          <w:sz w:val="24"/>
          <w:szCs w:val="24"/>
        </w:rPr>
      </w:r>
    </w:p>
    <w:p>
      <w:pPr>
        <w:sectPr>
          <w:headerReference w:type="default" r:id="rId7"/>
          <w:footnotePr>
            <w:numFmt w:val="decimal"/>
          </w:footnotePr>
          <w:type w:val="nextPage"/>
          <w:pgSz w:orient="landscape" w:w="16838" w:h="11906"/>
          <w:pgMar w:left="1134" w:right="1134" w:header="709" w:top="766" w:footer="0" w:bottom="851" w:gutter="0"/>
          <w:pgNumType w:fmt="decimal"/>
          <w:formProt w:val="false"/>
          <w:textDirection w:val="lrTb"/>
          <w:docGrid w:type="default" w:linePitch="299" w:charSpace="1638"/>
        </w:sectPr>
        <w:pStyle w:val="Normal"/>
        <w:rPr/>
      </w:pPr>
      <w:r>
        <w:rPr/>
        <w:t xml:space="preserve"> </w:t>
      </w:r>
      <w:r>
        <w:rPr/>
        <w:t>__________ /__________</w:t>
        <w:tab/>
        <w:t xml:space="preserve">                                          ___________ /___________</w:t>
      </w:r>
    </w:p>
    <w:p>
      <w:pPr>
        <w:pStyle w:val="Normal"/>
        <w:suppressAutoHyphens w:val="true"/>
        <w:ind w:left="0" w:right="96" w:firstLine="5103"/>
        <w:rPr>
          <w:sz w:val="22"/>
          <w:szCs w:val="22"/>
        </w:rPr>
      </w:pPr>
      <w:r>
        <w:rPr>
          <w:sz w:val="22"/>
          <w:szCs w:val="22"/>
        </w:rPr>
      </w:r>
    </w:p>
    <w:p>
      <w:pPr>
        <w:pStyle w:val="Normal"/>
        <w:widowControl w:val="false"/>
        <w:suppressAutoHyphens w:val="true"/>
        <w:bidi w:val="0"/>
        <w:spacing w:before="0" w:after="0"/>
        <w:ind w:left="5102" w:right="0" w:hanging="0"/>
        <w:jc w:val="left"/>
        <w:rPr>
          <w:rFonts w:ascii="Times New Roman" w:hAnsi="Times New Roman"/>
          <w:sz w:val="24"/>
          <w:szCs w:val="24"/>
        </w:rPr>
      </w:pPr>
      <w:r>
        <w:rPr>
          <w:sz w:val="24"/>
          <w:szCs w:val="24"/>
        </w:rPr>
        <w:t>Прложение № 2</w:t>
      </w:r>
    </w:p>
    <w:p>
      <w:pPr>
        <w:pStyle w:val="Normal"/>
        <w:suppressAutoHyphens w:val="true"/>
        <w:ind w:right="96" w:firstLine="5103"/>
        <w:rPr>
          <w:rFonts w:ascii="Times New Roman" w:hAnsi="Times New Roman"/>
          <w:sz w:val="24"/>
          <w:szCs w:val="24"/>
        </w:rPr>
      </w:pPr>
      <w:r>
        <w:rPr>
          <w:sz w:val="24"/>
          <w:szCs w:val="24"/>
        </w:rPr>
        <w:t>к Договору поставки</w:t>
      </w:r>
    </w:p>
    <w:p>
      <w:pPr>
        <w:pStyle w:val="Normal"/>
        <w:ind w:firstLine="5103"/>
        <w:rPr>
          <w:rFonts w:ascii="Times New Roman" w:hAnsi="Times New Roman"/>
          <w:sz w:val="24"/>
          <w:szCs w:val="24"/>
        </w:rPr>
      </w:pPr>
      <w:r>
        <w:rPr>
          <w:sz w:val="24"/>
          <w:szCs w:val="24"/>
        </w:rPr>
        <w:t>от «____» __________ 20 _ г. № _____</w:t>
      </w:r>
    </w:p>
    <w:p>
      <w:pPr>
        <w:pStyle w:val="Normal"/>
        <w:widowControl/>
        <w:shd w:val="clear" w:color="auto" w:fill="FFFFFF"/>
        <w:tabs>
          <w:tab w:val="clear" w:pos="708"/>
          <w:tab w:val="left" w:pos="1418" w:leader="none"/>
        </w:tabs>
        <w:spacing w:before="0" w:after="0"/>
        <w:contextualSpacing/>
        <w:jc w:val="center"/>
        <w:rPr>
          <w:rFonts w:ascii="Times New Roman" w:hAnsi="Times New Roman"/>
          <w:bCs/>
          <w:sz w:val="24"/>
          <w:szCs w:val="24"/>
        </w:rPr>
      </w:pPr>
      <w:r>
        <w:rPr>
          <w:bCs/>
          <w:sz w:val="24"/>
          <w:szCs w:val="24"/>
        </w:rPr>
      </w:r>
    </w:p>
    <w:p>
      <w:pPr>
        <w:pStyle w:val="Normal"/>
        <w:widowControl/>
        <w:shd w:val="clear" w:color="auto" w:fill="FFFFFF"/>
        <w:tabs>
          <w:tab w:val="clear" w:pos="708"/>
          <w:tab w:val="left" w:pos="1418" w:leader="none"/>
        </w:tabs>
        <w:spacing w:before="0" w:after="0"/>
        <w:contextualSpacing/>
        <w:jc w:val="center"/>
        <w:rPr>
          <w:rFonts w:ascii="Times New Roman" w:hAnsi="Times New Roman"/>
          <w:b/>
          <w:b/>
          <w:bCs/>
          <w:sz w:val="24"/>
          <w:szCs w:val="24"/>
        </w:rPr>
      </w:pPr>
      <w:r>
        <w:rPr>
          <w:b/>
          <w:bCs/>
          <w:sz w:val="24"/>
          <w:szCs w:val="24"/>
        </w:rPr>
      </w:r>
    </w:p>
    <w:p>
      <w:pPr>
        <w:pStyle w:val="Normal"/>
        <w:spacing w:before="0" w:after="0"/>
        <w:jc w:val="center"/>
        <w:rPr>
          <w:rFonts w:ascii="Times New Roman" w:hAnsi="Times New Roman"/>
          <w:sz w:val="24"/>
          <w:szCs w:val="24"/>
        </w:rPr>
      </w:pPr>
      <w:r>
        <w:rPr>
          <w:b/>
          <w:sz w:val="24"/>
          <w:szCs w:val="24"/>
          <w:shd w:fill="FFFFFF" w:val="clear"/>
        </w:rPr>
        <w:t>Критерии отбора Банков-Гарантов</w:t>
      </w:r>
      <w:bookmarkStart w:id="14" w:name="_Toc500935255"/>
      <w:bookmarkStart w:id="15" w:name="_Toc501966378"/>
      <w:bookmarkEnd w:id="14"/>
      <w:bookmarkEnd w:id="15"/>
      <w:r>
        <w:rPr>
          <w:rStyle w:val="Style19"/>
          <w:b/>
          <w:sz w:val="24"/>
          <w:szCs w:val="24"/>
          <w:shd w:fill="FFFFFF" w:val="clear"/>
        </w:rPr>
        <w:footnoteReference w:id="13"/>
      </w:r>
    </w:p>
    <w:p>
      <w:pPr>
        <w:pStyle w:val="Normal"/>
        <w:widowControl w:val="false"/>
        <w:tabs>
          <w:tab w:val="clear" w:pos="708"/>
          <w:tab w:val="left" w:pos="1134" w:leader="none"/>
        </w:tabs>
        <w:spacing w:before="0" w:after="0"/>
        <w:ind w:left="0" w:right="0" w:firstLine="709"/>
        <w:jc w:val="both"/>
        <w:rPr>
          <w:rFonts w:ascii="Times New Roman" w:hAnsi="Times New Roman"/>
          <w:sz w:val="24"/>
          <w:szCs w:val="24"/>
          <w:shd w:fill="FFFFFF" w:val="clear"/>
        </w:rPr>
      </w:pPr>
      <w:r>
        <w:rPr>
          <w:sz w:val="24"/>
          <w:szCs w:val="24"/>
          <w:shd w:fill="FFFFFF" w:val="clear"/>
        </w:rPr>
      </w:r>
    </w:p>
    <w:p>
      <w:pPr>
        <w:pStyle w:val="Normal"/>
        <w:spacing w:before="0" w:after="0"/>
        <w:ind w:left="0" w:right="0" w:firstLine="709"/>
        <w:jc w:val="both"/>
        <w:rPr>
          <w:rFonts w:ascii="Times New Roman" w:hAnsi="Times New Roman"/>
          <w:sz w:val="24"/>
          <w:szCs w:val="24"/>
        </w:rPr>
      </w:pPr>
      <w:r>
        <w:rPr>
          <w:rFonts w:eastAsia="TimesNewRomanPS-BoldMT" w:cs="Times New Roman"/>
          <w:b w:val="false"/>
          <w:bCs w:val="false"/>
          <w:iCs w:val="false"/>
          <w:sz w:val="24"/>
          <w:szCs w:val="24"/>
          <w:shd w:fill="auto" w:val="clear"/>
          <w:lang w:eastAsia="en-US"/>
        </w:rPr>
        <w:t>Банк-Гарант (кредитная организация), выдающий банковскую гарантию, должен входить в перечень Банков-Гарантов Группы РусГидро</w:t>
      </w:r>
      <w:r>
        <w:rPr>
          <w:rStyle w:val="Style19"/>
          <w:rFonts w:eastAsia="TimesNewRomanPS-BoldMT" w:cs="Times New Roman"/>
          <w:b w:val="false"/>
          <w:bCs w:val="false"/>
          <w:iCs w:val="false"/>
          <w:sz w:val="24"/>
          <w:szCs w:val="24"/>
          <w:shd w:fill="auto" w:val="clear"/>
          <w:lang w:eastAsia="en-US"/>
        </w:rPr>
        <w:footnoteReference w:id="14"/>
      </w:r>
      <w:r>
        <w:rPr>
          <w:rFonts w:eastAsia="TimesNewRomanPS-BoldMT" w:cs="Times New Roman"/>
          <w:b w:val="false"/>
          <w:bCs w:val="false"/>
          <w:iCs w:val="false"/>
          <w:sz w:val="24"/>
          <w:szCs w:val="24"/>
          <w:shd w:fill="auto" w:val="clear"/>
          <w:lang w:eastAsia="en-US"/>
        </w:rPr>
        <w:t xml:space="preserve">, а также соответствовать следующим критериям: </w:t>
      </w:r>
    </w:p>
    <w:p>
      <w:pPr>
        <w:pStyle w:val="Normal"/>
        <w:spacing w:before="0" w:after="0"/>
        <w:ind w:left="0" w:right="0" w:firstLine="709"/>
        <w:jc w:val="both"/>
        <w:rPr>
          <w:rFonts w:ascii="Times New Roman" w:hAnsi="Times New Roman"/>
          <w:sz w:val="24"/>
          <w:szCs w:val="24"/>
        </w:rPr>
      </w:pPr>
      <w:r>
        <w:rPr>
          <w:rFonts w:eastAsia="TimesNewRomanPS-BoldMT" w:cs="Times New Roman"/>
          <w:b w:val="false"/>
          <w:bCs w:val="false"/>
          <w:iCs w:val="false"/>
          <w:sz w:val="24"/>
          <w:szCs w:val="24"/>
          <w:shd w:fill="auto" w:val="clear"/>
          <w:lang w:eastAsia="en-US"/>
        </w:rPr>
        <w:t xml:space="preserve">1. Иметь действующую лицензию Центрального банка Российской Федерации (далее – ЦБ РФ) на осуществление банковских операций, </w:t>
      </w:r>
      <w:r>
        <w:rPr>
          <w:rFonts w:eastAsia="TimesNewRomanPS-BoldMT" w:cs="Times New Roman"/>
          <w:b w:val="false"/>
          <w:bCs w:val="false"/>
          <w:iCs w:val="false"/>
          <w:strike w:val="false"/>
          <w:dstrike w:val="false"/>
          <w:sz w:val="24"/>
          <w:szCs w:val="24"/>
          <w:shd w:fill="auto" w:val="clear"/>
          <w:lang w:eastAsia="en-US"/>
        </w:rPr>
        <w:t>п</w:t>
      </w:r>
      <w:r>
        <w:rPr>
          <w:rFonts w:eastAsia="TimesNewRomanPS-BoldMT" w:cs="Times New Roman"/>
          <w:b w:val="false"/>
          <w:bCs w:val="false"/>
          <w:iCs w:val="false"/>
          <w:sz w:val="24"/>
          <w:szCs w:val="24"/>
          <w:shd w:fill="auto" w:val="clear"/>
          <w:lang w:eastAsia="en-US"/>
        </w:rPr>
        <w:t>ри этом лицензия не должна быть приостановлена полностью или частично.</w:t>
      </w:r>
    </w:p>
    <w:p>
      <w:pPr>
        <w:pStyle w:val="Normal"/>
        <w:spacing w:before="0" w:after="0"/>
        <w:ind w:left="0" w:right="0" w:firstLine="709"/>
        <w:jc w:val="both"/>
        <w:rPr>
          <w:rFonts w:ascii="Times New Roman" w:hAnsi="Times New Roman"/>
          <w:sz w:val="24"/>
          <w:szCs w:val="24"/>
        </w:rPr>
      </w:pPr>
      <w:r>
        <w:rPr>
          <w:rFonts w:eastAsia="TimesNewRomanPS-BoldMT" w:cs="Times New Roman"/>
          <w:b w:val="false"/>
          <w:bCs w:val="false"/>
          <w:iCs w:val="false"/>
          <w:sz w:val="24"/>
          <w:szCs w:val="24"/>
          <w:shd w:fill="auto" w:val="clear"/>
          <w:lang w:eastAsia="en-US"/>
        </w:rPr>
        <w:t>2. 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 ФЗ).</w:t>
      </w:r>
    </w:p>
    <w:p>
      <w:pPr>
        <w:pStyle w:val="Normal"/>
        <w:spacing w:before="0" w:after="0"/>
        <w:ind w:left="0" w:right="0" w:firstLine="709"/>
        <w:jc w:val="both"/>
        <w:rPr>
          <w:rFonts w:ascii="Times New Roman" w:hAnsi="Times New Roman"/>
          <w:sz w:val="24"/>
          <w:szCs w:val="24"/>
        </w:rPr>
      </w:pPr>
      <w:r>
        <w:rPr>
          <w:rFonts w:eastAsia="TimesNewRomanPS-BoldMT" w:cs="Times New Roman"/>
          <w:b w:val="false"/>
          <w:bCs w:val="false"/>
          <w:iCs w:val="false"/>
          <w:sz w:val="24"/>
          <w:szCs w:val="24"/>
          <w:shd w:fill="auto" w:val="clear"/>
          <w:lang w:eastAsia="en-US"/>
        </w:rPr>
        <w:t xml:space="preserve">3. Иметь собственные средства (капитал) в размере не менее 25 млрд. рублей на 01 января текущего календарного года </w:t>
      </w:r>
      <w:r>
        <w:rPr>
          <w:rFonts w:eastAsia="TimesNewRomanPS-BoldMT" w:cs="Times New Roman"/>
          <w:b w:val="false"/>
          <w:bCs w:val="false"/>
          <w:iCs w:val="false"/>
          <w:strike w:val="false"/>
          <w:dstrike w:val="false"/>
          <w:sz w:val="24"/>
          <w:szCs w:val="24"/>
          <w:shd w:fill="auto" w:val="clear"/>
          <w:lang w:eastAsia="en-US"/>
        </w:rPr>
        <w:t>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(www.cbr.ru) на официальных сайтах ЦБ РФ и / или кредитной организации либо представленной кредитной организации Обществу.</w:t>
      </w:r>
    </w:p>
    <w:p>
      <w:pPr>
        <w:pStyle w:val="Normal"/>
        <w:spacing w:before="0" w:after="0"/>
        <w:ind w:left="0" w:right="0" w:firstLine="709"/>
        <w:jc w:val="both"/>
        <w:rPr/>
      </w:pPr>
      <w:r>
        <w:rPr>
          <w:rFonts w:eastAsia="TimesNewRomanPS-BoldMT" w:cs="Times New Roman"/>
          <w:b w:val="false"/>
          <w:bCs w:val="false"/>
          <w:iCs w:val="false"/>
          <w:sz w:val="24"/>
          <w:szCs w:val="24"/>
          <w:shd w:fill="auto" w:val="clear"/>
          <w:lang w:eastAsia="en-US"/>
        </w:rPr>
        <w:t>4. Иметь кредитный рейтинг по национальной шкале не ниже уровня «BBB» рейтингового агентства АКРА или не ниже уровня «ruBBB»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«Fitch-Ratings» или «Standard &amp; Poor's» либо уровня «Bа2» по классификации рейтингового агентства «Moody's Investors Service»</w:t>
      </w:r>
      <w:r>
        <w:rPr>
          <w:rStyle w:val="Style18"/>
          <w:rFonts w:eastAsia="TimesNewRomanPS-BoldMT" w:cs="Times New Roman"/>
          <w:b w:val="false"/>
          <w:bCs w:val="false"/>
          <w:iCs w:val="false"/>
          <w:sz w:val="24"/>
          <w:szCs w:val="24"/>
          <w:shd w:fill="auto" w:val="clear"/>
          <w:lang w:eastAsia="en-US"/>
        </w:rPr>
        <w:t xml:space="preserve"> </w:t>
      </w:r>
      <w:r>
        <w:rPr>
          <w:rStyle w:val="Style19"/>
          <w:rFonts w:eastAsia="TimesNewRomanPS-BoldMT" w:cs="Times New Roman"/>
          <w:b w:val="false"/>
          <w:bCs w:val="false"/>
          <w:iCs w:val="false"/>
          <w:sz w:val="24"/>
          <w:szCs w:val="24"/>
          <w:shd w:fill="auto" w:val="clear"/>
          <w:lang w:eastAsia="en-US"/>
        </w:rPr>
        <w:footnoteReference w:id="15"/>
      </w:r>
      <w:r>
        <w:rPr>
          <w:rFonts w:eastAsia="TimesNewRomanPS-BoldMT" w:cs="Times New Roman"/>
          <w:b w:val="false"/>
          <w:bCs w:val="false"/>
          <w:iCs w:val="false"/>
          <w:sz w:val="24"/>
          <w:szCs w:val="24"/>
          <w:shd w:fill="auto" w:val="clear"/>
          <w:lang w:eastAsia="en-US"/>
        </w:rPr>
        <w:t>.</w:t>
      </w:r>
    </w:p>
    <w:p>
      <w:pPr>
        <w:pStyle w:val="Normal"/>
        <w:spacing w:before="0" w:after="0"/>
        <w:ind w:left="0" w:right="0" w:firstLine="709"/>
        <w:jc w:val="both"/>
        <w:rPr/>
      </w:pPr>
      <w:r>
        <w:rPr>
          <w:rFonts w:eastAsia="TimesNewRomanPS-BoldMT" w:cs="Times New Roman"/>
          <w:b w:val="false"/>
          <w:bCs w:val="false"/>
          <w:iCs w:val="false"/>
          <w:sz w:val="24"/>
          <w:szCs w:val="24"/>
          <w:shd w:fill="auto" w:val="clear"/>
          <w:lang w:eastAsia="en-US"/>
        </w:rPr>
        <w:t>5. Участвовать в системе обязательного страхования вкладов в банках Российской Федерации в соответствии с Федеральным законом от 23.12.2003 № 177-ФЗ «О страховании вкладов в банках Российской Федерации»</w:t>
      </w:r>
      <w:r>
        <w:rPr>
          <w:rStyle w:val="Style18"/>
          <w:rFonts w:eastAsia="TimesNewRomanPS-BoldMT" w:cs="Times New Roman"/>
          <w:b w:val="false"/>
          <w:bCs w:val="false"/>
          <w:iCs w:val="false"/>
          <w:sz w:val="24"/>
          <w:szCs w:val="24"/>
          <w:shd w:fill="auto" w:val="clear"/>
          <w:lang w:eastAsia="en-US"/>
        </w:rPr>
        <w:t xml:space="preserve"> </w:t>
      </w:r>
      <w:r>
        <w:rPr>
          <w:rStyle w:val="Style19"/>
          <w:rFonts w:eastAsia="TimesNewRomanPS-BoldMT" w:cs="Times New Roman"/>
          <w:b w:val="false"/>
          <w:bCs w:val="false"/>
          <w:iCs w:val="false"/>
          <w:sz w:val="24"/>
          <w:szCs w:val="24"/>
          <w:shd w:fill="auto" w:val="clear"/>
          <w:lang w:eastAsia="en-US"/>
        </w:rPr>
        <w:footnoteReference w:id="16"/>
      </w:r>
      <w:r>
        <w:rPr>
          <w:rFonts w:eastAsia="TimesNewRomanPS-BoldMT" w:cs="Times New Roman"/>
          <w:b w:val="false"/>
          <w:bCs w:val="false"/>
          <w:iCs w:val="false"/>
          <w:sz w:val="24"/>
          <w:szCs w:val="24"/>
          <w:shd w:fill="auto" w:val="clear"/>
          <w:lang w:eastAsia="en-US"/>
        </w:rPr>
        <w:t>.</w:t>
      </w:r>
    </w:p>
    <w:p>
      <w:pPr>
        <w:pStyle w:val="Normal"/>
        <w:spacing w:before="0" w:after="0"/>
        <w:ind w:left="0" w:right="0" w:firstLine="709"/>
        <w:jc w:val="both"/>
        <w:rPr/>
      </w:pPr>
      <w:r>
        <w:rPr>
          <w:rFonts w:eastAsia="TimesNewRomanPS-BoldMT" w:cs="Times New Roman"/>
          <w:b w:val="false"/>
          <w:bCs w:val="false"/>
          <w:iCs w:val="false"/>
          <w:sz w:val="24"/>
          <w:szCs w:val="24"/>
          <w:shd w:fill="auto" w:val="clear"/>
          <w:lang w:eastAsia="en-US"/>
        </w:rPr>
        <w:t>6. Не находиться в процессе финансового оздоровления (санации), а также в Реестре банков, находящихся в процессе финансового оздоровления (санации) (опубликован на сайте Государственной корпорации «Агентство по страхованию вкладов» (</w:t>
      </w:r>
      <w:hyperlink r:id="rId8">
        <w:r>
          <w:rPr>
            <w:rFonts w:eastAsia="TimesNewRomanPS-BoldMT" w:cs="Times New Roman"/>
            <w:b w:val="false"/>
            <w:bCs w:val="false"/>
            <w:iCs w:val="false"/>
            <w:sz w:val="24"/>
            <w:szCs w:val="24"/>
            <w:shd w:fill="auto" w:val="clear"/>
            <w:lang w:eastAsia="en-US"/>
          </w:rPr>
          <w:t>http://www.asv.org.ru</w:t>
        </w:r>
      </w:hyperlink>
      <w:r>
        <w:rPr>
          <w:rFonts w:eastAsia="TimesNewRomanPS-BoldMT" w:cs="Times New Roman"/>
          <w:b w:val="false"/>
          <w:bCs w:val="false"/>
          <w:iCs w:val="false"/>
          <w:sz w:val="24"/>
          <w:szCs w:val="24"/>
          <w:shd w:fill="auto" w:val="clear"/>
          <w:lang w:eastAsia="en-US"/>
        </w:rPr>
        <w:t>))».</w:t>
      </w:r>
    </w:p>
    <w:p>
      <w:pPr>
        <w:pStyle w:val="Normal"/>
        <w:spacing w:before="0" w:after="0"/>
        <w:ind w:left="0" w:right="0" w:firstLine="709"/>
        <w:jc w:val="both"/>
        <w:rPr>
          <w:rFonts w:ascii="Times New Roman" w:hAnsi="Times New Roman"/>
          <w:sz w:val="24"/>
          <w:szCs w:val="24"/>
        </w:rPr>
      </w:pPr>
      <w:r>
        <w:rPr>
          <w:rFonts w:eastAsia="TimesNewRomanPS-BoldMT" w:cs="Times New Roman"/>
          <w:b w:val="false"/>
          <w:bCs w:val="false"/>
          <w:iCs w:val="false"/>
          <w:sz w:val="24"/>
          <w:szCs w:val="24"/>
          <w:shd w:fill="auto" w:val="clear"/>
          <w:lang w:eastAsia="en-US"/>
        </w:rPr>
        <w:t>7. Не иметь просроченную задолженность перед Обществом и компаниями Группы РусГидро.</w:t>
      </w:r>
    </w:p>
    <w:p>
      <w:pPr>
        <w:pStyle w:val="Normal"/>
        <w:spacing w:before="0" w:after="0"/>
        <w:ind w:left="0" w:right="0" w:firstLine="709"/>
        <w:jc w:val="both"/>
        <w:rPr>
          <w:rFonts w:ascii="Times New Roman" w:hAnsi="Times New Roman"/>
          <w:sz w:val="24"/>
          <w:szCs w:val="24"/>
        </w:rPr>
      </w:pPr>
      <w:r>
        <w:rPr>
          <w:rFonts w:eastAsia="TimesNewRomanPS-BoldMT" w:cs="Times New Roman"/>
          <w:b w:val="false"/>
          <w:bCs w:val="false"/>
          <w:iCs w:val="false"/>
          <w:sz w:val="24"/>
          <w:szCs w:val="24"/>
          <w:shd w:fill="auto" w:val="clear"/>
          <w:lang w:eastAsia="en-US"/>
        </w:rPr>
        <w:t>8. Требования, установленные пунктами 2 – 4 настоящих Критериев, не распространяются на кредитные организации:</w:t>
      </w:r>
    </w:p>
    <w:p>
      <w:pPr>
        <w:pStyle w:val="Normal"/>
        <w:spacing w:before="0" w:after="0"/>
        <w:ind w:left="0" w:right="0" w:firstLine="709"/>
        <w:jc w:val="both"/>
        <w:rPr>
          <w:rFonts w:ascii="Times New Roman" w:hAnsi="Times New Roman"/>
          <w:sz w:val="24"/>
          <w:szCs w:val="24"/>
        </w:rPr>
      </w:pPr>
      <w:r>
        <w:rPr>
          <w:rFonts w:eastAsia="TimesNewRomanPS-BoldMT" w:cs="Times New Roman"/>
          <w:b w:val="false"/>
          <w:bCs w:val="false"/>
          <w:iCs w:val="false"/>
          <w:sz w:val="24"/>
          <w:szCs w:val="24"/>
          <w:shd w:fill="auto" w:val="clear"/>
          <w:lang w:eastAsia="en-US"/>
        </w:rPr>
        <w:t>8.1. 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spacing w:before="0" w:after="0"/>
        <w:ind w:left="0" w:right="0" w:firstLine="709"/>
        <w:jc w:val="both"/>
        <w:rPr>
          <w:rFonts w:ascii="Times New Roman" w:hAnsi="Times New Roman"/>
          <w:sz w:val="24"/>
          <w:szCs w:val="24"/>
        </w:rPr>
      </w:pPr>
      <w:r>
        <w:rPr>
          <w:rFonts w:eastAsia="TimesNewRomanPS-BoldMT" w:cs="Times New Roman"/>
          <w:b w:val="false"/>
          <w:bCs w:val="false"/>
          <w:iCs w:val="false"/>
          <w:sz w:val="24"/>
          <w:szCs w:val="24"/>
          <w:shd w:fill="auto" w:val="clear"/>
          <w:lang w:eastAsia="en-US"/>
        </w:rPr>
        <w:t>8.2. Основной целью деятельности которых является реализация программ поддержки малого и среднего предпринимательства в соответствии Указом Президента Российской Федерации от 05.06.2015 № 287 «О мерах по дальнейшему развитию малого и среднего предпринимательства» и с Федеральным законом от 24.07.2007 № 209-ФЗ «О развитии малого и среднего предпринимательства в Российской Федерации».</w:t>
      </w:r>
    </w:p>
    <w:p>
      <w:pPr>
        <w:pStyle w:val="Normal"/>
        <w:spacing w:before="0" w:after="0"/>
        <w:ind w:left="0" w:right="0" w:firstLine="709"/>
        <w:jc w:val="both"/>
        <w:rPr>
          <w:rFonts w:ascii="Times New Roman" w:hAnsi="Times New Roman"/>
          <w:sz w:val="24"/>
          <w:szCs w:val="24"/>
        </w:rPr>
      </w:pPr>
      <w:r>
        <w:rPr>
          <w:rFonts w:eastAsia="TimesNewRomanPS-BoldMT" w:cs="Times New Roman"/>
          <w:b w:val="false"/>
          <w:bCs w:val="false"/>
          <w:iCs w:val="false"/>
          <w:sz w:val="24"/>
          <w:szCs w:val="24"/>
          <w:shd w:fill="auto" w:val="clear"/>
          <w:lang w:eastAsia="en-US"/>
        </w:rPr>
        <w:t>8.3. 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spacing w:before="0" w:after="0"/>
        <w:ind w:left="0" w:right="0" w:firstLine="709"/>
        <w:jc w:val="both"/>
        <w:rPr>
          <w:rFonts w:ascii="Times New Roman" w:hAnsi="Times New Roman"/>
          <w:sz w:val="24"/>
          <w:szCs w:val="24"/>
        </w:rPr>
      </w:pPr>
      <w:r>
        <w:rPr>
          <w:rFonts w:eastAsia="TimesNewRomanPS-BoldMT" w:cs="Times New Roman"/>
          <w:b w:val="false"/>
          <w:bCs w:val="false"/>
          <w:iCs w:val="false"/>
          <w:sz w:val="24"/>
          <w:szCs w:val="24"/>
          <w:shd w:fill="auto" w:val="clear"/>
          <w:lang w:eastAsia="en-US"/>
        </w:rPr>
        <w:t>8.4. ВЭБ.РФ.</w:t>
      </w:r>
    </w:p>
    <w:p>
      <w:pPr>
        <w:pStyle w:val="Normal"/>
        <w:spacing w:before="0" w:after="0"/>
        <w:ind w:left="0" w:right="0" w:firstLine="709"/>
        <w:jc w:val="both"/>
        <w:rPr>
          <w:rFonts w:ascii="Times New Roman" w:hAnsi="Times New Roman"/>
          <w:sz w:val="24"/>
          <w:szCs w:val="24"/>
        </w:rPr>
      </w:pPr>
      <w:r>
        <w:rPr>
          <w:rFonts w:eastAsia="TimesNewRomanPS-BoldMT" w:cs="Times New Roman"/>
          <w:b w:val="false"/>
          <w:bCs w:val="false"/>
          <w:iCs w:val="false"/>
          <w:sz w:val="24"/>
          <w:szCs w:val="24"/>
          <w:shd w:fill="auto" w:val="clear"/>
          <w:lang w:eastAsia="en-US"/>
        </w:rPr>
        <w:t>8.5. Нерезидентов Российской Федерации.</w:t>
      </w:r>
    </w:p>
    <w:p>
      <w:pPr>
        <w:pStyle w:val="Normal"/>
        <w:spacing w:before="0" w:after="0"/>
        <w:ind w:left="0" w:right="0" w:firstLine="709"/>
        <w:jc w:val="both"/>
        <w:rPr>
          <w:rFonts w:ascii="Times New Roman" w:hAnsi="Times New Roman"/>
          <w:sz w:val="24"/>
          <w:szCs w:val="24"/>
        </w:rPr>
      </w:pPr>
      <w:r>
        <w:rPr>
          <w:rFonts w:eastAsia="TimesNewRomanPS-BoldMT" w:cs="Times New Roman"/>
          <w:b w:val="false"/>
          <w:bCs w:val="false"/>
          <w:iCs w:val="false"/>
          <w:sz w:val="24"/>
          <w:szCs w:val="24"/>
          <w:shd w:fill="auto" w:val="clear"/>
          <w:lang w:eastAsia="en-US"/>
        </w:rPr>
        <w:t>9. 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spacing w:before="0" w:after="0"/>
        <w:ind w:left="0" w:right="0" w:firstLine="709"/>
        <w:jc w:val="both"/>
        <w:rPr>
          <w:rFonts w:ascii="Times New Roman" w:hAnsi="Times New Roman"/>
          <w:sz w:val="24"/>
          <w:szCs w:val="24"/>
        </w:rPr>
      </w:pPr>
      <w:r>
        <w:rPr>
          <w:rFonts w:eastAsia="TimesNewRomanPS-BoldMT" w:cs="Times New Roman"/>
          <w:b w:val="false"/>
          <w:bCs w:val="false"/>
          <w:iCs w:val="false"/>
          <w:sz w:val="24"/>
          <w:szCs w:val="24"/>
          <w:shd w:fill="auto" w:val="clear"/>
          <w:lang w:eastAsia="en-US"/>
        </w:rPr>
        <w:t>LimAi = ri × СKi, где</w:t>
      </w:r>
    </w:p>
    <w:p>
      <w:pPr>
        <w:pStyle w:val="Normal"/>
        <w:spacing w:before="0" w:after="0"/>
        <w:ind w:left="0" w:right="0" w:firstLine="709"/>
        <w:jc w:val="both"/>
        <w:rPr>
          <w:rFonts w:ascii="Times New Roman" w:hAnsi="Times New Roman"/>
          <w:sz w:val="24"/>
          <w:szCs w:val="24"/>
        </w:rPr>
      </w:pPr>
      <w:r>
        <w:rPr>
          <w:rFonts w:eastAsia="TimesNewRomanPS-BoldMT" w:cs="Times New Roman"/>
          <w:b w:val="false"/>
          <w:bCs w:val="false"/>
          <w:iCs w:val="false"/>
          <w:sz w:val="24"/>
          <w:szCs w:val="24"/>
          <w:shd w:fill="auto" w:val="clear"/>
          <w:lang w:eastAsia="en-US"/>
        </w:rPr>
        <w:t>LimAi - Лимит риска для i-ой кредитной организации</w:t>
      </w:r>
      <w:r>
        <w:rPr>
          <w:rStyle w:val="Style19"/>
          <w:rFonts w:eastAsia="TimesNewRomanPS-BoldMT" w:cs="Times New Roman"/>
          <w:b w:val="false"/>
          <w:bCs w:val="false"/>
          <w:iCs w:val="false"/>
          <w:sz w:val="24"/>
          <w:szCs w:val="24"/>
          <w:shd w:fill="auto" w:val="clear"/>
          <w:lang w:eastAsia="en-US"/>
        </w:rPr>
        <w:footnoteReference w:id="17"/>
      </w:r>
      <w:r>
        <w:rPr>
          <w:rFonts w:eastAsia="TimesNewRomanPS-BoldMT" w:cs="Times New Roman"/>
          <w:b w:val="false"/>
          <w:bCs w:val="false"/>
          <w:iCs w:val="false"/>
          <w:sz w:val="24"/>
          <w:szCs w:val="24"/>
          <w:shd w:fill="auto" w:val="clear"/>
          <w:lang w:eastAsia="en-US"/>
        </w:rPr>
        <w:t>.</w:t>
      </w:r>
    </w:p>
    <w:p>
      <w:pPr>
        <w:pStyle w:val="Normal"/>
        <w:spacing w:before="0" w:after="0"/>
        <w:ind w:left="0" w:right="0" w:firstLine="709"/>
        <w:jc w:val="both"/>
        <w:rPr>
          <w:rFonts w:ascii="Times New Roman" w:hAnsi="Times New Roman"/>
          <w:sz w:val="24"/>
          <w:szCs w:val="24"/>
        </w:rPr>
      </w:pPr>
      <w:r>
        <w:rPr>
          <w:rFonts w:eastAsia="TimesNewRomanPS-BoldMT" w:cs="Times New Roman"/>
          <w:b w:val="false"/>
          <w:bCs w:val="false"/>
          <w:iCs w:val="false"/>
          <w:sz w:val="24"/>
          <w:szCs w:val="24"/>
          <w:shd w:fill="auto" w:val="clear"/>
          <w:lang w:eastAsia="en-US"/>
        </w:rPr>
        <w:t>СKi - размер собственных средств (капитала) i-ой кредитной организации на 01 января текущего календарного года</w:t>
      </w:r>
      <w:r>
        <w:rPr>
          <w:rFonts w:eastAsia="TimesNewRomanPS-BoldMT" w:cs="Times New Roman"/>
          <w:b w:val="false"/>
          <w:bCs w:val="false"/>
          <w:iCs w:val="false"/>
          <w:strike w:val="false"/>
          <w:dstrike w:val="false"/>
          <w:sz w:val="24"/>
          <w:szCs w:val="24"/>
          <w:u w:val="none"/>
          <w:shd w:fill="auto" w:val="clear"/>
          <w:lang w:eastAsia="en-US"/>
        </w:rPr>
        <w:t xml:space="preserve"> </w:t>
      </w:r>
      <w:r>
        <w:rPr>
          <w:rFonts w:eastAsia="TimesNewRomanPS-BoldMT" w:cs="Times New Roman"/>
          <w:b w:val="false"/>
          <w:bCs w:val="false"/>
          <w:iCs w:val="false"/>
          <w:sz w:val="24"/>
          <w:szCs w:val="24"/>
          <w:shd w:fill="auto" w:val="clear"/>
          <w:lang w:eastAsia="en-US"/>
        </w:rPr>
        <w:t>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(www.cbr.ru) на официальных сайтах ЦБ РФ и / или кредитной организации либо представленной кредитной организацией Обществу;</w:t>
      </w:r>
    </w:p>
    <w:p>
      <w:pPr>
        <w:pStyle w:val="Normal"/>
        <w:spacing w:before="0" w:after="0"/>
        <w:ind w:left="0" w:right="0" w:firstLine="709"/>
        <w:jc w:val="both"/>
        <w:rPr>
          <w:rFonts w:ascii="Times New Roman" w:hAnsi="Times New Roman"/>
          <w:sz w:val="24"/>
          <w:szCs w:val="24"/>
        </w:rPr>
      </w:pPr>
      <w:r>
        <w:rPr>
          <w:rFonts w:eastAsia="TimesNewRomanPS-BoldMT" w:cs="Times New Roman"/>
          <w:b w:val="false"/>
          <w:bCs w:val="false"/>
          <w:iCs w:val="false"/>
          <w:sz w:val="24"/>
          <w:szCs w:val="24"/>
          <w:shd w:fill="auto" w:val="clear"/>
          <w:lang w:eastAsia="en-US"/>
        </w:rPr>
        <w:t>ri - рейтинговый коэффициент</w:t>
      </w:r>
      <w:r>
        <w:rPr>
          <w:rStyle w:val="Style19"/>
          <w:rFonts w:eastAsia="TimesNewRomanPS-BoldMT" w:cs="Times New Roman"/>
          <w:b w:val="false"/>
          <w:bCs w:val="false"/>
          <w:iCs w:val="false"/>
          <w:sz w:val="24"/>
          <w:szCs w:val="24"/>
          <w:shd w:fill="auto" w:val="clear"/>
          <w:lang w:eastAsia="en-US"/>
        </w:rPr>
        <w:footnoteReference w:id="18"/>
      </w:r>
      <w:r>
        <w:rPr>
          <w:rFonts w:eastAsia="TimesNewRomanPS-BoldMT" w:cs="Times New Roman"/>
          <w:b w:val="false"/>
          <w:bCs w:val="false"/>
          <w:iCs w:val="false"/>
          <w:sz w:val="24"/>
          <w:szCs w:val="24"/>
          <w:shd w:fill="auto" w:val="clear"/>
          <w:lang w:eastAsia="en-US"/>
        </w:rPr>
        <w:t xml:space="preserve"> для i-ой кредитной организации, равный:</w:t>
      </w:r>
    </w:p>
    <w:p>
      <w:pPr>
        <w:pStyle w:val="Normal"/>
        <w:spacing w:before="0" w:after="0"/>
        <w:ind w:left="0" w:right="0" w:firstLine="709"/>
        <w:jc w:val="both"/>
        <w:rPr>
          <w:rFonts w:ascii="Times New Roman" w:hAnsi="Times New Roman"/>
          <w:sz w:val="24"/>
          <w:szCs w:val="24"/>
        </w:rPr>
      </w:pPr>
      <w:r>
        <w:rPr>
          <w:rFonts w:eastAsia="TimesNewRomanPS-BoldMT" w:cs="Times New Roman"/>
          <w:b w:val="false"/>
          <w:bCs w:val="false"/>
          <w:iCs w:val="false"/>
          <w:sz w:val="24"/>
          <w:szCs w:val="24"/>
          <w:shd w:fill="auto" w:val="clear"/>
          <w:lang w:eastAsia="en-US"/>
        </w:rPr>
        <w:t xml:space="preserve">0,075 - если i-ая кредитная организация имеет национальный рейтинг кредитоспособности не ниже уровня </w:t>
      </w:r>
      <w:r>
        <w:rPr>
          <w:rFonts w:eastAsia="TimesNewRomanPS-BoldMT" w:cs="Times New Roman"/>
          <w:b/>
          <w:bCs/>
          <w:iCs w:val="false"/>
          <w:sz w:val="24"/>
          <w:szCs w:val="24"/>
          <w:shd w:fill="auto" w:val="clear"/>
          <w:lang w:eastAsia="en-US"/>
        </w:rPr>
        <w:t>«АА-»</w:t>
      </w:r>
      <w:r>
        <w:rPr>
          <w:rFonts w:eastAsia="TimesNewRomanPS-BoldMT" w:cs="Times New Roman"/>
          <w:b w:val="false"/>
          <w:bCs w:val="false"/>
          <w:iCs w:val="false"/>
          <w:sz w:val="24"/>
          <w:szCs w:val="24"/>
          <w:shd w:fill="auto" w:val="clear"/>
          <w:lang w:eastAsia="en-US"/>
        </w:rPr>
        <w:t xml:space="preserve"> по классификации рейтингового агентства АКРА или не ниже уровня </w:t>
      </w:r>
      <w:r>
        <w:rPr>
          <w:rFonts w:eastAsia="TimesNewRomanPS-BoldMT" w:cs="Times New Roman"/>
          <w:b/>
          <w:bCs/>
          <w:iCs w:val="false"/>
          <w:sz w:val="24"/>
          <w:szCs w:val="24"/>
          <w:shd w:fill="auto" w:val="clear"/>
          <w:lang w:eastAsia="en-US"/>
        </w:rPr>
        <w:t>«ruАA-»</w:t>
      </w:r>
      <w:r>
        <w:rPr>
          <w:rFonts w:eastAsia="TimesNewRomanPS-BoldMT" w:cs="Times New Roman"/>
          <w:b w:val="false"/>
          <w:bCs w:val="false"/>
          <w:iCs w:val="false"/>
          <w:sz w:val="24"/>
          <w:szCs w:val="24"/>
          <w:shd w:fill="auto" w:val="clear"/>
          <w:lang w:eastAsia="en-US"/>
        </w:rPr>
        <w:t xml:space="preserve"> по классификации рейтингового агентства Эксперт РА;</w:t>
      </w:r>
    </w:p>
    <w:p>
      <w:pPr>
        <w:pStyle w:val="Normal"/>
        <w:spacing w:before="0" w:after="0"/>
        <w:ind w:left="0" w:right="0" w:firstLine="709"/>
        <w:jc w:val="both"/>
        <w:rPr>
          <w:rFonts w:ascii="Times New Roman" w:hAnsi="Times New Roman"/>
          <w:sz w:val="24"/>
          <w:szCs w:val="24"/>
        </w:rPr>
      </w:pPr>
      <w:r>
        <w:rPr>
          <w:rFonts w:eastAsia="TimesNewRomanPS-BoldMT" w:cs="Times New Roman"/>
          <w:b w:val="false"/>
          <w:bCs w:val="false"/>
          <w:iCs w:val="false"/>
          <w:sz w:val="24"/>
          <w:szCs w:val="24"/>
          <w:shd w:fill="auto" w:val="clear"/>
          <w:lang w:eastAsia="en-US"/>
        </w:rPr>
        <w:t xml:space="preserve">0,05 - если i-ая кредитная организация имеет национальный рейтинг кредитоспособности не ниже уровня </w:t>
      </w:r>
      <w:r>
        <w:rPr>
          <w:rFonts w:eastAsia="TimesNewRomanPS-BoldMT" w:cs="Times New Roman"/>
          <w:b/>
          <w:bCs/>
          <w:iCs w:val="false"/>
          <w:sz w:val="24"/>
          <w:szCs w:val="24"/>
          <w:shd w:fill="auto" w:val="clear"/>
          <w:lang w:eastAsia="en-US"/>
        </w:rPr>
        <w:t>«А-»</w:t>
      </w:r>
      <w:r>
        <w:rPr>
          <w:rFonts w:eastAsia="TimesNewRomanPS-BoldMT" w:cs="Times New Roman"/>
          <w:b w:val="false"/>
          <w:bCs w:val="false"/>
          <w:iCs w:val="false"/>
          <w:sz w:val="24"/>
          <w:szCs w:val="24"/>
          <w:shd w:fill="auto" w:val="clear"/>
          <w:lang w:eastAsia="en-US"/>
        </w:rPr>
        <w:t xml:space="preserve"> по классификации рейтингового агентства АКРА или не ниже уровня </w:t>
      </w:r>
      <w:r>
        <w:rPr>
          <w:rFonts w:eastAsia="TimesNewRomanPS-BoldMT" w:cs="Times New Roman"/>
          <w:b/>
          <w:bCs/>
          <w:iCs w:val="false"/>
          <w:sz w:val="24"/>
          <w:szCs w:val="24"/>
          <w:shd w:fill="auto" w:val="clear"/>
          <w:lang w:eastAsia="en-US"/>
        </w:rPr>
        <w:t>«ruA-»</w:t>
      </w:r>
      <w:r>
        <w:rPr>
          <w:rFonts w:eastAsia="TimesNewRomanPS-BoldMT" w:cs="Times New Roman"/>
          <w:b w:val="false"/>
          <w:bCs w:val="false"/>
          <w:iCs w:val="false"/>
          <w:sz w:val="24"/>
          <w:szCs w:val="24"/>
          <w:shd w:fill="auto" w:val="clear"/>
          <w:lang w:eastAsia="en-US"/>
        </w:rPr>
        <w:t xml:space="preserve"> по классификации рейтингового агентства Эксперт РА;</w:t>
      </w:r>
    </w:p>
    <w:p>
      <w:pPr>
        <w:pStyle w:val="Normal"/>
        <w:spacing w:before="0" w:after="0"/>
        <w:ind w:left="0" w:right="0" w:firstLine="709"/>
        <w:jc w:val="both"/>
        <w:rPr>
          <w:rFonts w:ascii="Times New Roman" w:hAnsi="Times New Roman"/>
          <w:sz w:val="24"/>
          <w:szCs w:val="24"/>
        </w:rPr>
      </w:pPr>
      <w:r>
        <w:rPr>
          <w:rFonts w:eastAsia="TimesNewRomanPS-BoldMT" w:cs="Times New Roman"/>
          <w:b w:val="false"/>
          <w:bCs w:val="false"/>
          <w:iCs w:val="false"/>
          <w:color w:val="00000A"/>
          <w:sz w:val="24"/>
          <w:szCs w:val="24"/>
          <w:shd w:fill="auto" w:val="clear"/>
          <w:lang w:eastAsia="en-US"/>
        </w:rPr>
        <w:t xml:space="preserve">0,025 - если i-ая кредитная организация имеет национальный рейтинг кредитоспособности не ниже уровня </w:t>
      </w:r>
      <w:r>
        <w:rPr>
          <w:rFonts w:eastAsia="TimesNewRomanPS-BoldMT" w:cs="Times New Roman"/>
          <w:b/>
          <w:bCs/>
          <w:iCs w:val="false"/>
          <w:color w:val="00000A"/>
          <w:sz w:val="24"/>
          <w:szCs w:val="24"/>
          <w:shd w:fill="auto" w:val="clear"/>
          <w:lang w:eastAsia="en-US"/>
        </w:rPr>
        <w:t>«BBВ»</w:t>
      </w:r>
      <w:r>
        <w:rPr>
          <w:rFonts w:eastAsia="TimesNewRomanPS-BoldMT" w:cs="Times New Roman"/>
          <w:b w:val="false"/>
          <w:bCs w:val="false"/>
          <w:iCs w:val="false"/>
          <w:color w:val="00000A"/>
          <w:sz w:val="24"/>
          <w:szCs w:val="24"/>
          <w:shd w:fill="auto" w:val="clear"/>
          <w:lang w:eastAsia="en-US"/>
        </w:rPr>
        <w:t xml:space="preserve"> по классификации рейтингового агентства АКРА или не ниже уровня </w:t>
      </w:r>
      <w:r>
        <w:rPr>
          <w:rFonts w:eastAsia="TimesNewRomanPS-BoldMT" w:cs="Times New Roman"/>
          <w:b/>
          <w:bCs/>
          <w:iCs w:val="false"/>
          <w:color w:val="00000A"/>
          <w:sz w:val="24"/>
          <w:szCs w:val="24"/>
          <w:shd w:fill="auto" w:val="clear"/>
          <w:lang w:eastAsia="en-US"/>
        </w:rPr>
        <w:t>«ruBBВ»</w:t>
      </w:r>
      <w:r>
        <w:rPr>
          <w:rFonts w:eastAsia="TimesNewRomanPS-BoldMT" w:cs="Times New Roman"/>
          <w:b w:val="false"/>
          <w:bCs w:val="false"/>
          <w:iCs w:val="false"/>
          <w:color w:val="00000A"/>
          <w:sz w:val="24"/>
          <w:szCs w:val="24"/>
          <w:shd w:fill="auto" w:val="clear"/>
          <w:lang w:eastAsia="en-US"/>
        </w:rPr>
        <w:t xml:space="preserve"> по классификации рейтингового агентства Эксперт РА, а также находится в процессе финансового оздоровления (санации).</w:t>
      </w:r>
    </w:p>
    <w:p>
      <w:pPr>
        <w:pStyle w:val="Normal"/>
        <w:rPr>
          <w:rFonts w:ascii="Times New Roman" w:hAnsi="Times New Roman"/>
          <w:sz w:val="24"/>
          <w:szCs w:val="24"/>
          <w:shd w:fill="auto" w:val="clear"/>
        </w:rPr>
      </w:pPr>
      <w:r>
        <w:rPr>
          <w:sz w:val="24"/>
          <w:szCs w:val="24"/>
          <w:shd w:fill="auto" w:val="clear"/>
        </w:rPr>
      </w:r>
    </w:p>
    <w:p>
      <w:pPr>
        <w:pStyle w:val="Normal"/>
        <w:keepNext w:val="true"/>
        <w:keepLines/>
        <w:widowControl/>
        <w:spacing w:before="0" w:after="0"/>
        <w:ind w:left="720" w:hanging="0"/>
        <w:contextualSpacing/>
        <w:jc w:val="both"/>
        <w:rPr>
          <w:rFonts w:ascii="Times New Roman" w:hAnsi="Times New Roman"/>
          <w:color w:val="000000"/>
          <w:sz w:val="24"/>
          <w:szCs w:val="24"/>
        </w:rPr>
      </w:pPr>
      <w:r>
        <w:rPr>
          <w:color w:val="000000"/>
          <w:sz w:val="24"/>
          <w:szCs w:val="24"/>
        </w:rPr>
      </w:r>
    </w:p>
    <w:p>
      <w:pPr>
        <w:pStyle w:val="Normal"/>
        <w:keepNext w:val="true"/>
        <w:keepLines/>
        <w:widowControl/>
        <w:spacing w:before="0" w:after="0"/>
        <w:ind w:left="720" w:hanging="0"/>
        <w:contextualSpacing/>
        <w:jc w:val="both"/>
        <w:rPr>
          <w:rFonts w:ascii="Times New Roman" w:hAnsi="Times New Roman"/>
          <w:color w:val="000000"/>
          <w:sz w:val="24"/>
          <w:szCs w:val="24"/>
        </w:rPr>
      </w:pPr>
      <w:r>
        <w:rPr>
          <w:color w:val="000000"/>
          <w:sz w:val="24"/>
          <w:szCs w:val="24"/>
        </w:rPr>
      </w:r>
    </w:p>
    <w:p>
      <w:pPr>
        <w:pStyle w:val="Normal"/>
        <w:keepNext w:val="true"/>
        <w:keepLines/>
        <w:tabs>
          <w:tab w:val="clear" w:pos="708"/>
          <w:tab w:val="left" w:pos="3360" w:leader="none"/>
        </w:tabs>
        <w:jc w:val="center"/>
        <w:rPr>
          <w:rFonts w:ascii="Times New Roman" w:hAnsi="Times New Roman"/>
          <w:sz w:val="24"/>
          <w:szCs w:val="24"/>
        </w:rPr>
      </w:pPr>
      <w:r>
        <w:rPr>
          <w:sz w:val="24"/>
          <w:szCs w:val="24"/>
        </w:rPr>
      </w:r>
    </w:p>
    <w:p>
      <w:pPr>
        <w:pStyle w:val="Normal"/>
        <w:keepNext w:val="true"/>
        <w:keepLines/>
        <w:tabs>
          <w:tab w:val="clear" w:pos="708"/>
          <w:tab w:val="left" w:pos="3360" w:leader="none"/>
        </w:tabs>
        <w:jc w:val="center"/>
        <w:rPr>
          <w:rFonts w:ascii="Times New Roman" w:hAnsi="Times New Roman"/>
          <w:sz w:val="24"/>
          <w:szCs w:val="24"/>
        </w:rPr>
      </w:pPr>
      <w:r>
        <w:rPr>
          <w:b/>
          <w:sz w:val="24"/>
          <w:szCs w:val="24"/>
        </w:rPr>
        <w:t>Подписи Сторон:</w:t>
      </w:r>
    </w:p>
    <w:p>
      <w:pPr>
        <w:pStyle w:val="Normal"/>
        <w:keepNext w:val="true"/>
        <w:keepLines/>
        <w:tabs>
          <w:tab w:val="clear" w:pos="708"/>
          <w:tab w:val="left" w:pos="3360" w:leader="none"/>
        </w:tabs>
        <w:rPr>
          <w:rFonts w:ascii="Times New Roman" w:hAnsi="Times New Roman"/>
          <w:sz w:val="24"/>
          <w:szCs w:val="24"/>
        </w:rPr>
      </w:pPr>
      <w:r>
        <w:rPr>
          <w:sz w:val="24"/>
          <w:szCs w:val="24"/>
        </w:rPr>
      </w:r>
    </w:p>
    <w:p>
      <w:pPr>
        <w:pStyle w:val="Normal"/>
        <w:keepNext w:val="true"/>
        <w:keepLines/>
        <w:tabs>
          <w:tab w:val="clear" w:pos="708"/>
          <w:tab w:val="left" w:pos="3360" w:leader="none"/>
        </w:tabs>
        <w:rPr>
          <w:rFonts w:ascii="Times New Roman" w:hAnsi="Times New Roman"/>
          <w:sz w:val="24"/>
          <w:szCs w:val="24"/>
        </w:rPr>
      </w:pPr>
      <w:r>
        <w:rPr>
          <w:sz w:val="24"/>
          <w:szCs w:val="24"/>
        </w:rPr>
      </w:r>
      <w:r>
        <w:br w:type="page"/>
      </w:r>
    </w:p>
    <w:p>
      <w:pPr>
        <w:pStyle w:val="Normal"/>
        <w:suppressAutoHyphens w:val="true"/>
        <w:ind w:right="96" w:firstLine="5103"/>
        <w:rPr>
          <w:rFonts w:ascii="Times New Roman" w:hAnsi="Times New Roman"/>
          <w:sz w:val="24"/>
          <w:szCs w:val="24"/>
        </w:rPr>
      </w:pPr>
      <w:r>
        <w:rPr>
          <w:sz w:val="24"/>
          <w:szCs w:val="24"/>
        </w:rPr>
        <w:t>Приложение № 3</w:t>
      </w:r>
    </w:p>
    <w:p>
      <w:pPr>
        <w:pStyle w:val="Normal"/>
        <w:suppressAutoHyphens w:val="true"/>
        <w:ind w:right="96" w:firstLine="5103"/>
        <w:rPr>
          <w:rFonts w:ascii="Times New Roman" w:hAnsi="Times New Roman"/>
          <w:sz w:val="24"/>
          <w:szCs w:val="24"/>
        </w:rPr>
      </w:pPr>
      <w:r>
        <w:rPr>
          <w:sz w:val="24"/>
          <w:szCs w:val="24"/>
        </w:rPr>
        <w:t>к Договору поставки</w:t>
      </w:r>
    </w:p>
    <w:p>
      <w:pPr>
        <w:pStyle w:val="Normal"/>
        <w:ind w:firstLine="5103"/>
        <w:rPr>
          <w:rFonts w:ascii="Times New Roman" w:hAnsi="Times New Roman"/>
          <w:sz w:val="24"/>
          <w:szCs w:val="24"/>
        </w:rPr>
      </w:pPr>
      <w:r>
        <w:rPr>
          <w:sz w:val="24"/>
          <w:szCs w:val="24"/>
        </w:rPr>
        <w:t>от «____» __________ 20 _ г. № _____</w:t>
      </w:r>
    </w:p>
    <w:p>
      <w:pPr>
        <w:pStyle w:val="Normal"/>
        <w:widowControl/>
        <w:shd w:val="clear" w:color="auto" w:fill="FFFFFF"/>
        <w:tabs>
          <w:tab w:val="clear" w:pos="708"/>
          <w:tab w:val="left" w:pos="1418" w:leader="none"/>
        </w:tabs>
        <w:spacing w:before="0" w:after="0"/>
        <w:contextualSpacing/>
        <w:jc w:val="center"/>
        <w:rPr>
          <w:rFonts w:ascii="Times New Roman" w:hAnsi="Times New Roman"/>
          <w:bCs/>
          <w:sz w:val="24"/>
          <w:szCs w:val="24"/>
        </w:rPr>
      </w:pPr>
      <w:r>
        <w:rPr>
          <w:bCs/>
          <w:sz w:val="24"/>
          <w:szCs w:val="24"/>
        </w:rPr>
      </w:r>
    </w:p>
    <w:p>
      <w:pPr>
        <w:pStyle w:val="Normal"/>
        <w:widowControl/>
        <w:suppressAutoHyphens w:val="true"/>
        <w:spacing w:lineRule="auto" w:line="259"/>
        <w:rPr>
          <w:rFonts w:ascii="Times New Roman" w:hAnsi="Times New Roman" w:eastAsia="Calibri"/>
          <w:sz w:val="24"/>
          <w:szCs w:val="24"/>
          <w:lang w:eastAsia="en-US"/>
        </w:rPr>
      </w:pPr>
      <w:r>
        <w:rPr>
          <w:rFonts w:eastAsia="Calibri"/>
          <w:sz w:val="24"/>
          <w:szCs w:val="24"/>
          <w:lang w:eastAsia="en-US"/>
        </w:rPr>
      </w:r>
    </w:p>
    <w:p>
      <w:pPr>
        <w:pStyle w:val="Normal"/>
        <w:jc w:val="center"/>
        <w:rPr>
          <w:rFonts w:ascii="Times New Roman" w:hAnsi="Times New Roman"/>
          <w:sz w:val="24"/>
          <w:szCs w:val="24"/>
        </w:rPr>
      </w:pPr>
      <w:r>
        <w:rPr>
          <w:b/>
          <w:bCs/>
          <w:sz w:val="24"/>
          <w:szCs w:val="24"/>
        </w:rPr>
        <w:t>Размер ответственности Поставщика за нарушения</w:t>
      </w:r>
    </w:p>
    <w:p>
      <w:pPr>
        <w:pStyle w:val="Normal"/>
        <w:jc w:val="center"/>
        <w:rPr>
          <w:rFonts w:ascii="Times New Roman" w:hAnsi="Times New Roman"/>
          <w:sz w:val="24"/>
          <w:szCs w:val="24"/>
        </w:rPr>
      </w:pPr>
      <w:r>
        <w:rPr>
          <w:b/>
          <w:bCs/>
          <w:sz w:val="24"/>
          <w:szCs w:val="24"/>
        </w:rPr>
        <w:t>пропускного и внутриобъектового режима, требований охраны труда,</w:t>
      </w:r>
    </w:p>
    <w:p>
      <w:pPr>
        <w:pStyle w:val="Normal"/>
        <w:jc w:val="center"/>
        <w:rPr>
          <w:rFonts w:ascii="Times New Roman" w:hAnsi="Times New Roman"/>
          <w:sz w:val="24"/>
          <w:szCs w:val="24"/>
        </w:rPr>
      </w:pPr>
      <w:r>
        <w:rPr>
          <w:b/>
          <w:bCs/>
          <w:sz w:val="24"/>
          <w:szCs w:val="24"/>
        </w:rPr>
        <w:t>пожарной и промышленной безопасности</w:t>
      </w:r>
    </w:p>
    <w:p>
      <w:pPr>
        <w:pStyle w:val="Normal"/>
        <w:rPr>
          <w:rFonts w:ascii="Times New Roman" w:hAnsi="Times New Roman"/>
          <w:b/>
          <w:b/>
          <w:sz w:val="24"/>
          <w:szCs w:val="24"/>
        </w:rPr>
      </w:pPr>
      <w:r>
        <w:rPr>
          <w:b/>
          <w:sz w:val="24"/>
          <w:szCs w:val="24"/>
        </w:rPr>
      </w:r>
    </w:p>
    <w:tbl>
      <w:tblPr>
        <w:tblW w:w="5000" w:type="pct"/>
        <w:jc w:val="left"/>
        <w:tblInd w:w="-15" w:type="dxa"/>
        <w:tblLayout w:type="fixed"/>
        <w:tblCellMar>
          <w:top w:w="0" w:type="dxa"/>
          <w:left w:w="78" w:type="dxa"/>
          <w:bottom w:w="0" w:type="dxa"/>
          <w:right w:w="108" w:type="dxa"/>
        </w:tblCellMar>
        <w:tblLook w:val="01e0" w:noHBand="0" w:noVBand="0" w:firstColumn="1" w:lastRow="1" w:lastColumn="1" w:firstRow="1"/>
      </w:tblPr>
      <w:tblGrid>
        <w:gridCol w:w="3670"/>
        <w:gridCol w:w="5966"/>
      </w:tblGrid>
      <w:tr>
        <w:trPr/>
        <w:tc>
          <w:tcPr>
            <w:tcW w:w="367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ascii="Times New Roman" w:hAnsi="Times New Roman"/>
                <w:b/>
                <w:b/>
                <w:sz w:val="24"/>
                <w:szCs w:val="24"/>
              </w:rPr>
            </w:pPr>
            <w:r>
              <w:rPr>
                <w:b/>
                <w:sz w:val="24"/>
                <w:szCs w:val="24"/>
              </w:rPr>
              <w:t>Виды нарушений</w:t>
            </w:r>
          </w:p>
        </w:tc>
        <w:tc>
          <w:tcPr>
            <w:tcW w:w="596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ascii="Times New Roman" w:hAnsi="Times New Roman"/>
                <w:b/>
                <w:b/>
                <w:sz w:val="24"/>
                <w:szCs w:val="24"/>
              </w:rPr>
            </w:pPr>
            <w:r>
              <w:rPr>
                <w:b/>
                <w:sz w:val="24"/>
                <w:szCs w:val="24"/>
              </w:rPr>
              <w:t>Штрафные санкции</w:t>
            </w:r>
          </w:p>
        </w:tc>
      </w:tr>
      <w:tr>
        <w:trPr/>
        <w:tc>
          <w:tcPr>
            <w:tcW w:w="367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ascii="Times New Roman" w:hAnsi="Times New Roman"/>
                <w:sz w:val="24"/>
                <w:szCs w:val="24"/>
              </w:rPr>
            </w:pPr>
            <w:r>
              <w:rPr>
                <w:sz w:val="24"/>
                <w:szCs w:val="24"/>
              </w:rPr>
              <w:t>1. Нарушение правил пожарной безопасности (ППБ):</w:t>
            </w:r>
          </w:p>
        </w:tc>
        <w:tc>
          <w:tcPr>
            <w:tcW w:w="596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ascii="Times New Roman" w:hAnsi="Times New Roman"/>
                <w:sz w:val="24"/>
                <w:szCs w:val="24"/>
              </w:rPr>
            </w:pPr>
            <w:r>
              <w:rPr>
                <w:sz w:val="24"/>
                <w:szCs w:val="24"/>
              </w:rPr>
            </w:r>
          </w:p>
        </w:tc>
      </w:tr>
      <w:tr>
        <w:trPr/>
        <w:tc>
          <w:tcPr>
            <w:tcW w:w="367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ascii="Times New Roman" w:hAnsi="Times New Roman"/>
                <w:sz w:val="24"/>
                <w:szCs w:val="24"/>
              </w:rPr>
            </w:pPr>
            <w:r>
              <w:rPr>
                <w:sz w:val="24"/>
                <w:szCs w:val="24"/>
              </w:rPr>
              <w:t>1.1. Нарушение ППБ без возникновения пожара</w:t>
            </w:r>
          </w:p>
          <w:p>
            <w:pPr>
              <w:pStyle w:val="Normal"/>
              <w:widowControl w:val="false"/>
              <w:rPr>
                <w:rFonts w:ascii="Times New Roman" w:hAnsi="Times New Roman"/>
                <w:b/>
                <w:b/>
                <w:sz w:val="24"/>
                <w:szCs w:val="24"/>
              </w:rPr>
            </w:pPr>
            <w:r>
              <w:rPr>
                <w:b/>
                <w:sz w:val="24"/>
                <w:szCs w:val="24"/>
              </w:rPr>
            </w:r>
          </w:p>
        </w:tc>
        <w:tc>
          <w:tcPr>
            <w:tcW w:w="596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both"/>
              <w:rPr>
                <w:rFonts w:ascii="Times New Roman" w:hAnsi="Times New Roman"/>
                <w:sz w:val="24"/>
                <w:szCs w:val="24"/>
              </w:rPr>
            </w:pPr>
            <w:r>
              <w:rPr>
                <w:sz w:val="24"/>
                <w:szCs w:val="24"/>
              </w:rPr>
              <w:t>25 000 (Двадцать пять тысяч) рублей за каждый случай нарушения.</w:t>
            </w:r>
          </w:p>
          <w:p>
            <w:pPr>
              <w:pStyle w:val="Normal"/>
              <w:widowControl w:val="false"/>
              <w:jc w:val="both"/>
              <w:rPr>
                <w:rFonts w:ascii="Times New Roman" w:hAnsi="Times New Roman"/>
                <w:sz w:val="24"/>
                <w:szCs w:val="24"/>
              </w:rPr>
            </w:pPr>
            <w:r>
              <w:rPr>
                <w:sz w:val="24"/>
                <w:szCs w:val="24"/>
              </w:rPr>
              <w:t>Сумма штрафа, установленная настоящим пунктом, увеличивается на 50 % (Пятьдесят процентов) по отношению к предыдущему случаю за каждое следующее нарушение.</w:t>
            </w:r>
          </w:p>
        </w:tc>
      </w:tr>
      <w:tr>
        <w:trPr/>
        <w:tc>
          <w:tcPr>
            <w:tcW w:w="367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ascii="Times New Roman" w:hAnsi="Times New Roman"/>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96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both"/>
              <w:rPr>
                <w:rFonts w:ascii="Times New Roman" w:hAnsi="Times New Roman"/>
                <w:sz w:val="24"/>
                <w:szCs w:val="24"/>
              </w:rPr>
            </w:pPr>
            <w:r>
              <w:rPr>
                <w:sz w:val="24"/>
                <w:szCs w:val="24"/>
              </w:rPr>
              <w:t>50 000 (Пятьдесят тысяч) рублей за каждый случай нарушения.</w:t>
            </w:r>
          </w:p>
          <w:p>
            <w:pPr>
              <w:pStyle w:val="Normal"/>
              <w:widowControl w:val="false"/>
              <w:jc w:val="both"/>
              <w:rPr>
                <w:rFonts w:ascii="Times New Roman" w:hAnsi="Times New Roman"/>
                <w:sz w:val="24"/>
                <w:szCs w:val="24"/>
              </w:rPr>
            </w:pPr>
            <w:r>
              <w:rPr>
                <w:sz w:val="24"/>
                <w:szCs w:val="24"/>
              </w:rPr>
              <w:t>Сумма штрафа, установленная настоящим пунктом, увеличивается на 100 % (Сто процентов) по отношению к предыдущему случаю за каждое следующее нарушение.</w:t>
            </w:r>
          </w:p>
        </w:tc>
      </w:tr>
      <w:tr>
        <w:trPr/>
        <w:tc>
          <w:tcPr>
            <w:tcW w:w="367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ascii="Times New Roman" w:hAnsi="Times New Roman"/>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96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both"/>
              <w:rPr>
                <w:rFonts w:ascii="Times New Roman" w:hAnsi="Times New Roman"/>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367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ascii="Times New Roman" w:hAnsi="Times New Roman"/>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96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both"/>
              <w:rPr>
                <w:rFonts w:ascii="Times New Roman" w:hAnsi="Times New Roman"/>
                <w:sz w:val="24"/>
                <w:szCs w:val="24"/>
              </w:rPr>
            </w:pPr>
            <w:r>
              <w:rPr>
                <w:sz w:val="24"/>
                <w:szCs w:val="24"/>
              </w:rPr>
              <w:t>- 50 000 (Пятьдесят тысяч) рублей за каждый случай нарушения;</w:t>
            </w:r>
          </w:p>
          <w:p>
            <w:pPr>
              <w:pStyle w:val="Normal"/>
              <w:widowControl w:val="false"/>
              <w:jc w:val="both"/>
              <w:rPr>
                <w:rFonts w:ascii="Times New Roman" w:hAnsi="Times New Roman"/>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rFonts w:ascii="Times New Roman" w:hAnsi="Times New Roman"/>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left="5103" w:hanging="0"/>
        <w:rPr>
          <w:rFonts w:ascii="Times New Roman" w:hAnsi="Times New Roman"/>
          <w:sz w:val="24"/>
          <w:szCs w:val="24"/>
        </w:rPr>
      </w:pPr>
      <w:r>
        <w:rPr>
          <w:sz w:val="24"/>
          <w:szCs w:val="24"/>
        </w:rPr>
      </w:r>
    </w:p>
    <w:p>
      <w:pPr>
        <w:pStyle w:val="Normal"/>
        <w:ind w:left="5103" w:hanging="0"/>
        <w:rPr>
          <w:rFonts w:ascii="Times New Roman" w:hAnsi="Times New Roman"/>
          <w:sz w:val="24"/>
          <w:szCs w:val="24"/>
        </w:rPr>
      </w:pPr>
      <w:r>
        <w:rPr>
          <w:sz w:val="24"/>
          <w:szCs w:val="24"/>
        </w:rPr>
      </w:r>
    </w:p>
    <w:p>
      <w:pPr>
        <w:pStyle w:val="Normal"/>
        <w:numPr>
          <w:ilvl w:val="0"/>
          <w:numId w:val="0"/>
        </w:numPr>
        <w:ind w:left="0" w:hanging="0"/>
        <w:jc w:val="center"/>
        <w:outlineLvl w:val="0"/>
        <w:rPr>
          <w:rFonts w:ascii="Times New Roman" w:hAnsi="Times New Roman"/>
          <w:sz w:val="24"/>
          <w:szCs w:val="24"/>
        </w:rPr>
      </w:pPr>
      <w:r>
        <w:rPr>
          <w:b/>
          <w:bCs/>
          <w:sz w:val="24"/>
          <w:szCs w:val="24"/>
        </w:rPr>
        <w:t>ПОДПИСИ СТОРОН:</w:t>
      </w:r>
    </w:p>
    <w:p>
      <w:pPr>
        <w:pStyle w:val="Normal"/>
        <w:numPr>
          <w:ilvl w:val="0"/>
          <w:numId w:val="0"/>
        </w:numPr>
        <w:ind w:left="0" w:hanging="0"/>
        <w:jc w:val="center"/>
        <w:outlineLvl w:val="0"/>
        <w:rPr>
          <w:rFonts w:ascii="Times New Roman" w:hAnsi="Times New Roman"/>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rFonts w:ascii="Times New Roman" w:hAnsi="Times New Roman"/>
                <w:b/>
                <w:b/>
                <w:sz w:val="24"/>
                <w:szCs w:val="24"/>
              </w:rPr>
            </w:pPr>
            <w:r>
              <w:rPr>
                <w:b/>
                <w:sz w:val="24"/>
                <w:szCs w:val="24"/>
              </w:rPr>
              <w:t>Покупатель:</w:t>
            </w:r>
          </w:p>
          <w:p>
            <w:pPr>
              <w:pStyle w:val="Normal"/>
              <w:widowControl w:val="false"/>
              <w:spacing w:lineRule="auto" w:line="360"/>
              <w:rPr>
                <w:rFonts w:ascii="Times New Roman" w:hAnsi="Times New Roman"/>
                <w:sz w:val="24"/>
                <w:szCs w:val="24"/>
              </w:rPr>
            </w:pPr>
            <w:r>
              <w:rPr>
                <w:sz w:val="24"/>
                <w:szCs w:val="24"/>
              </w:rPr>
            </w:r>
          </w:p>
          <w:p>
            <w:pPr>
              <w:pStyle w:val="Normal"/>
              <w:widowControl w:val="false"/>
              <w:spacing w:lineRule="auto" w:line="360"/>
              <w:rPr>
                <w:rFonts w:ascii="Times New Roman" w:hAnsi="Times New Roman"/>
                <w:sz w:val="24"/>
                <w:szCs w:val="24"/>
              </w:rPr>
            </w:pPr>
            <w:r>
              <w:rPr>
                <w:sz w:val="24"/>
                <w:szCs w:val="24"/>
              </w:rPr>
              <w:t>_____________________/_____________</w:t>
            </w:r>
          </w:p>
          <w:p>
            <w:pPr>
              <w:pStyle w:val="Normal"/>
              <w:widowControl w:val="false"/>
              <w:spacing w:lineRule="auto" w:line="360"/>
              <w:rPr>
                <w:rFonts w:ascii="Times New Roman" w:hAnsi="Times New Roman"/>
                <w:sz w:val="24"/>
                <w:szCs w:val="24"/>
              </w:rPr>
            </w:pPr>
            <w:r>
              <w:rPr>
                <w:sz w:val="24"/>
                <w:szCs w:val="24"/>
              </w:rPr>
            </w:r>
          </w:p>
        </w:tc>
        <w:tc>
          <w:tcPr>
            <w:tcW w:w="4819" w:type="dxa"/>
            <w:tcBorders/>
            <w:shd w:color="auto" w:fill="auto" w:val="clear"/>
          </w:tcPr>
          <w:p>
            <w:pPr>
              <w:pStyle w:val="Normal"/>
              <w:widowControl w:val="false"/>
              <w:ind w:firstLine="34"/>
              <w:rPr>
                <w:rFonts w:ascii="Times New Roman" w:hAnsi="Times New Roman"/>
                <w:b/>
                <w:b/>
                <w:sz w:val="24"/>
                <w:szCs w:val="24"/>
              </w:rPr>
            </w:pPr>
            <w:r>
              <w:rPr>
                <w:b/>
                <w:sz w:val="24"/>
                <w:szCs w:val="24"/>
              </w:rPr>
              <w:t>Поставщик:</w:t>
            </w:r>
          </w:p>
          <w:p>
            <w:pPr>
              <w:pStyle w:val="Normal"/>
              <w:widowControl w:val="false"/>
              <w:spacing w:lineRule="auto" w:line="360"/>
              <w:rPr>
                <w:rFonts w:ascii="Times New Roman" w:hAnsi="Times New Roman"/>
                <w:sz w:val="24"/>
                <w:szCs w:val="24"/>
              </w:rPr>
            </w:pPr>
            <w:r>
              <w:rPr>
                <w:sz w:val="24"/>
                <w:szCs w:val="24"/>
              </w:rPr>
            </w:r>
          </w:p>
          <w:p>
            <w:pPr>
              <w:pStyle w:val="Normal"/>
              <w:widowControl w:val="false"/>
              <w:spacing w:lineRule="auto" w:line="360"/>
              <w:rPr>
                <w:rFonts w:ascii="Times New Roman" w:hAnsi="Times New Roman"/>
                <w:sz w:val="24"/>
                <w:szCs w:val="24"/>
              </w:rPr>
            </w:pPr>
            <w:r>
              <w:rPr>
                <w:sz w:val="24"/>
                <w:szCs w:val="24"/>
              </w:rPr>
              <w:t>_____________________/_____________</w:t>
            </w:r>
          </w:p>
          <w:p>
            <w:pPr>
              <w:pStyle w:val="Normal"/>
              <w:widowControl w:val="false"/>
              <w:spacing w:lineRule="auto" w:line="360"/>
              <w:ind w:firstLine="33"/>
              <w:rPr>
                <w:rFonts w:ascii="Times New Roman" w:hAnsi="Times New Roman"/>
                <w:b/>
                <w:b/>
                <w:sz w:val="24"/>
                <w:szCs w:val="24"/>
              </w:rPr>
            </w:pPr>
            <w:r>
              <w:rPr>
                <w:b/>
                <w:sz w:val="24"/>
                <w:szCs w:val="24"/>
              </w:rPr>
            </w:r>
          </w:p>
        </w:tc>
      </w:tr>
    </w:tbl>
    <w:p>
      <w:pPr>
        <w:sectPr>
          <w:headerReference w:type="default" r:id="rId9"/>
          <w:footnotePr>
            <w:numFmt w:val="decimal"/>
          </w:footnotePr>
          <w:type w:val="nextPage"/>
          <w:pgSz w:w="11906" w:h="16838"/>
          <w:pgMar w:left="1418" w:right="851" w:header="567" w:top="1134" w:footer="0" w:bottom="1134" w:gutter="0"/>
          <w:pgNumType w:fmt="decimal"/>
          <w:formProt w:val="false"/>
          <w:textDirection w:val="lrTb"/>
          <w:docGrid w:type="default" w:linePitch="360" w:charSpace="1638"/>
        </w:sectPr>
      </w:pPr>
    </w:p>
    <w:p>
      <w:pPr>
        <w:pStyle w:val="Normal"/>
        <w:rPr>
          <w:rFonts w:ascii="Times New Roman" w:hAnsi="Times New Roman"/>
          <w:b/>
          <w:b/>
          <w:bCs/>
          <w:sz w:val="24"/>
          <w:szCs w:val="24"/>
        </w:rPr>
      </w:pPr>
      <w:r>
        <w:rPr>
          <w:b/>
          <w:bCs/>
          <w:sz w:val="24"/>
          <w:szCs w:val="24"/>
        </w:rPr>
      </w:r>
    </w:p>
    <w:tbl>
      <w:tblPr>
        <w:tblpPr w:bottomFromText="0" w:horzAnchor="margin" w:leftFromText="180" w:rightFromText="180" w:tblpX="0" w:tblpXSpec="center" w:tblpY="223" w:topFromText="0" w:vertAnchor="text"/>
        <w:tblW w:w="16226"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2367"/>
        <w:gridCol w:w="2056"/>
        <w:gridCol w:w="1194"/>
        <w:gridCol w:w="2"/>
        <w:gridCol w:w="1291"/>
        <w:gridCol w:w="2"/>
        <w:gridCol w:w="1820"/>
        <w:gridCol w:w="5"/>
        <w:gridCol w:w="3"/>
        <w:gridCol w:w="2051"/>
        <w:gridCol w:w="5"/>
        <w:gridCol w:w="5"/>
        <w:gridCol w:w="2015"/>
        <w:gridCol w:w="5"/>
        <w:gridCol w:w="8"/>
        <w:gridCol w:w="3395"/>
      </w:tblGrid>
      <w:tr>
        <w:trPr>
          <w:trHeight w:val="288" w:hRule="atLeast"/>
        </w:trPr>
        <w:tc>
          <w:tcPr>
            <w:tcW w:w="2367" w:type="dxa"/>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2056" w:type="dxa"/>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1196" w:type="dxa"/>
            <w:gridSpan w:val="2"/>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1293" w:type="dxa"/>
            <w:gridSpan w:val="2"/>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1825" w:type="dxa"/>
            <w:gridSpan w:val="2"/>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2059" w:type="dxa"/>
            <w:gridSpan w:val="3"/>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5428" w:type="dxa"/>
            <w:gridSpan w:val="5"/>
            <w:tcBorders/>
            <w:shd w:color="auto" w:fill="auto" w:val="clear"/>
            <w:vAlign w:val="center"/>
          </w:tcPr>
          <w:p>
            <w:pPr>
              <w:pStyle w:val="Normal"/>
              <w:widowControl w:val="false"/>
              <w:rPr>
                <w:rFonts w:ascii="Times New Roman" w:hAnsi="Times New Roman"/>
                <w:sz w:val="22"/>
                <w:szCs w:val="22"/>
              </w:rPr>
            </w:pPr>
            <w:r>
              <w:rPr>
                <w:color w:val="000000"/>
                <w:sz w:val="22"/>
                <w:szCs w:val="22"/>
              </w:rPr>
              <w:t>Приложение № 4</w:t>
            </w:r>
          </w:p>
        </w:tc>
      </w:tr>
      <w:tr>
        <w:trPr>
          <w:trHeight w:val="288" w:hRule="atLeast"/>
        </w:trPr>
        <w:tc>
          <w:tcPr>
            <w:tcW w:w="2367" w:type="dxa"/>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t>ФОРМА</w:t>
            </w:r>
          </w:p>
        </w:tc>
        <w:tc>
          <w:tcPr>
            <w:tcW w:w="2056" w:type="dxa"/>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1196" w:type="dxa"/>
            <w:gridSpan w:val="2"/>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1293" w:type="dxa"/>
            <w:gridSpan w:val="2"/>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1825" w:type="dxa"/>
            <w:gridSpan w:val="2"/>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2059" w:type="dxa"/>
            <w:gridSpan w:val="3"/>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5428" w:type="dxa"/>
            <w:gridSpan w:val="5"/>
            <w:tcBorders/>
            <w:shd w:color="auto" w:fill="auto" w:val="clear"/>
            <w:vAlign w:val="center"/>
          </w:tcPr>
          <w:p>
            <w:pPr>
              <w:pStyle w:val="Normal"/>
              <w:widowControl w:val="false"/>
              <w:ind w:firstLine="5103"/>
              <w:rPr>
                <w:rFonts w:ascii="Times New Roman" w:hAnsi="Times New Roman"/>
                <w:sz w:val="22"/>
                <w:szCs w:val="22"/>
              </w:rPr>
            </w:pPr>
            <w:r>
              <w:rPr>
                <w:color w:val="000000"/>
                <w:sz w:val="22"/>
                <w:szCs w:val="22"/>
              </w:rPr>
              <w:t xml:space="preserve">к к Договору поставки </w:t>
            </w:r>
            <w:r>
              <w:rPr>
                <w:sz w:val="22"/>
                <w:szCs w:val="22"/>
              </w:rPr>
              <w:t xml:space="preserve"> </w:t>
            </w:r>
          </w:p>
          <w:p>
            <w:pPr>
              <w:pStyle w:val="Normal"/>
              <w:widowControl w:val="false"/>
              <w:rPr>
                <w:rFonts w:ascii="Times New Roman" w:hAnsi="Times New Roman"/>
                <w:sz w:val="22"/>
                <w:szCs w:val="22"/>
              </w:rPr>
            </w:pPr>
            <w:r>
              <w:rPr>
                <w:sz w:val="22"/>
                <w:szCs w:val="22"/>
              </w:rPr>
              <w:t>от __.__. 20 _ г. № _____</w:t>
            </w:r>
          </w:p>
          <w:p>
            <w:pPr>
              <w:pStyle w:val="Normal"/>
              <w:widowControl w:val="false"/>
              <w:jc w:val="right"/>
              <w:rPr>
                <w:rFonts w:ascii="Times New Roman" w:hAnsi="Times New Roman"/>
                <w:color w:val="000000"/>
                <w:sz w:val="22"/>
                <w:szCs w:val="22"/>
              </w:rPr>
            </w:pPr>
            <w:r>
              <w:rPr>
                <w:color w:val="000000"/>
                <w:sz w:val="22"/>
                <w:szCs w:val="22"/>
              </w:rPr>
              <w:t xml:space="preserve"> </w:t>
            </w:r>
          </w:p>
          <w:p>
            <w:pPr>
              <w:pStyle w:val="Normal"/>
              <w:widowControl w:val="false"/>
              <w:jc w:val="right"/>
              <w:rPr>
                <w:rFonts w:ascii="Times New Roman" w:hAnsi="Times New Roman"/>
                <w:color w:val="000000"/>
                <w:sz w:val="22"/>
                <w:szCs w:val="22"/>
              </w:rPr>
            </w:pPr>
            <w:r>
              <w:rPr>
                <w:color w:val="000000"/>
                <w:sz w:val="22"/>
                <w:szCs w:val="22"/>
              </w:rPr>
            </w:r>
          </w:p>
        </w:tc>
      </w:tr>
      <w:tr>
        <w:trPr>
          <w:trHeight w:val="288" w:hRule="atLeast"/>
        </w:trPr>
        <w:tc>
          <w:tcPr>
            <w:tcW w:w="2367" w:type="dxa"/>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2056" w:type="dxa"/>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1196" w:type="dxa"/>
            <w:gridSpan w:val="2"/>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1293" w:type="dxa"/>
            <w:gridSpan w:val="2"/>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1825" w:type="dxa"/>
            <w:gridSpan w:val="2"/>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2059" w:type="dxa"/>
            <w:gridSpan w:val="3"/>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5428" w:type="dxa"/>
            <w:gridSpan w:val="5"/>
            <w:tcBorders/>
            <w:shd w:color="auto" w:fill="auto" w:val="clear"/>
            <w:vAlign w:val="center"/>
          </w:tcPr>
          <w:p>
            <w:pPr>
              <w:pStyle w:val="Normal"/>
              <w:widowControl w:val="false"/>
              <w:jc w:val="right"/>
              <w:rPr>
                <w:rFonts w:ascii="Times New Roman" w:hAnsi="Times New Roman"/>
                <w:color w:val="000000"/>
                <w:sz w:val="22"/>
                <w:szCs w:val="22"/>
              </w:rPr>
            </w:pPr>
            <w:r>
              <w:rPr>
                <w:color w:val="000000"/>
                <w:sz w:val="22"/>
                <w:szCs w:val="22"/>
              </w:rPr>
            </w:r>
          </w:p>
        </w:tc>
      </w:tr>
      <w:tr>
        <w:trPr>
          <w:trHeight w:val="288" w:hRule="exact"/>
        </w:trPr>
        <w:tc>
          <w:tcPr>
            <w:tcW w:w="2367" w:type="dxa"/>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2056" w:type="dxa"/>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1196" w:type="dxa"/>
            <w:gridSpan w:val="2"/>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1293" w:type="dxa"/>
            <w:gridSpan w:val="2"/>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1825" w:type="dxa"/>
            <w:gridSpan w:val="2"/>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2059" w:type="dxa"/>
            <w:gridSpan w:val="3"/>
            <w:tcBorders/>
            <w:shd w:color="auto" w:fill="auto" w:val="clear"/>
            <w:vAlign w:val="center"/>
          </w:tcPr>
          <w:p>
            <w:pPr>
              <w:pStyle w:val="Normal"/>
              <w:widowControl w:val="false"/>
              <w:jc w:val="right"/>
              <w:rPr>
                <w:rFonts w:ascii="Times New Roman" w:hAnsi="Times New Roman"/>
                <w:color w:val="000000"/>
                <w:sz w:val="22"/>
                <w:szCs w:val="22"/>
              </w:rPr>
            </w:pPr>
            <w:r>
              <w:rPr>
                <w:color w:val="000000"/>
                <w:sz w:val="22"/>
                <w:szCs w:val="22"/>
              </w:rPr>
            </w:r>
          </w:p>
        </w:tc>
        <w:tc>
          <w:tcPr>
            <w:tcW w:w="2025" w:type="dxa"/>
            <w:gridSpan w:val="3"/>
            <w:tcBorders/>
            <w:shd w:color="auto" w:fill="auto" w:val="clear"/>
            <w:vAlign w:val="center"/>
          </w:tcPr>
          <w:p>
            <w:pPr>
              <w:pStyle w:val="Normal"/>
              <w:widowControl w:val="false"/>
              <w:jc w:val="right"/>
              <w:rPr>
                <w:rFonts w:ascii="Times New Roman" w:hAnsi="Times New Roman"/>
                <w:color w:val="000000"/>
                <w:sz w:val="22"/>
                <w:szCs w:val="22"/>
              </w:rPr>
            </w:pPr>
            <w:r>
              <w:rPr>
                <w:color w:val="000000"/>
                <w:sz w:val="22"/>
                <w:szCs w:val="22"/>
              </w:rPr>
            </w:r>
          </w:p>
        </w:tc>
        <w:tc>
          <w:tcPr>
            <w:tcW w:w="3403" w:type="dxa"/>
            <w:gridSpan w:val="2"/>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r>
      <w:tr>
        <w:trPr>
          <w:trHeight w:val="300" w:hRule="atLeast"/>
        </w:trPr>
        <w:tc>
          <w:tcPr>
            <w:tcW w:w="2367" w:type="dxa"/>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8434" w:type="dxa"/>
            <w:gridSpan w:val="11"/>
            <w:tcBorders/>
            <w:shd w:color="auto" w:fill="auto" w:val="clear"/>
            <w:vAlign w:val="bottom"/>
          </w:tcPr>
          <w:p>
            <w:pPr>
              <w:pStyle w:val="Normal"/>
              <w:widowControl w:val="false"/>
              <w:jc w:val="center"/>
              <w:rPr>
                <w:rFonts w:ascii="Times New Roman" w:hAnsi="Times New Roman"/>
                <w:color w:val="000000"/>
                <w:sz w:val="22"/>
                <w:szCs w:val="22"/>
              </w:rPr>
            </w:pPr>
            <w:r>
              <w:rPr>
                <w:color w:val="000000"/>
                <w:sz w:val="22"/>
                <w:szCs w:val="22"/>
              </w:rPr>
              <w:t>Уведомление</w:t>
            </w:r>
          </w:p>
          <w:p>
            <w:pPr>
              <w:pStyle w:val="Normal"/>
              <w:widowControl w:val="false"/>
              <w:jc w:val="center"/>
              <w:rPr>
                <w:rFonts w:ascii="Times New Roman" w:hAnsi="Times New Roman"/>
                <w:color w:val="000000"/>
                <w:sz w:val="22"/>
                <w:szCs w:val="22"/>
              </w:rPr>
            </w:pPr>
            <w:r>
              <w:rPr>
                <w:color w:val="000000"/>
                <w:sz w:val="22"/>
                <w:szCs w:val="22"/>
              </w:rPr>
              <w:t>Информация об отгрузке и по доставке ТМЦ</w:t>
            </w:r>
          </w:p>
        </w:tc>
        <w:tc>
          <w:tcPr>
            <w:tcW w:w="2028" w:type="dxa"/>
            <w:gridSpan w:val="3"/>
            <w:tcBorders/>
            <w:shd w:color="auto" w:fill="auto" w:val="clear"/>
            <w:vAlign w:val="center"/>
          </w:tcPr>
          <w:p>
            <w:pPr>
              <w:pStyle w:val="Normal"/>
              <w:widowControl w:val="false"/>
              <w:jc w:val="right"/>
              <w:rPr>
                <w:rFonts w:ascii="Times New Roman" w:hAnsi="Times New Roman"/>
                <w:color w:val="000000"/>
                <w:sz w:val="22"/>
                <w:szCs w:val="22"/>
              </w:rPr>
            </w:pPr>
            <w:r>
              <w:rPr>
                <w:color w:val="000000"/>
                <w:sz w:val="22"/>
                <w:szCs w:val="22"/>
              </w:rPr>
            </w:r>
          </w:p>
        </w:tc>
        <w:tc>
          <w:tcPr>
            <w:tcW w:w="3395" w:type="dxa"/>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r>
      <w:tr>
        <w:trPr>
          <w:trHeight w:val="300" w:hRule="exact"/>
        </w:trPr>
        <w:tc>
          <w:tcPr>
            <w:tcW w:w="2367" w:type="dxa"/>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2056" w:type="dxa"/>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1196" w:type="dxa"/>
            <w:gridSpan w:val="2"/>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1293" w:type="dxa"/>
            <w:gridSpan w:val="2"/>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1825" w:type="dxa"/>
            <w:gridSpan w:val="2"/>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2059" w:type="dxa"/>
            <w:gridSpan w:val="3"/>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2025" w:type="dxa"/>
            <w:gridSpan w:val="3"/>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3403" w:type="dxa"/>
            <w:gridSpan w:val="2"/>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r>
      <w:tr>
        <w:trPr>
          <w:trHeight w:val="288" w:hRule="atLeast"/>
        </w:trPr>
        <w:tc>
          <w:tcPr>
            <w:tcW w:w="2367" w:type="dxa"/>
            <w:vMerge w:val="restart"/>
            <w:tcBorders>
              <w:top w:val="single" w:sz="8" w:space="0" w:color="000001"/>
              <w:left w:val="single" w:sz="8" w:space="0" w:color="000001"/>
              <w:bottom w:val="single" w:sz="8" w:space="0" w:color="000001"/>
            </w:tcBorders>
            <w:shd w:color="auto" w:fill="auto" w:val="clear"/>
            <w:tcMar>
              <w:left w:w="48" w:type="dxa"/>
            </w:tcMar>
            <w:vAlign w:val="bottom"/>
          </w:tcPr>
          <w:p>
            <w:pPr>
              <w:pStyle w:val="Normal"/>
              <w:widowControl w:val="false"/>
              <w:jc w:val="center"/>
              <w:rPr>
                <w:rFonts w:ascii="Times New Roman" w:hAnsi="Times New Roman"/>
                <w:color w:val="000000"/>
                <w:sz w:val="22"/>
                <w:szCs w:val="22"/>
              </w:rPr>
            </w:pPr>
            <w:r>
              <w:rPr>
                <w:color w:val="000000"/>
                <w:sz w:val="22"/>
                <w:szCs w:val="22"/>
              </w:rPr>
              <w:t>Поставщик (в соответствии с условиями договора)***</w:t>
            </w:r>
          </w:p>
        </w:tc>
        <w:tc>
          <w:tcPr>
            <w:tcW w:w="6373" w:type="dxa"/>
            <w:gridSpan w:val="8"/>
            <w:tcBorders>
              <w:top w:val="single" w:sz="8" w:space="0" w:color="000001"/>
              <w:left w:val="single" w:sz="8" w:space="0" w:color="000001"/>
              <w:bottom w:val="single" w:sz="4" w:space="0" w:color="000001"/>
              <w:right w:val="single" w:sz="4" w:space="0" w:color="000001"/>
            </w:tcBorders>
            <w:shd w:color="auto" w:fill="auto" w:val="clear"/>
            <w:tcMar>
              <w:left w:w="48" w:type="dxa"/>
            </w:tcMar>
            <w:vAlign w:val="bottom"/>
          </w:tcPr>
          <w:p>
            <w:pPr>
              <w:pStyle w:val="Normal"/>
              <w:widowControl w:val="false"/>
              <w:jc w:val="center"/>
              <w:rPr>
                <w:rFonts w:ascii="Times New Roman" w:hAnsi="Times New Roman"/>
                <w:color w:val="000000"/>
                <w:sz w:val="22"/>
                <w:szCs w:val="22"/>
              </w:rPr>
            </w:pPr>
            <w:r>
              <w:rPr>
                <w:color w:val="000000"/>
                <w:sz w:val="22"/>
                <w:szCs w:val="22"/>
              </w:rPr>
              <w:t>Грузоотправитель (место отгрузки товара)*</w:t>
            </w:r>
          </w:p>
        </w:tc>
        <w:tc>
          <w:tcPr>
            <w:tcW w:w="7484" w:type="dxa"/>
            <w:gridSpan w:val="7"/>
            <w:tcBorders>
              <w:top w:val="single" w:sz="8" w:space="0" w:color="000001"/>
              <w:left w:val="single" w:sz="8" w:space="0" w:color="000001"/>
              <w:bottom w:val="single" w:sz="4" w:space="0" w:color="000001"/>
              <w:right w:val="single" w:sz="8" w:space="0" w:color="000001"/>
            </w:tcBorders>
            <w:shd w:color="auto" w:fill="auto" w:val="clear"/>
            <w:tcMar>
              <w:left w:w="48" w:type="dxa"/>
            </w:tcMar>
            <w:vAlign w:val="bottom"/>
          </w:tcPr>
          <w:p>
            <w:pPr>
              <w:pStyle w:val="Normal"/>
              <w:widowControl w:val="false"/>
              <w:jc w:val="center"/>
              <w:rPr>
                <w:rFonts w:ascii="Times New Roman" w:hAnsi="Times New Roman"/>
                <w:color w:val="000000"/>
                <w:sz w:val="22"/>
                <w:szCs w:val="22"/>
              </w:rPr>
            </w:pPr>
            <w:r>
              <w:rPr>
                <w:color w:val="000000"/>
                <w:sz w:val="22"/>
                <w:szCs w:val="22"/>
              </w:rPr>
              <w:t>Транспортная компания (перевозчик)</w:t>
            </w:r>
          </w:p>
        </w:tc>
      </w:tr>
      <w:tr>
        <w:trPr>
          <w:trHeight w:val="564" w:hRule="atLeast"/>
        </w:trPr>
        <w:tc>
          <w:tcPr>
            <w:tcW w:w="2367" w:type="dxa"/>
            <w:vMerge w:val="continue"/>
            <w:tcBorders>
              <w:top w:val="single" w:sz="8" w:space="0" w:color="000001"/>
              <w:left w:val="single" w:sz="8" w:space="0" w:color="000001"/>
              <w:bottom w:val="single" w:sz="8" w:space="0" w:color="000001"/>
            </w:tcBorders>
            <w:shd w:fill="auto" w:val="clear"/>
            <w:tcMar>
              <w:left w:w="48" w:type="dxa"/>
            </w:tcMar>
            <w:vAlign w:val="center"/>
          </w:tcPr>
          <w:p>
            <w:pPr>
              <w:pStyle w:val="Normal"/>
              <w:widowControl w:val="false"/>
              <w:rPr>
                <w:rFonts w:ascii="Times New Roman" w:hAnsi="Times New Roman"/>
                <w:color w:val="000000"/>
                <w:sz w:val="22"/>
                <w:szCs w:val="22"/>
              </w:rPr>
            </w:pPr>
            <w:r>
              <w:rPr>
                <w:color w:val="000000"/>
                <w:sz w:val="22"/>
                <w:szCs w:val="22"/>
              </w:rPr>
            </w:r>
          </w:p>
        </w:tc>
        <w:tc>
          <w:tcPr>
            <w:tcW w:w="2056" w:type="dxa"/>
            <w:tcBorders>
              <w:top w:val="single" w:sz="8" w:space="0" w:color="000001"/>
              <w:left w:val="single" w:sz="8" w:space="0" w:color="000001"/>
              <w:bottom w:val="single" w:sz="8" w:space="0" w:color="000001"/>
              <w:right w:val="single" w:sz="4" w:space="0" w:color="000001"/>
            </w:tcBorders>
            <w:shd w:color="auto" w:fill="auto" w:val="clear"/>
            <w:tcMar>
              <w:left w:w="48" w:type="dxa"/>
            </w:tcMar>
            <w:vAlign w:val="bottom"/>
          </w:tcPr>
          <w:p>
            <w:pPr>
              <w:pStyle w:val="Normal"/>
              <w:widowControl w:val="false"/>
              <w:jc w:val="center"/>
              <w:rPr>
                <w:rFonts w:ascii="Times New Roman" w:hAnsi="Times New Roman"/>
                <w:color w:val="000000"/>
                <w:sz w:val="22"/>
                <w:szCs w:val="22"/>
              </w:rPr>
            </w:pPr>
            <w:r>
              <w:rPr>
                <w:color w:val="000000"/>
                <w:sz w:val="22"/>
                <w:szCs w:val="22"/>
              </w:rPr>
              <w:t>Наименование контрагента</w:t>
            </w:r>
          </w:p>
        </w:tc>
        <w:tc>
          <w:tcPr>
            <w:tcW w:w="1196" w:type="dxa"/>
            <w:gridSpan w:val="2"/>
            <w:tcBorders>
              <w:top w:val="single" w:sz="8" w:space="0" w:color="000001"/>
              <w:left w:val="single" w:sz="4" w:space="0" w:color="000001"/>
              <w:bottom w:val="single" w:sz="8" w:space="0" w:color="000001"/>
              <w:right w:val="single" w:sz="4" w:space="0" w:color="000001"/>
            </w:tcBorders>
            <w:shd w:color="auto" w:fill="auto" w:val="clear"/>
            <w:tcMar>
              <w:left w:w="88" w:type="dxa"/>
            </w:tcMar>
            <w:vAlign w:val="bottom"/>
          </w:tcPr>
          <w:p>
            <w:pPr>
              <w:pStyle w:val="Normal"/>
              <w:widowControl w:val="false"/>
              <w:jc w:val="center"/>
              <w:rPr>
                <w:rFonts w:ascii="Times New Roman" w:hAnsi="Times New Roman"/>
                <w:color w:val="000000"/>
                <w:sz w:val="22"/>
                <w:szCs w:val="22"/>
              </w:rPr>
            </w:pPr>
            <w:r>
              <w:rPr>
                <w:color w:val="000000"/>
                <w:sz w:val="22"/>
                <w:szCs w:val="22"/>
              </w:rPr>
              <w:t>ИНН/КПП</w:t>
            </w:r>
          </w:p>
        </w:tc>
        <w:tc>
          <w:tcPr>
            <w:tcW w:w="1293" w:type="dxa"/>
            <w:gridSpan w:val="2"/>
            <w:tcBorders>
              <w:top w:val="single" w:sz="8" w:space="0" w:color="000001"/>
              <w:left w:val="single" w:sz="4" w:space="0" w:color="000001"/>
              <w:bottom w:val="single" w:sz="8" w:space="0" w:color="000001"/>
              <w:right w:val="single" w:sz="4" w:space="0" w:color="000001"/>
            </w:tcBorders>
            <w:shd w:color="auto" w:fill="auto" w:val="clear"/>
            <w:tcMar>
              <w:left w:w="88" w:type="dxa"/>
            </w:tcMar>
            <w:vAlign w:val="bottom"/>
          </w:tcPr>
          <w:p>
            <w:pPr>
              <w:pStyle w:val="Normal"/>
              <w:widowControl w:val="false"/>
              <w:jc w:val="center"/>
              <w:rPr>
                <w:rFonts w:ascii="Times New Roman" w:hAnsi="Times New Roman"/>
                <w:color w:val="000000"/>
                <w:sz w:val="22"/>
                <w:szCs w:val="22"/>
              </w:rPr>
            </w:pPr>
            <w:r>
              <w:rPr>
                <w:color w:val="000000"/>
                <w:sz w:val="22"/>
                <w:szCs w:val="22"/>
              </w:rPr>
              <w:t>Адрес склада</w:t>
            </w:r>
          </w:p>
        </w:tc>
        <w:tc>
          <w:tcPr>
            <w:tcW w:w="1825" w:type="dxa"/>
            <w:gridSpan w:val="2"/>
            <w:tcBorders>
              <w:top w:val="single" w:sz="8" w:space="0" w:color="000001"/>
              <w:bottom w:val="single" w:sz="8" w:space="0" w:color="000001"/>
            </w:tcBorders>
            <w:shd w:color="auto" w:fill="auto" w:val="clear"/>
            <w:vAlign w:val="bottom"/>
          </w:tcPr>
          <w:p>
            <w:pPr>
              <w:pStyle w:val="Normal"/>
              <w:widowControl w:val="false"/>
              <w:jc w:val="center"/>
              <w:rPr>
                <w:rFonts w:ascii="Times New Roman" w:hAnsi="Times New Roman"/>
                <w:color w:val="000000"/>
                <w:sz w:val="22"/>
                <w:szCs w:val="22"/>
              </w:rPr>
            </w:pPr>
            <w:r>
              <w:rPr>
                <w:color w:val="000000"/>
                <w:sz w:val="22"/>
                <w:szCs w:val="22"/>
              </w:rPr>
              <w:t>№</w:t>
            </w:r>
            <w:r>
              <w:rPr>
                <w:color w:val="000000"/>
                <w:sz w:val="22"/>
                <w:szCs w:val="22"/>
              </w:rPr>
              <w:t>, дата договора, (соглашения)**</w:t>
            </w:r>
          </w:p>
        </w:tc>
        <w:tc>
          <w:tcPr>
            <w:tcW w:w="2059" w:type="dxa"/>
            <w:gridSpan w:val="3"/>
            <w:tcBorders>
              <w:top w:val="single" w:sz="8" w:space="0" w:color="000001"/>
              <w:left w:val="single" w:sz="8" w:space="0" w:color="000001"/>
              <w:bottom w:val="single" w:sz="8" w:space="0" w:color="000001"/>
              <w:right w:val="single" w:sz="4" w:space="0" w:color="000001"/>
            </w:tcBorders>
            <w:shd w:color="auto" w:fill="auto" w:val="clear"/>
            <w:tcMar>
              <w:left w:w="48" w:type="dxa"/>
            </w:tcMar>
            <w:vAlign w:val="bottom"/>
          </w:tcPr>
          <w:p>
            <w:pPr>
              <w:pStyle w:val="Normal"/>
              <w:widowControl w:val="false"/>
              <w:jc w:val="center"/>
              <w:rPr>
                <w:rFonts w:ascii="Times New Roman" w:hAnsi="Times New Roman"/>
                <w:color w:val="000000"/>
                <w:sz w:val="22"/>
                <w:szCs w:val="22"/>
              </w:rPr>
            </w:pPr>
            <w:r>
              <w:rPr>
                <w:color w:val="000000"/>
                <w:sz w:val="22"/>
                <w:szCs w:val="22"/>
              </w:rPr>
              <w:t>Наименование контрагента</w:t>
            </w:r>
          </w:p>
        </w:tc>
        <w:tc>
          <w:tcPr>
            <w:tcW w:w="2025" w:type="dxa"/>
            <w:gridSpan w:val="3"/>
            <w:tcBorders>
              <w:top w:val="single" w:sz="8" w:space="0" w:color="000001"/>
              <w:left w:val="single" w:sz="4" w:space="0" w:color="000001"/>
              <w:bottom w:val="single" w:sz="8" w:space="0" w:color="000001"/>
              <w:right w:val="single" w:sz="4" w:space="0" w:color="000001"/>
            </w:tcBorders>
            <w:shd w:color="auto" w:fill="auto" w:val="clear"/>
            <w:tcMar>
              <w:left w:w="88" w:type="dxa"/>
            </w:tcMar>
            <w:vAlign w:val="bottom"/>
          </w:tcPr>
          <w:p>
            <w:pPr>
              <w:pStyle w:val="Normal"/>
              <w:widowControl w:val="false"/>
              <w:jc w:val="center"/>
              <w:rPr>
                <w:rFonts w:ascii="Times New Roman" w:hAnsi="Times New Roman"/>
                <w:color w:val="000000"/>
                <w:sz w:val="22"/>
                <w:szCs w:val="22"/>
              </w:rPr>
            </w:pPr>
            <w:r>
              <w:rPr>
                <w:color w:val="000000"/>
                <w:sz w:val="22"/>
                <w:szCs w:val="22"/>
              </w:rPr>
              <w:t>ИНН/КПП</w:t>
            </w:r>
          </w:p>
        </w:tc>
        <w:tc>
          <w:tcPr>
            <w:tcW w:w="3403" w:type="dxa"/>
            <w:gridSpan w:val="2"/>
            <w:tcBorders>
              <w:top w:val="single" w:sz="8" w:space="0" w:color="000001"/>
              <w:left w:val="single" w:sz="8" w:space="0" w:color="000001"/>
              <w:bottom w:val="single" w:sz="8" w:space="0" w:color="000001"/>
              <w:right w:val="single" w:sz="8" w:space="0" w:color="000001"/>
            </w:tcBorders>
            <w:shd w:color="auto" w:fill="auto" w:val="clear"/>
            <w:tcMar>
              <w:left w:w="68" w:type="dxa"/>
            </w:tcMar>
            <w:vAlign w:val="bottom"/>
          </w:tcPr>
          <w:p>
            <w:pPr>
              <w:pStyle w:val="Normal"/>
              <w:widowControl w:val="false"/>
              <w:jc w:val="center"/>
              <w:rPr>
                <w:rFonts w:ascii="Times New Roman" w:hAnsi="Times New Roman"/>
                <w:color w:val="000000"/>
                <w:sz w:val="22"/>
                <w:szCs w:val="22"/>
              </w:rPr>
            </w:pPr>
            <w:r>
              <w:rPr>
                <w:color w:val="000000"/>
                <w:sz w:val="22"/>
                <w:szCs w:val="22"/>
              </w:rPr>
              <w:t>№</w:t>
            </w:r>
            <w:r>
              <w:rPr>
                <w:color w:val="000000"/>
                <w:sz w:val="22"/>
                <w:szCs w:val="22"/>
              </w:rPr>
              <w:t>, дата договора, (соглашения)**</w:t>
            </w:r>
          </w:p>
        </w:tc>
      </w:tr>
      <w:tr>
        <w:trPr>
          <w:trHeight w:val="300" w:hRule="atLeast"/>
        </w:trPr>
        <w:tc>
          <w:tcPr>
            <w:tcW w:w="2367" w:type="dxa"/>
            <w:tcBorders>
              <w:top w:val="single" w:sz="8" w:space="0" w:color="000001"/>
              <w:left w:val="single" w:sz="8" w:space="0" w:color="000001"/>
              <w:bottom w:val="single" w:sz="8" w:space="0" w:color="000001"/>
            </w:tcBorders>
            <w:shd w:color="auto" w:fill="auto" w:val="clear"/>
            <w:tcMar>
              <w:left w:w="48" w:type="dxa"/>
            </w:tcMar>
            <w:vAlign w:val="bottom"/>
          </w:tcPr>
          <w:p>
            <w:pPr>
              <w:pStyle w:val="Normal"/>
              <w:widowControl w:val="false"/>
              <w:jc w:val="center"/>
              <w:rPr>
                <w:rFonts w:ascii="Times New Roman" w:hAnsi="Times New Roman"/>
                <w:color w:val="000000"/>
                <w:sz w:val="22"/>
                <w:szCs w:val="22"/>
              </w:rPr>
            </w:pPr>
            <w:r>
              <w:rPr>
                <w:color w:val="000000"/>
                <w:sz w:val="22"/>
                <w:szCs w:val="22"/>
              </w:rPr>
              <w:t>1</w:t>
            </w:r>
          </w:p>
        </w:tc>
        <w:tc>
          <w:tcPr>
            <w:tcW w:w="2056" w:type="dxa"/>
            <w:tcBorders>
              <w:top w:val="single" w:sz="8" w:space="0" w:color="000001"/>
              <w:left w:val="single" w:sz="8" w:space="0" w:color="000001"/>
              <w:bottom w:val="single" w:sz="8" w:space="0" w:color="000001"/>
              <w:right w:val="single" w:sz="4" w:space="0" w:color="000001"/>
            </w:tcBorders>
            <w:shd w:color="auto" w:fill="auto" w:val="clear"/>
            <w:tcMar>
              <w:left w:w="48" w:type="dxa"/>
            </w:tcMar>
            <w:vAlign w:val="bottom"/>
          </w:tcPr>
          <w:p>
            <w:pPr>
              <w:pStyle w:val="Normal"/>
              <w:widowControl w:val="false"/>
              <w:jc w:val="center"/>
              <w:rPr>
                <w:rFonts w:ascii="Times New Roman" w:hAnsi="Times New Roman"/>
                <w:color w:val="000000"/>
                <w:sz w:val="22"/>
                <w:szCs w:val="22"/>
              </w:rPr>
            </w:pPr>
            <w:r>
              <w:rPr>
                <w:color w:val="000000"/>
                <w:sz w:val="22"/>
                <w:szCs w:val="22"/>
              </w:rPr>
              <w:t>2</w:t>
            </w:r>
          </w:p>
        </w:tc>
        <w:tc>
          <w:tcPr>
            <w:tcW w:w="1196" w:type="dxa"/>
            <w:gridSpan w:val="2"/>
            <w:tcBorders>
              <w:top w:val="single" w:sz="8" w:space="0" w:color="000001"/>
              <w:left w:val="single" w:sz="4" w:space="0" w:color="000001"/>
              <w:bottom w:val="single" w:sz="8" w:space="0" w:color="000001"/>
              <w:right w:val="single" w:sz="4" w:space="0" w:color="000001"/>
            </w:tcBorders>
            <w:shd w:color="auto" w:fill="auto" w:val="clear"/>
            <w:tcMar>
              <w:left w:w="88" w:type="dxa"/>
            </w:tcMar>
            <w:vAlign w:val="bottom"/>
          </w:tcPr>
          <w:p>
            <w:pPr>
              <w:pStyle w:val="Normal"/>
              <w:widowControl w:val="false"/>
              <w:jc w:val="center"/>
              <w:rPr>
                <w:rFonts w:ascii="Times New Roman" w:hAnsi="Times New Roman"/>
                <w:color w:val="000000"/>
                <w:sz w:val="22"/>
                <w:szCs w:val="22"/>
              </w:rPr>
            </w:pPr>
            <w:r>
              <w:rPr>
                <w:color w:val="000000"/>
                <w:sz w:val="22"/>
                <w:szCs w:val="22"/>
              </w:rPr>
              <w:t>3</w:t>
            </w:r>
          </w:p>
        </w:tc>
        <w:tc>
          <w:tcPr>
            <w:tcW w:w="1293" w:type="dxa"/>
            <w:gridSpan w:val="2"/>
            <w:tcBorders>
              <w:top w:val="single" w:sz="8" w:space="0" w:color="000001"/>
              <w:left w:val="single" w:sz="4" w:space="0" w:color="000001"/>
              <w:bottom w:val="single" w:sz="8" w:space="0" w:color="000001"/>
              <w:right w:val="single" w:sz="4" w:space="0" w:color="000001"/>
            </w:tcBorders>
            <w:shd w:color="auto" w:fill="auto" w:val="clear"/>
            <w:tcMar>
              <w:left w:w="88" w:type="dxa"/>
            </w:tcMar>
            <w:vAlign w:val="bottom"/>
          </w:tcPr>
          <w:p>
            <w:pPr>
              <w:pStyle w:val="Normal"/>
              <w:widowControl w:val="false"/>
              <w:jc w:val="center"/>
              <w:rPr>
                <w:rFonts w:ascii="Times New Roman" w:hAnsi="Times New Roman"/>
                <w:color w:val="000000"/>
                <w:sz w:val="22"/>
                <w:szCs w:val="22"/>
              </w:rPr>
            </w:pPr>
            <w:r>
              <w:rPr>
                <w:color w:val="000000"/>
                <w:sz w:val="22"/>
                <w:szCs w:val="22"/>
              </w:rPr>
              <w:t>4</w:t>
            </w:r>
          </w:p>
        </w:tc>
        <w:tc>
          <w:tcPr>
            <w:tcW w:w="1825" w:type="dxa"/>
            <w:gridSpan w:val="2"/>
            <w:tcBorders>
              <w:top w:val="single" w:sz="8" w:space="0" w:color="000001"/>
              <w:left w:val="single" w:sz="8" w:space="0" w:color="000001"/>
              <w:bottom w:val="single" w:sz="8" w:space="0" w:color="000001"/>
              <w:right w:val="single" w:sz="8" w:space="0" w:color="000001"/>
            </w:tcBorders>
            <w:shd w:color="auto" w:fill="auto" w:val="clear"/>
            <w:tcMar>
              <w:left w:w="68" w:type="dxa"/>
            </w:tcMar>
            <w:vAlign w:val="bottom"/>
          </w:tcPr>
          <w:p>
            <w:pPr>
              <w:pStyle w:val="Normal"/>
              <w:widowControl w:val="false"/>
              <w:jc w:val="center"/>
              <w:rPr>
                <w:rFonts w:ascii="Times New Roman" w:hAnsi="Times New Roman"/>
                <w:color w:val="000000"/>
                <w:sz w:val="22"/>
                <w:szCs w:val="22"/>
              </w:rPr>
            </w:pPr>
            <w:r>
              <w:rPr>
                <w:color w:val="000000"/>
                <w:sz w:val="22"/>
                <w:szCs w:val="22"/>
              </w:rPr>
              <w:t>5</w:t>
            </w:r>
          </w:p>
        </w:tc>
        <w:tc>
          <w:tcPr>
            <w:tcW w:w="2059" w:type="dxa"/>
            <w:gridSpan w:val="3"/>
            <w:tcBorders>
              <w:top w:val="single" w:sz="8" w:space="0" w:color="000001"/>
              <w:left w:val="single" w:sz="4" w:space="0" w:color="000001"/>
              <w:bottom w:val="single" w:sz="8" w:space="0" w:color="000001"/>
              <w:right w:val="single" w:sz="4" w:space="0" w:color="000001"/>
            </w:tcBorders>
            <w:shd w:color="auto" w:fill="auto" w:val="clear"/>
            <w:tcMar>
              <w:left w:w="88" w:type="dxa"/>
            </w:tcMar>
            <w:vAlign w:val="bottom"/>
          </w:tcPr>
          <w:p>
            <w:pPr>
              <w:pStyle w:val="Normal"/>
              <w:widowControl w:val="false"/>
              <w:jc w:val="center"/>
              <w:rPr>
                <w:rFonts w:ascii="Times New Roman" w:hAnsi="Times New Roman"/>
                <w:color w:val="000000"/>
                <w:sz w:val="22"/>
                <w:szCs w:val="22"/>
              </w:rPr>
            </w:pPr>
            <w:r>
              <w:rPr>
                <w:color w:val="000000"/>
                <w:sz w:val="22"/>
                <w:szCs w:val="22"/>
              </w:rPr>
              <w:t>6</w:t>
            </w:r>
          </w:p>
        </w:tc>
        <w:tc>
          <w:tcPr>
            <w:tcW w:w="2025" w:type="dxa"/>
            <w:gridSpan w:val="3"/>
            <w:tcBorders>
              <w:top w:val="single" w:sz="8" w:space="0" w:color="000001"/>
              <w:left w:val="single" w:sz="4" w:space="0" w:color="000001"/>
              <w:bottom w:val="single" w:sz="8" w:space="0" w:color="000001"/>
              <w:right w:val="single" w:sz="4" w:space="0" w:color="000001"/>
            </w:tcBorders>
            <w:shd w:color="auto" w:fill="auto" w:val="clear"/>
            <w:tcMar>
              <w:left w:w="88" w:type="dxa"/>
            </w:tcMar>
            <w:vAlign w:val="bottom"/>
          </w:tcPr>
          <w:p>
            <w:pPr>
              <w:pStyle w:val="Normal"/>
              <w:widowControl w:val="false"/>
              <w:jc w:val="center"/>
              <w:rPr>
                <w:rFonts w:ascii="Times New Roman" w:hAnsi="Times New Roman"/>
                <w:color w:val="000000"/>
                <w:sz w:val="22"/>
                <w:szCs w:val="22"/>
              </w:rPr>
            </w:pPr>
            <w:r>
              <w:rPr>
                <w:color w:val="000000"/>
                <w:sz w:val="22"/>
                <w:szCs w:val="22"/>
              </w:rPr>
              <w:t>7</w:t>
            </w:r>
          </w:p>
        </w:tc>
        <w:tc>
          <w:tcPr>
            <w:tcW w:w="3403" w:type="dxa"/>
            <w:gridSpan w:val="2"/>
            <w:tcBorders>
              <w:top w:val="single" w:sz="8" w:space="0" w:color="000001"/>
              <w:left w:val="single" w:sz="8" w:space="0" w:color="000001"/>
              <w:bottom w:val="single" w:sz="8" w:space="0" w:color="000001"/>
              <w:right w:val="single" w:sz="8" w:space="0" w:color="000001"/>
            </w:tcBorders>
            <w:shd w:color="auto" w:fill="auto" w:val="clear"/>
            <w:tcMar>
              <w:left w:w="68" w:type="dxa"/>
            </w:tcMar>
            <w:vAlign w:val="bottom"/>
          </w:tcPr>
          <w:p>
            <w:pPr>
              <w:pStyle w:val="Normal"/>
              <w:widowControl w:val="false"/>
              <w:jc w:val="center"/>
              <w:rPr>
                <w:rFonts w:ascii="Times New Roman" w:hAnsi="Times New Roman"/>
                <w:color w:val="000000"/>
                <w:sz w:val="22"/>
                <w:szCs w:val="22"/>
              </w:rPr>
            </w:pPr>
            <w:r>
              <w:rPr>
                <w:color w:val="000000"/>
                <w:sz w:val="22"/>
                <w:szCs w:val="22"/>
              </w:rPr>
              <w:t>8</w:t>
            </w:r>
          </w:p>
        </w:tc>
      </w:tr>
      <w:tr>
        <w:trPr>
          <w:trHeight w:val="288" w:hRule="atLeast"/>
        </w:trPr>
        <w:tc>
          <w:tcPr>
            <w:tcW w:w="2367" w:type="dxa"/>
            <w:tcBorders>
              <w:top w:val="single" w:sz="4" w:space="0" w:color="000001"/>
              <w:left w:val="single" w:sz="8" w:space="0" w:color="000001"/>
              <w:bottom w:val="single" w:sz="4" w:space="0" w:color="000001"/>
            </w:tcBorders>
            <w:shd w:color="auto" w:fill="auto" w:val="clear"/>
            <w:tcMar>
              <w:left w:w="48" w:type="dxa"/>
            </w:tcMar>
            <w:vAlign w:val="center"/>
          </w:tcPr>
          <w:p>
            <w:pPr>
              <w:pStyle w:val="Normal"/>
              <w:widowControl w:val="false"/>
              <w:jc w:val="center"/>
              <w:rPr>
                <w:rFonts w:ascii="Times New Roman" w:hAnsi="Times New Roman"/>
                <w:color w:val="000000"/>
                <w:sz w:val="22"/>
                <w:szCs w:val="22"/>
              </w:rPr>
            </w:pPr>
            <w:r>
              <w:rPr>
                <w:color w:val="000000"/>
                <w:sz w:val="22"/>
                <w:szCs w:val="22"/>
              </w:rPr>
              <w:t>ООО "НеваЭнергоПром"</w:t>
            </w:r>
          </w:p>
        </w:tc>
        <w:tc>
          <w:tcPr>
            <w:tcW w:w="2056" w:type="dxa"/>
            <w:tcBorders>
              <w:top w:val="single" w:sz="4" w:space="0" w:color="000001"/>
              <w:left w:val="single" w:sz="8" w:space="0" w:color="000001"/>
              <w:bottom w:val="single" w:sz="4" w:space="0" w:color="000001"/>
              <w:right w:val="single" w:sz="4" w:space="0" w:color="000001"/>
            </w:tcBorders>
            <w:shd w:color="auto" w:fill="auto" w:val="clear"/>
            <w:tcMar>
              <w:left w:w="48" w:type="dxa"/>
            </w:tcMar>
            <w:vAlign w:val="bottom"/>
          </w:tcPr>
          <w:p>
            <w:pPr>
              <w:pStyle w:val="Normal"/>
              <w:widowControl w:val="false"/>
              <w:rPr>
                <w:rFonts w:ascii="Times New Roman" w:hAnsi="Times New Roman"/>
                <w:color w:val="000000"/>
                <w:sz w:val="22"/>
                <w:szCs w:val="22"/>
              </w:rPr>
            </w:pPr>
            <w:r>
              <w:rPr>
                <w:color w:val="000000"/>
                <w:sz w:val="22"/>
                <w:szCs w:val="22"/>
              </w:rPr>
              <w:t>ОАО "Иркутсккабель"</w:t>
            </w:r>
          </w:p>
        </w:tc>
        <w:tc>
          <w:tcPr>
            <w:tcW w:w="1196" w:type="dxa"/>
            <w:gridSpan w:val="2"/>
            <w:tcBorders>
              <w:top w:val="single" w:sz="4" w:space="0" w:color="000001"/>
              <w:left w:val="single" w:sz="4" w:space="0" w:color="000001"/>
              <w:bottom w:val="single" w:sz="4" w:space="0" w:color="000001"/>
              <w:right w:val="single" w:sz="4" w:space="0" w:color="000001"/>
            </w:tcBorders>
            <w:shd w:color="auto" w:fill="auto" w:val="clear"/>
            <w:tcMar>
              <w:left w:w="88" w:type="dxa"/>
            </w:tcMar>
            <w:vAlign w:val="bottom"/>
          </w:tcPr>
          <w:p>
            <w:pPr>
              <w:pStyle w:val="Normal"/>
              <w:widowControl w:val="false"/>
              <w:rPr>
                <w:rFonts w:ascii="Times New Roman" w:hAnsi="Times New Roman"/>
                <w:color w:val="000000"/>
                <w:sz w:val="22"/>
                <w:szCs w:val="22"/>
              </w:rPr>
            </w:pPr>
            <w:r>
              <w:rPr>
                <w:color w:val="000000"/>
                <w:sz w:val="22"/>
                <w:szCs w:val="22"/>
              </w:rPr>
              <w:t> </w:t>
            </w:r>
          </w:p>
        </w:tc>
        <w:tc>
          <w:tcPr>
            <w:tcW w:w="1293" w:type="dxa"/>
            <w:gridSpan w:val="2"/>
            <w:tcBorders>
              <w:top w:val="single" w:sz="4" w:space="0" w:color="000001"/>
              <w:left w:val="single" w:sz="4" w:space="0" w:color="000001"/>
              <w:bottom w:val="single" w:sz="4" w:space="0" w:color="000001"/>
              <w:right w:val="single" w:sz="4" w:space="0" w:color="000001"/>
            </w:tcBorders>
            <w:shd w:color="auto" w:fill="auto" w:val="clear"/>
            <w:tcMar>
              <w:left w:w="88" w:type="dxa"/>
            </w:tcMar>
            <w:vAlign w:val="bottom"/>
          </w:tcPr>
          <w:p>
            <w:pPr>
              <w:pStyle w:val="Normal"/>
              <w:widowControl w:val="false"/>
              <w:rPr>
                <w:rFonts w:ascii="Times New Roman" w:hAnsi="Times New Roman"/>
                <w:color w:val="000000"/>
                <w:sz w:val="22"/>
                <w:szCs w:val="22"/>
              </w:rPr>
            </w:pPr>
            <w:r>
              <w:rPr>
                <w:color w:val="000000"/>
                <w:sz w:val="22"/>
                <w:szCs w:val="22"/>
              </w:rPr>
              <w:t> </w:t>
            </w:r>
          </w:p>
        </w:tc>
        <w:tc>
          <w:tcPr>
            <w:tcW w:w="1825" w:type="dxa"/>
            <w:gridSpan w:val="2"/>
            <w:tcBorders>
              <w:top w:val="single" w:sz="4" w:space="0" w:color="000001"/>
              <w:left w:val="single" w:sz="8" w:space="0" w:color="000001"/>
              <w:bottom w:val="single" w:sz="4" w:space="0" w:color="000001"/>
              <w:right w:val="single" w:sz="8" w:space="0" w:color="000001"/>
            </w:tcBorders>
            <w:shd w:color="auto" w:fill="auto" w:val="clear"/>
            <w:tcMar>
              <w:left w:w="68" w:type="dxa"/>
            </w:tcMar>
            <w:vAlign w:val="bottom"/>
          </w:tcPr>
          <w:p>
            <w:pPr>
              <w:pStyle w:val="Normal"/>
              <w:widowControl w:val="false"/>
              <w:rPr>
                <w:rFonts w:ascii="Times New Roman" w:hAnsi="Times New Roman"/>
                <w:color w:val="000000"/>
                <w:sz w:val="22"/>
                <w:szCs w:val="22"/>
              </w:rPr>
            </w:pPr>
            <w:r>
              <w:rPr>
                <w:color w:val="000000"/>
                <w:sz w:val="22"/>
                <w:szCs w:val="22"/>
              </w:rPr>
              <w:t> </w:t>
            </w:r>
          </w:p>
        </w:tc>
        <w:tc>
          <w:tcPr>
            <w:tcW w:w="2059" w:type="dxa"/>
            <w:gridSpan w:val="3"/>
            <w:tcBorders>
              <w:top w:val="single" w:sz="4" w:space="0" w:color="000001"/>
              <w:left w:val="single" w:sz="4" w:space="0" w:color="000001"/>
              <w:bottom w:val="single" w:sz="4" w:space="0" w:color="000001"/>
              <w:right w:val="single" w:sz="4" w:space="0" w:color="000001"/>
            </w:tcBorders>
            <w:shd w:color="auto" w:fill="auto" w:val="clear"/>
            <w:tcMar>
              <w:left w:w="88" w:type="dxa"/>
            </w:tcMar>
            <w:vAlign w:val="bottom"/>
          </w:tcPr>
          <w:p>
            <w:pPr>
              <w:pStyle w:val="Normal"/>
              <w:widowControl w:val="false"/>
              <w:rPr>
                <w:rFonts w:ascii="Times New Roman" w:hAnsi="Times New Roman"/>
                <w:color w:val="000000"/>
                <w:sz w:val="22"/>
                <w:szCs w:val="22"/>
              </w:rPr>
            </w:pPr>
            <w:r>
              <w:rPr>
                <w:color w:val="000000"/>
                <w:sz w:val="22"/>
                <w:szCs w:val="22"/>
              </w:rPr>
              <w:t>ООО ТД "Ункомтех"</w:t>
            </w:r>
          </w:p>
        </w:tc>
        <w:tc>
          <w:tcPr>
            <w:tcW w:w="2025" w:type="dxa"/>
            <w:gridSpan w:val="3"/>
            <w:tcBorders>
              <w:top w:val="single" w:sz="4" w:space="0" w:color="000001"/>
              <w:left w:val="single" w:sz="4" w:space="0" w:color="000001"/>
              <w:bottom w:val="single" w:sz="4" w:space="0" w:color="000001"/>
              <w:right w:val="single" w:sz="4" w:space="0" w:color="000001"/>
            </w:tcBorders>
            <w:shd w:color="auto" w:fill="auto" w:val="clear"/>
            <w:tcMar>
              <w:left w:w="88" w:type="dxa"/>
            </w:tcMar>
            <w:vAlign w:val="bottom"/>
          </w:tcPr>
          <w:p>
            <w:pPr>
              <w:pStyle w:val="Normal"/>
              <w:widowControl w:val="false"/>
              <w:rPr>
                <w:rFonts w:ascii="Times New Roman" w:hAnsi="Times New Roman"/>
                <w:color w:val="000000"/>
                <w:sz w:val="22"/>
                <w:szCs w:val="22"/>
              </w:rPr>
            </w:pPr>
            <w:r>
              <w:rPr>
                <w:color w:val="000000"/>
                <w:sz w:val="22"/>
                <w:szCs w:val="22"/>
              </w:rPr>
              <w:t> </w:t>
            </w:r>
          </w:p>
        </w:tc>
        <w:tc>
          <w:tcPr>
            <w:tcW w:w="3403" w:type="dxa"/>
            <w:gridSpan w:val="2"/>
            <w:tcBorders>
              <w:top w:val="single" w:sz="4" w:space="0" w:color="000001"/>
              <w:left w:val="single" w:sz="8" w:space="0" w:color="000001"/>
              <w:bottom w:val="single" w:sz="4" w:space="0" w:color="000001"/>
              <w:right w:val="single" w:sz="8" w:space="0" w:color="000001"/>
            </w:tcBorders>
            <w:shd w:color="auto" w:fill="auto" w:val="clear"/>
            <w:tcMar>
              <w:left w:w="68" w:type="dxa"/>
            </w:tcMar>
            <w:vAlign w:val="bottom"/>
          </w:tcPr>
          <w:p>
            <w:pPr>
              <w:pStyle w:val="Normal"/>
              <w:widowControl w:val="false"/>
              <w:rPr>
                <w:rFonts w:ascii="Times New Roman" w:hAnsi="Times New Roman"/>
                <w:color w:val="000000"/>
                <w:sz w:val="22"/>
                <w:szCs w:val="22"/>
              </w:rPr>
            </w:pPr>
            <w:r>
              <w:rPr>
                <w:color w:val="000000"/>
                <w:sz w:val="22"/>
                <w:szCs w:val="22"/>
              </w:rPr>
              <w:t> </w:t>
            </w:r>
          </w:p>
        </w:tc>
      </w:tr>
      <w:tr>
        <w:trPr>
          <w:trHeight w:val="288" w:hRule="atLeast"/>
        </w:trPr>
        <w:tc>
          <w:tcPr>
            <w:tcW w:w="2367" w:type="dxa"/>
            <w:tcBorders>
              <w:top w:val="single" w:sz="4" w:space="0" w:color="000001"/>
              <w:left w:val="single" w:sz="8" w:space="0" w:color="000001"/>
              <w:bottom w:val="single" w:sz="4" w:space="0" w:color="000001"/>
            </w:tcBorders>
            <w:shd w:color="auto" w:fill="auto" w:val="clear"/>
            <w:tcMar>
              <w:left w:w="48" w:type="dxa"/>
            </w:tcMar>
            <w:vAlign w:val="center"/>
          </w:tcPr>
          <w:p>
            <w:pPr>
              <w:pStyle w:val="Normal"/>
              <w:widowControl w:val="false"/>
              <w:jc w:val="center"/>
              <w:rPr>
                <w:rFonts w:ascii="Times New Roman" w:hAnsi="Times New Roman"/>
                <w:color w:val="000000"/>
                <w:sz w:val="22"/>
                <w:szCs w:val="22"/>
              </w:rPr>
            </w:pPr>
            <w:r>
              <w:rPr>
                <w:color w:val="000000"/>
                <w:sz w:val="22"/>
                <w:szCs w:val="22"/>
              </w:rPr>
              <w:t> </w:t>
            </w:r>
          </w:p>
        </w:tc>
        <w:tc>
          <w:tcPr>
            <w:tcW w:w="2056" w:type="dxa"/>
            <w:tcBorders>
              <w:top w:val="single" w:sz="4" w:space="0" w:color="000001"/>
              <w:left w:val="single" w:sz="8" w:space="0" w:color="000001"/>
              <w:bottom w:val="single" w:sz="4" w:space="0" w:color="000001"/>
              <w:right w:val="single" w:sz="4" w:space="0" w:color="000001"/>
            </w:tcBorders>
            <w:shd w:color="auto" w:fill="auto" w:val="clear"/>
            <w:tcMar>
              <w:left w:w="48" w:type="dxa"/>
            </w:tcMar>
            <w:vAlign w:val="bottom"/>
          </w:tcPr>
          <w:p>
            <w:pPr>
              <w:pStyle w:val="Normal"/>
              <w:widowControl w:val="false"/>
              <w:rPr>
                <w:rFonts w:ascii="Times New Roman" w:hAnsi="Times New Roman"/>
                <w:color w:val="000000"/>
                <w:sz w:val="22"/>
                <w:szCs w:val="22"/>
              </w:rPr>
            </w:pPr>
            <w:r>
              <w:rPr>
                <w:color w:val="000000"/>
                <w:sz w:val="22"/>
                <w:szCs w:val="22"/>
              </w:rPr>
              <w:t> </w:t>
            </w:r>
          </w:p>
        </w:tc>
        <w:tc>
          <w:tcPr>
            <w:tcW w:w="1196" w:type="dxa"/>
            <w:gridSpan w:val="2"/>
            <w:tcBorders>
              <w:top w:val="single" w:sz="4" w:space="0" w:color="000001"/>
              <w:left w:val="single" w:sz="4" w:space="0" w:color="000001"/>
              <w:bottom w:val="single" w:sz="4" w:space="0" w:color="000001"/>
              <w:right w:val="single" w:sz="4" w:space="0" w:color="000001"/>
            </w:tcBorders>
            <w:shd w:color="auto" w:fill="auto" w:val="clear"/>
            <w:tcMar>
              <w:left w:w="88" w:type="dxa"/>
            </w:tcMar>
            <w:vAlign w:val="bottom"/>
          </w:tcPr>
          <w:p>
            <w:pPr>
              <w:pStyle w:val="Normal"/>
              <w:widowControl w:val="false"/>
              <w:rPr>
                <w:rFonts w:ascii="Times New Roman" w:hAnsi="Times New Roman"/>
                <w:color w:val="000000"/>
                <w:sz w:val="22"/>
                <w:szCs w:val="22"/>
              </w:rPr>
            </w:pPr>
            <w:r>
              <w:rPr>
                <w:color w:val="000000"/>
                <w:sz w:val="22"/>
                <w:szCs w:val="22"/>
              </w:rPr>
              <w:t> </w:t>
            </w:r>
          </w:p>
        </w:tc>
        <w:tc>
          <w:tcPr>
            <w:tcW w:w="1293" w:type="dxa"/>
            <w:gridSpan w:val="2"/>
            <w:tcBorders>
              <w:top w:val="single" w:sz="4" w:space="0" w:color="000001"/>
              <w:left w:val="single" w:sz="4" w:space="0" w:color="000001"/>
              <w:bottom w:val="single" w:sz="4" w:space="0" w:color="000001"/>
              <w:right w:val="single" w:sz="4" w:space="0" w:color="000001"/>
            </w:tcBorders>
            <w:shd w:color="auto" w:fill="auto" w:val="clear"/>
            <w:tcMar>
              <w:left w:w="88" w:type="dxa"/>
            </w:tcMar>
            <w:vAlign w:val="bottom"/>
          </w:tcPr>
          <w:p>
            <w:pPr>
              <w:pStyle w:val="Normal"/>
              <w:widowControl w:val="false"/>
              <w:rPr>
                <w:rFonts w:ascii="Times New Roman" w:hAnsi="Times New Roman"/>
                <w:color w:val="000000"/>
                <w:sz w:val="22"/>
                <w:szCs w:val="22"/>
              </w:rPr>
            </w:pPr>
            <w:r>
              <w:rPr>
                <w:color w:val="000000"/>
                <w:sz w:val="22"/>
                <w:szCs w:val="22"/>
              </w:rPr>
              <w:t> </w:t>
            </w:r>
          </w:p>
        </w:tc>
        <w:tc>
          <w:tcPr>
            <w:tcW w:w="1825" w:type="dxa"/>
            <w:gridSpan w:val="2"/>
            <w:tcBorders>
              <w:top w:val="single" w:sz="4" w:space="0" w:color="000001"/>
              <w:left w:val="single" w:sz="8" w:space="0" w:color="000001"/>
              <w:bottom w:val="single" w:sz="4" w:space="0" w:color="000001"/>
              <w:right w:val="single" w:sz="8" w:space="0" w:color="000001"/>
            </w:tcBorders>
            <w:shd w:color="auto" w:fill="auto" w:val="clear"/>
            <w:tcMar>
              <w:left w:w="68" w:type="dxa"/>
            </w:tcMar>
            <w:vAlign w:val="bottom"/>
          </w:tcPr>
          <w:p>
            <w:pPr>
              <w:pStyle w:val="Normal"/>
              <w:widowControl w:val="false"/>
              <w:rPr>
                <w:rFonts w:ascii="Times New Roman" w:hAnsi="Times New Roman"/>
                <w:color w:val="000000"/>
                <w:sz w:val="22"/>
                <w:szCs w:val="22"/>
              </w:rPr>
            </w:pPr>
            <w:r>
              <w:rPr>
                <w:color w:val="000000"/>
                <w:sz w:val="22"/>
                <w:szCs w:val="22"/>
              </w:rPr>
              <w:t> </w:t>
            </w:r>
          </w:p>
        </w:tc>
        <w:tc>
          <w:tcPr>
            <w:tcW w:w="2059" w:type="dxa"/>
            <w:gridSpan w:val="3"/>
            <w:tcBorders>
              <w:top w:val="single" w:sz="4" w:space="0" w:color="000001"/>
              <w:left w:val="single" w:sz="4" w:space="0" w:color="000001"/>
              <w:bottom w:val="single" w:sz="4" w:space="0" w:color="000001"/>
              <w:right w:val="single" w:sz="4" w:space="0" w:color="000001"/>
            </w:tcBorders>
            <w:shd w:color="auto" w:fill="auto" w:val="clear"/>
            <w:tcMar>
              <w:left w:w="88" w:type="dxa"/>
            </w:tcMar>
            <w:vAlign w:val="bottom"/>
          </w:tcPr>
          <w:p>
            <w:pPr>
              <w:pStyle w:val="Normal"/>
              <w:widowControl w:val="false"/>
              <w:rPr>
                <w:rFonts w:ascii="Times New Roman" w:hAnsi="Times New Roman"/>
                <w:color w:val="000000"/>
                <w:sz w:val="22"/>
                <w:szCs w:val="22"/>
              </w:rPr>
            </w:pPr>
            <w:r>
              <w:rPr>
                <w:color w:val="000000"/>
                <w:sz w:val="22"/>
                <w:szCs w:val="22"/>
              </w:rPr>
              <w:t> </w:t>
            </w:r>
          </w:p>
        </w:tc>
        <w:tc>
          <w:tcPr>
            <w:tcW w:w="2025" w:type="dxa"/>
            <w:gridSpan w:val="3"/>
            <w:tcBorders>
              <w:top w:val="single" w:sz="4" w:space="0" w:color="000001"/>
              <w:left w:val="single" w:sz="4" w:space="0" w:color="000001"/>
              <w:bottom w:val="single" w:sz="4" w:space="0" w:color="000001"/>
              <w:right w:val="single" w:sz="4" w:space="0" w:color="000001"/>
            </w:tcBorders>
            <w:shd w:color="auto" w:fill="auto" w:val="clear"/>
            <w:tcMar>
              <w:left w:w="88" w:type="dxa"/>
            </w:tcMar>
            <w:vAlign w:val="bottom"/>
          </w:tcPr>
          <w:p>
            <w:pPr>
              <w:pStyle w:val="Normal"/>
              <w:widowControl w:val="false"/>
              <w:rPr>
                <w:rFonts w:ascii="Times New Roman" w:hAnsi="Times New Roman"/>
                <w:color w:val="000000"/>
                <w:sz w:val="22"/>
                <w:szCs w:val="22"/>
              </w:rPr>
            </w:pPr>
            <w:r>
              <w:rPr>
                <w:color w:val="000000"/>
                <w:sz w:val="22"/>
                <w:szCs w:val="22"/>
              </w:rPr>
              <w:t> </w:t>
            </w:r>
          </w:p>
        </w:tc>
        <w:tc>
          <w:tcPr>
            <w:tcW w:w="3403" w:type="dxa"/>
            <w:gridSpan w:val="2"/>
            <w:tcBorders>
              <w:top w:val="single" w:sz="4" w:space="0" w:color="000001"/>
              <w:left w:val="single" w:sz="8" w:space="0" w:color="000001"/>
              <w:bottom w:val="single" w:sz="4" w:space="0" w:color="000001"/>
              <w:right w:val="single" w:sz="8" w:space="0" w:color="000001"/>
            </w:tcBorders>
            <w:shd w:color="auto" w:fill="auto" w:val="clear"/>
            <w:tcMar>
              <w:left w:w="68" w:type="dxa"/>
            </w:tcMar>
            <w:vAlign w:val="bottom"/>
          </w:tcPr>
          <w:p>
            <w:pPr>
              <w:pStyle w:val="Normal"/>
              <w:widowControl w:val="false"/>
              <w:rPr>
                <w:rFonts w:ascii="Times New Roman" w:hAnsi="Times New Roman"/>
                <w:color w:val="000000"/>
                <w:sz w:val="22"/>
                <w:szCs w:val="22"/>
              </w:rPr>
            </w:pPr>
            <w:r>
              <w:rPr>
                <w:color w:val="000000"/>
                <w:sz w:val="22"/>
                <w:szCs w:val="22"/>
              </w:rPr>
              <w:t> </w:t>
            </w:r>
          </w:p>
        </w:tc>
      </w:tr>
      <w:tr>
        <w:trPr>
          <w:trHeight w:val="288" w:hRule="atLeast"/>
        </w:trPr>
        <w:tc>
          <w:tcPr>
            <w:tcW w:w="2367" w:type="dxa"/>
            <w:tcBorders>
              <w:top w:val="single" w:sz="4" w:space="0" w:color="000001"/>
              <w:left w:val="single" w:sz="8" w:space="0" w:color="000001"/>
              <w:bottom w:val="single" w:sz="4" w:space="0" w:color="000001"/>
            </w:tcBorders>
            <w:shd w:color="auto" w:fill="auto" w:val="clear"/>
            <w:tcMar>
              <w:left w:w="48" w:type="dxa"/>
            </w:tcMar>
            <w:vAlign w:val="center"/>
          </w:tcPr>
          <w:p>
            <w:pPr>
              <w:pStyle w:val="Normal"/>
              <w:widowControl w:val="false"/>
              <w:jc w:val="center"/>
              <w:rPr>
                <w:rFonts w:ascii="Times New Roman" w:hAnsi="Times New Roman"/>
                <w:color w:val="000000"/>
                <w:sz w:val="22"/>
                <w:szCs w:val="22"/>
              </w:rPr>
            </w:pPr>
            <w:r>
              <w:rPr>
                <w:color w:val="000000"/>
                <w:sz w:val="22"/>
                <w:szCs w:val="22"/>
              </w:rPr>
              <w:t> </w:t>
            </w:r>
          </w:p>
        </w:tc>
        <w:tc>
          <w:tcPr>
            <w:tcW w:w="2056" w:type="dxa"/>
            <w:tcBorders>
              <w:top w:val="single" w:sz="4" w:space="0" w:color="000001"/>
              <w:left w:val="single" w:sz="8" w:space="0" w:color="000001"/>
              <w:bottom w:val="single" w:sz="4" w:space="0" w:color="000001"/>
              <w:right w:val="single" w:sz="4" w:space="0" w:color="000001"/>
            </w:tcBorders>
            <w:shd w:color="auto" w:fill="auto" w:val="clear"/>
            <w:tcMar>
              <w:left w:w="48" w:type="dxa"/>
            </w:tcMar>
            <w:vAlign w:val="bottom"/>
          </w:tcPr>
          <w:p>
            <w:pPr>
              <w:pStyle w:val="Normal"/>
              <w:widowControl w:val="false"/>
              <w:rPr>
                <w:rFonts w:ascii="Times New Roman" w:hAnsi="Times New Roman"/>
                <w:color w:val="000000"/>
                <w:sz w:val="22"/>
                <w:szCs w:val="22"/>
              </w:rPr>
            </w:pPr>
            <w:r>
              <w:rPr>
                <w:color w:val="000000"/>
                <w:sz w:val="22"/>
                <w:szCs w:val="22"/>
              </w:rPr>
              <w:t> </w:t>
            </w:r>
          </w:p>
        </w:tc>
        <w:tc>
          <w:tcPr>
            <w:tcW w:w="1196" w:type="dxa"/>
            <w:gridSpan w:val="2"/>
            <w:tcBorders>
              <w:top w:val="single" w:sz="4" w:space="0" w:color="000001"/>
              <w:left w:val="single" w:sz="4" w:space="0" w:color="000001"/>
              <w:bottom w:val="single" w:sz="4" w:space="0" w:color="000001"/>
              <w:right w:val="single" w:sz="4" w:space="0" w:color="000001"/>
            </w:tcBorders>
            <w:shd w:color="auto" w:fill="auto" w:val="clear"/>
            <w:tcMar>
              <w:left w:w="88" w:type="dxa"/>
            </w:tcMar>
            <w:vAlign w:val="bottom"/>
          </w:tcPr>
          <w:p>
            <w:pPr>
              <w:pStyle w:val="Normal"/>
              <w:widowControl w:val="false"/>
              <w:rPr>
                <w:rFonts w:ascii="Times New Roman" w:hAnsi="Times New Roman"/>
                <w:color w:val="000000"/>
                <w:sz w:val="22"/>
                <w:szCs w:val="22"/>
              </w:rPr>
            </w:pPr>
            <w:r>
              <w:rPr>
                <w:color w:val="000000"/>
                <w:sz w:val="22"/>
                <w:szCs w:val="22"/>
              </w:rPr>
              <w:t> </w:t>
            </w:r>
          </w:p>
        </w:tc>
        <w:tc>
          <w:tcPr>
            <w:tcW w:w="1293" w:type="dxa"/>
            <w:gridSpan w:val="2"/>
            <w:tcBorders>
              <w:top w:val="single" w:sz="4" w:space="0" w:color="000001"/>
              <w:left w:val="single" w:sz="4" w:space="0" w:color="000001"/>
              <w:bottom w:val="single" w:sz="4" w:space="0" w:color="000001"/>
              <w:right w:val="single" w:sz="4" w:space="0" w:color="000001"/>
            </w:tcBorders>
            <w:shd w:color="auto" w:fill="auto" w:val="clear"/>
            <w:tcMar>
              <w:left w:w="88" w:type="dxa"/>
            </w:tcMar>
            <w:vAlign w:val="bottom"/>
          </w:tcPr>
          <w:p>
            <w:pPr>
              <w:pStyle w:val="Normal"/>
              <w:widowControl w:val="false"/>
              <w:rPr>
                <w:rFonts w:ascii="Times New Roman" w:hAnsi="Times New Roman"/>
                <w:color w:val="000000"/>
                <w:sz w:val="22"/>
                <w:szCs w:val="22"/>
              </w:rPr>
            </w:pPr>
            <w:r>
              <w:rPr>
                <w:color w:val="000000"/>
                <w:sz w:val="22"/>
                <w:szCs w:val="22"/>
              </w:rPr>
              <w:t> </w:t>
            </w:r>
          </w:p>
        </w:tc>
        <w:tc>
          <w:tcPr>
            <w:tcW w:w="1825" w:type="dxa"/>
            <w:gridSpan w:val="2"/>
            <w:tcBorders>
              <w:top w:val="single" w:sz="4" w:space="0" w:color="000001"/>
              <w:left w:val="single" w:sz="8" w:space="0" w:color="000001"/>
              <w:bottom w:val="single" w:sz="4" w:space="0" w:color="000001"/>
              <w:right w:val="single" w:sz="8" w:space="0" w:color="000001"/>
            </w:tcBorders>
            <w:shd w:color="auto" w:fill="auto" w:val="clear"/>
            <w:tcMar>
              <w:left w:w="68" w:type="dxa"/>
            </w:tcMar>
            <w:vAlign w:val="bottom"/>
          </w:tcPr>
          <w:p>
            <w:pPr>
              <w:pStyle w:val="Normal"/>
              <w:widowControl w:val="false"/>
              <w:rPr>
                <w:rFonts w:ascii="Times New Roman" w:hAnsi="Times New Roman"/>
                <w:color w:val="000000"/>
                <w:sz w:val="22"/>
                <w:szCs w:val="22"/>
              </w:rPr>
            </w:pPr>
            <w:r>
              <w:rPr>
                <w:color w:val="000000"/>
                <w:sz w:val="22"/>
                <w:szCs w:val="22"/>
              </w:rPr>
              <w:t> </w:t>
            </w:r>
          </w:p>
        </w:tc>
        <w:tc>
          <w:tcPr>
            <w:tcW w:w="2059" w:type="dxa"/>
            <w:gridSpan w:val="3"/>
            <w:tcBorders>
              <w:top w:val="single" w:sz="4" w:space="0" w:color="000001"/>
              <w:left w:val="single" w:sz="4" w:space="0" w:color="000001"/>
              <w:bottom w:val="single" w:sz="4" w:space="0" w:color="000001"/>
              <w:right w:val="single" w:sz="4" w:space="0" w:color="000001"/>
            </w:tcBorders>
            <w:shd w:color="auto" w:fill="auto" w:val="clear"/>
            <w:tcMar>
              <w:left w:w="88" w:type="dxa"/>
            </w:tcMar>
            <w:vAlign w:val="bottom"/>
          </w:tcPr>
          <w:p>
            <w:pPr>
              <w:pStyle w:val="Normal"/>
              <w:widowControl w:val="false"/>
              <w:rPr>
                <w:rFonts w:ascii="Times New Roman" w:hAnsi="Times New Roman"/>
                <w:color w:val="000000"/>
                <w:sz w:val="22"/>
                <w:szCs w:val="22"/>
              </w:rPr>
            </w:pPr>
            <w:r>
              <w:rPr>
                <w:color w:val="000000"/>
                <w:sz w:val="22"/>
                <w:szCs w:val="22"/>
              </w:rPr>
              <w:t> </w:t>
            </w:r>
          </w:p>
        </w:tc>
        <w:tc>
          <w:tcPr>
            <w:tcW w:w="2025" w:type="dxa"/>
            <w:gridSpan w:val="3"/>
            <w:tcBorders>
              <w:top w:val="single" w:sz="4" w:space="0" w:color="000001"/>
              <w:left w:val="single" w:sz="4" w:space="0" w:color="000001"/>
              <w:bottom w:val="single" w:sz="4" w:space="0" w:color="000001"/>
              <w:right w:val="single" w:sz="4" w:space="0" w:color="000001"/>
            </w:tcBorders>
            <w:shd w:color="auto" w:fill="auto" w:val="clear"/>
            <w:tcMar>
              <w:left w:w="88" w:type="dxa"/>
            </w:tcMar>
            <w:vAlign w:val="bottom"/>
          </w:tcPr>
          <w:p>
            <w:pPr>
              <w:pStyle w:val="Normal"/>
              <w:widowControl w:val="false"/>
              <w:rPr>
                <w:rFonts w:ascii="Times New Roman" w:hAnsi="Times New Roman"/>
                <w:color w:val="000000"/>
                <w:sz w:val="22"/>
                <w:szCs w:val="22"/>
              </w:rPr>
            </w:pPr>
            <w:r>
              <w:rPr>
                <w:color w:val="000000"/>
                <w:sz w:val="22"/>
                <w:szCs w:val="22"/>
              </w:rPr>
              <w:t> </w:t>
            </w:r>
          </w:p>
        </w:tc>
        <w:tc>
          <w:tcPr>
            <w:tcW w:w="3403" w:type="dxa"/>
            <w:gridSpan w:val="2"/>
            <w:tcBorders>
              <w:top w:val="single" w:sz="4" w:space="0" w:color="000001"/>
              <w:left w:val="single" w:sz="8" w:space="0" w:color="000001"/>
              <w:bottom w:val="single" w:sz="4" w:space="0" w:color="000001"/>
              <w:right w:val="single" w:sz="8" w:space="0" w:color="000001"/>
            </w:tcBorders>
            <w:shd w:color="auto" w:fill="auto" w:val="clear"/>
            <w:tcMar>
              <w:left w:w="68" w:type="dxa"/>
            </w:tcMar>
            <w:vAlign w:val="bottom"/>
          </w:tcPr>
          <w:p>
            <w:pPr>
              <w:pStyle w:val="Normal"/>
              <w:widowControl w:val="false"/>
              <w:rPr>
                <w:rFonts w:ascii="Times New Roman" w:hAnsi="Times New Roman"/>
                <w:color w:val="000000"/>
                <w:sz w:val="22"/>
                <w:szCs w:val="22"/>
              </w:rPr>
            </w:pPr>
            <w:r>
              <w:rPr>
                <w:color w:val="000000"/>
                <w:sz w:val="22"/>
                <w:szCs w:val="22"/>
              </w:rPr>
              <w:t> </w:t>
            </w:r>
          </w:p>
        </w:tc>
      </w:tr>
      <w:tr>
        <w:trPr>
          <w:trHeight w:val="300" w:hRule="atLeast"/>
        </w:trPr>
        <w:tc>
          <w:tcPr>
            <w:tcW w:w="2367" w:type="dxa"/>
            <w:tcBorders>
              <w:top w:val="single" w:sz="8" w:space="0" w:color="000001"/>
              <w:left w:val="single" w:sz="8" w:space="0" w:color="000001"/>
              <w:bottom w:val="single" w:sz="8" w:space="0" w:color="000001"/>
            </w:tcBorders>
            <w:shd w:color="auto" w:fill="auto" w:val="clear"/>
            <w:tcMar>
              <w:left w:w="48" w:type="dxa"/>
            </w:tcMar>
            <w:vAlign w:val="bottom"/>
          </w:tcPr>
          <w:p>
            <w:pPr>
              <w:pStyle w:val="Normal"/>
              <w:widowControl w:val="false"/>
              <w:rPr>
                <w:rFonts w:ascii="Times New Roman" w:hAnsi="Times New Roman"/>
                <w:color w:val="000000"/>
                <w:sz w:val="22"/>
                <w:szCs w:val="22"/>
              </w:rPr>
            </w:pPr>
            <w:r>
              <w:rPr>
                <w:color w:val="000000"/>
                <w:sz w:val="22"/>
                <w:szCs w:val="22"/>
              </w:rPr>
              <w:t> </w:t>
            </w:r>
          </w:p>
        </w:tc>
        <w:tc>
          <w:tcPr>
            <w:tcW w:w="2056" w:type="dxa"/>
            <w:tcBorders>
              <w:top w:val="single" w:sz="8" w:space="0" w:color="000001"/>
              <w:left w:val="single" w:sz="8" w:space="0" w:color="000001"/>
              <w:bottom w:val="single" w:sz="8" w:space="0" w:color="000001"/>
              <w:right w:val="single" w:sz="4" w:space="0" w:color="000001"/>
            </w:tcBorders>
            <w:shd w:color="auto" w:fill="auto" w:val="clear"/>
            <w:tcMar>
              <w:left w:w="48" w:type="dxa"/>
            </w:tcMar>
            <w:vAlign w:val="bottom"/>
          </w:tcPr>
          <w:p>
            <w:pPr>
              <w:pStyle w:val="Normal"/>
              <w:widowControl w:val="false"/>
              <w:rPr>
                <w:rFonts w:ascii="Times New Roman" w:hAnsi="Times New Roman"/>
                <w:color w:val="000000"/>
                <w:sz w:val="22"/>
                <w:szCs w:val="22"/>
              </w:rPr>
            </w:pPr>
            <w:r>
              <w:rPr>
                <w:color w:val="000000"/>
                <w:sz w:val="22"/>
                <w:szCs w:val="22"/>
              </w:rPr>
              <w:t> </w:t>
            </w:r>
          </w:p>
        </w:tc>
        <w:tc>
          <w:tcPr>
            <w:tcW w:w="1196" w:type="dxa"/>
            <w:gridSpan w:val="2"/>
            <w:tcBorders>
              <w:top w:val="single" w:sz="8" w:space="0" w:color="000001"/>
              <w:left w:val="single" w:sz="4" w:space="0" w:color="000001"/>
              <w:bottom w:val="single" w:sz="8" w:space="0" w:color="000001"/>
              <w:right w:val="single" w:sz="4" w:space="0" w:color="000001"/>
            </w:tcBorders>
            <w:shd w:color="auto" w:fill="auto" w:val="clear"/>
            <w:tcMar>
              <w:left w:w="88" w:type="dxa"/>
            </w:tcMar>
            <w:vAlign w:val="bottom"/>
          </w:tcPr>
          <w:p>
            <w:pPr>
              <w:pStyle w:val="Normal"/>
              <w:widowControl w:val="false"/>
              <w:rPr>
                <w:rFonts w:ascii="Times New Roman" w:hAnsi="Times New Roman"/>
                <w:color w:val="000000"/>
                <w:sz w:val="22"/>
                <w:szCs w:val="22"/>
              </w:rPr>
            </w:pPr>
            <w:r>
              <w:rPr>
                <w:color w:val="000000"/>
                <w:sz w:val="22"/>
                <w:szCs w:val="22"/>
              </w:rPr>
              <w:t> </w:t>
            </w:r>
          </w:p>
        </w:tc>
        <w:tc>
          <w:tcPr>
            <w:tcW w:w="1293" w:type="dxa"/>
            <w:gridSpan w:val="2"/>
            <w:tcBorders>
              <w:top w:val="single" w:sz="8" w:space="0" w:color="000001"/>
              <w:left w:val="single" w:sz="4" w:space="0" w:color="000001"/>
              <w:bottom w:val="single" w:sz="8" w:space="0" w:color="000001"/>
              <w:right w:val="single" w:sz="4" w:space="0" w:color="000001"/>
            </w:tcBorders>
            <w:shd w:color="auto" w:fill="auto" w:val="clear"/>
            <w:tcMar>
              <w:left w:w="88" w:type="dxa"/>
            </w:tcMar>
            <w:vAlign w:val="bottom"/>
          </w:tcPr>
          <w:p>
            <w:pPr>
              <w:pStyle w:val="Normal"/>
              <w:widowControl w:val="false"/>
              <w:rPr>
                <w:rFonts w:ascii="Times New Roman" w:hAnsi="Times New Roman"/>
                <w:color w:val="000000"/>
                <w:sz w:val="22"/>
                <w:szCs w:val="22"/>
              </w:rPr>
            </w:pPr>
            <w:r>
              <w:rPr>
                <w:color w:val="000000"/>
                <w:sz w:val="22"/>
                <w:szCs w:val="22"/>
              </w:rPr>
              <w:t> </w:t>
            </w:r>
          </w:p>
        </w:tc>
        <w:tc>
          <w:tcPr>
            <w:tcW w:w="1825" w:type="dxa"/>
            <w:gridSpan w:val="2"/>
            <w:tcBorders>
              <w:top w:val="single" w:sz="8" w:space="0" w:color="000001"/>
              <w:left w:val="single" w:sz="8" w:space="0" w:color="000001"/>
              <w:bottom w:val="single" w:sz="8" w:space="0" w:color="000001"/>
              <w:right w:val="single" w:sz="8" w:space="0" w:color="000001"/>
            </w:tcBorders>
            <w:shd w:color="auto" w:fill="auto" w:val="clear"/>
            <w:tcMar>
              <w:left w:w="68" w:type="dxa"/>
            </w:tcMar>
            <w:vAlign w:val="bottom"/>
          </w:tcPr>
          <w:p>
            <w:pPr>
              <w:pStyle w:val="Normal"/>
              <w:widowControl w:val="false"/>
              <w:rPr>
                <w:rFonts w:ascii="Times New Roman" w:hAnsi="Times New Roman"/>
                <w:color w:val="000000"/>
                <w:sz w:val="22"/>
                <w:szCs w:val="22"/>
              </w:rPr>
            </w:pPr>
            <w:r>
              <w:rPr>
                <w:color w:val="000000"/>
                <w:sz w:val="22"/>
                <w:szCs w:val="22"/>
              </w:rPr>
              <w:t> </w:t>
            </w:r>
          </w:p>
        </w:tc>
        <w:tc>
          <w:tcPr>
            <w:tcW w:w="2059" w:type="dxa"/>
            <w:gridSpan w:val="3"/>
            <w:tcBorders>
              <w:top w:val="single" w:sz="8" w:space="0" w:color="000001"/>
              <w:left w:val="single" w:sz="4" w:space="0" w:color="000001"/>
              <w:bottom w:val="single" w:sz="8" w:space="0" w:color="000001"/>
              <w:right w:val="single" w:sz="4" w:space="0" w:color="000001"/>
            </w:tcBorders>
            <w:shd w:color="auto" w:fill="auto" w:val="clear"/>
            <w:tcMar>
              <w:left w:w="88" w:type="dxa"/>
            </w:tcMar>
            <w:vAlign w:val="bottom"/>
          </w:tcPr>
          <w:p>
            <w:pPr>
              <w:pStyle w:val="Normal"/>
              <w:widowControl w:val="false"/>
              <w:rPr>
                <w:rFonts w:ascii="Times New Roman" w:hAnsi="Times New Roman"/>
                <w:color w:val="000000"/>
                <w:sz w:val="22"/>
                <w:szCs w:val="22"/>
              </w:rPr>
            </w:pPr>
            <w:r>
              <w:rPr>
                <w:color w:val="000000"/>
                <w:sz w:val="22"/>
                <w:szCs w:val="22"/>
              </w:rPr>
              <w:t> </w:t>
            </w:r>
          </w:p>
        </w:tc>
        <w:tc>
          <w:tcPr>
            <w:tcW w:w="2025" w:type="dxa"/>
            <w:gridSpan w:val="3"/>
            <w:tcBorders>
              <w:top w:val="single" w:sz="8" w:space="0" w:color="000001"/>
              <w:left w:val="single" w:sz="4" w:space="0" w:color="000001"/>
              <w:bottom w:val="single" w:sz="8" w:space="0" w:color="000001"/>
              <w:right w:val="single" w:sz="4" w:space="0" w:color="000001"/>
            </w:tcBorders>
            <w:shd w:color="auto" w:fill="auto" w:val="clear"/>
            <w:tcMar>
              <w:left w:w="88" w:type="dxa"/>
            </w:tcMar>
            <w:vAlign w:val="bottom"/>
          </w:tcPr>
          <w:p>
            <w:pPr>
              <w:pStyle w:val="Normal"/>
              <w:widowControl w:val="false"/>
              <w:rPr>
                <w:rFonts w:ascii="Times New Roman" w:hAnsi="Times New Roman"/>
                <w:color w:val="000000"/>
                <w:sz w:val="22"/>
                <w:szCs w:val="22"/>
              </w:rPr>
            </w:pPr>
            <w:r>
              <w:rPr>
                <w:color w:val="000000"/>
                <w:sz w:val="22"/>
                <w:szCs w:val="22"/>
              </w:rPr>
              <w:t> </w:t>
            </w:r>
          </w:p>
        </w:tc>
        <w:tc>
          <w:tcPr>
            <w:tcW w:w="3403" w:type="dxa"/>
            <w:gridSpan w:val="2"/>
            <w:tcBorders>
              <w:top w:val="single" w:sz="8" w:space="0" w:color="000001"/>
              <w:left w:val="single" w:sz="8" w:space="0" w:color="000001"/>
              <w:bottom w:val="single" w:sz="8" w:space="0" w:color="000001"/>
              <w:right w:val="single" w:sz="8" w:space="0" w:color="000001"/>
            </w:tcBorders>
            <w:shd w:color="auto" w:fill="auto" w:val="clear"/>
            <w:tcMar>
              <w:left w:w="68" w:type="dxa"/>
            </w:tcMar>
            <w:vAlign w:val="bottom"/>
          </w:tcPr>
          <w:p>
            <w:pPr>
              <w:pStyle w:val="Normal"/>
              <w:widowControl w:val="false"/>
              <w:rPr>
                <w:rFonts w:ascii="Times New Roman" w:hAnsi="Times New Roman"/>
                <w:color w:val="000000"/>
                <w:sz w:val="22"/>
                <w:szCs w:val="22"/>
              </w:rPr>
            </w:pPr>
            <w:r>
              <w:rPr>
                <w:color w:val="000000"/>
                <w:sz w:val="22"/>
                <w:szCs w:val="22"/>
              </w:rPr>
              <w:t> </w:t>
            </w:r>
          </w:p>
        </w:tc>
      </w:tr>
      <w:tr>
        <w:trPr>
          <w:trHeight w:val="288" w:hRule="exact"/>
        </w:trPr>
        <w:tc>
          <w:tcPr>
            <w:tcW w:w="2367" w:type="dxa"/>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2056" w:type="dxa"/>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1196" w:type="dxa"/>
            <w:gridSpan w:val="2"/>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1293" w:type="dxa"/>
            <w:gridSpan w:val="2"/>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1825" w:type="dxa"/>
            <w:gridSpan w:val="2"/>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2059" w:type="dxa"/>
            <w:gridSpan w:val="3"/>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2025" w:type="dxa"/>
            <w:gridSpan w:val="3"/>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3403" w:type="dxa"/>
            <w:gridSpan w:val="2"/>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r>
      <w:tr>
        <w:trPr>
          <w:trHeight w:val="288" w:hRule="exact"/>
        </w:trPr>
        <w:tc>
          <w:tcPr>
            <w:tcW w:w="2367" w:type="dxa"/>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2056" w:type="dxa"/>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1196" w:type="dxa"/>
            <w:gridSpan w:val="2"/>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1293" w:type="dxa"/>
            <w:gridSpan w:val="2"/>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1825" w:type="dxa"/>
            <w:gridSpan w:val="2"/>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2059" w:type="dxa"/>
            <w:gridSpan w:val="3"/>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2025" w:type="dxa"/>
            <w:gridSpan w:val="3"/>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3403" w:type="dxa"/>
            <w:gridSpan w:val="2"/>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r>
      <w:tr>
        <w:trPr>
          <w:trHeight w:val="288" w:hRule="atLeast"/>
        </w:trPr>
        <w:tc>
          <w:tcPr>
            <w:tcW w:w="4423" w:type="dxa"/>
            <w:gridSpan w:val="2"/>
            <w:tcBorders>
              <w:top w:val="single" w:sz="4" w:space="0" w:color="000001"/>
              <w:bottom w:val="single" w:sz="4" w:space="0" w:color="000001"/>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t> </w:t>
            </w:r>
          </w:p>
        </w:tc>
        <w:tc>
          <w:tcPr>
            <w:tcW w:w="1194" w:type="dxa"/>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1293" w:type="dxa"/>
            <w:gridSpan w:val="2"/>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1822" w:type="dxa"/>
            <w:gridSpan w:val="2"/>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c>
          <w:tcPr>
            <w:tcW w:w="2059" w:type="dxa"/>
            <w:gridSpan w:val="3"/>
            <w:tcBorders>
              <w:top w:val="single" w:sz="4" w:space="0" w:color="000001"/>
              <w:bottom w:val="single" w:sz="4" w:space="0" w:color="000001"/>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t> </w:t>
            </w:r>
          </w:p>
        </w:tc>
        <w:tc>
          <w:tcPr>
            <w:tcW w:w="2025" w:type="dxa"/>
            <w:gridSpan w:val="3"/>
            <w:tcBorders>
              <w:top w:val="single" w:sz="4" w:space="0" w:color="000001"/>
              <w:bottom w:val="single" w:sz="4" w:space="0" w:color="000001"/>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t> </w:t>
            </w:r>
          </w:p>
        </w:tc>
        <w:tc>
          <w:tcPr>
            <w:tcW w:w="3408" w:type="dxa"/>
            <w:gridSpan w:val="3"/>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r>
      <w:tr>
        <w:trPr>
          <w:trHeight w:val="228" w:hRule="atLeast"/>
        </w:trPr>
        <w:tc>
          <w:tcPr>
            <w:tcW w:w="4423" w:type="dxa"/>
            <w:gridSpan w:val="2"/>
            <w:tcBorders>
              <w:top w:val="single" w:sz="4" w:space="0" w:color="000001"/>
            </w:tcBorders>
            <w:shd w:color="auto" w:fill="auto" w:val="clear"/>
            <w:vAlign w:val="bottom"/>
          </w:tcPr>
          <w:p>
            <w:pPr>
              <w:pStyle w:val="Normal"/>
              <w:widowControl w:val="false"/>
              <w:jc w:val="center"/>
              <w:rPr>
                <w:rFonts w:ascii="Times New Roman" w:hAnsi="Times New Roman"/>
                <w:color w:val="000000"/>
                <w:sz w:val="22"/>
                <w:szCs w:val="22"/>
              </w:rPr>
            </w:pPr>
            <w:r>
              <w:rPr>
                <w:color w:val="000000"/>
                <w:sz w:val="22"/>
                <w:szCs w:val="22"/>
              </w:rPr>
              <w:t>поставщик</w:t>
            </w:r>
          </w:p>
        </w:tc>
        <w:tc>
          <w:tcPr>
            <w:tcW w:w="1194" w:type="dxa"/>
            <w:tcBorders/>
            <w:shd w:color="auto" w:fill="auto" w:val="clear"/>
            <w:vAlign w:val="bottom"/>
          </w:tcPr>
          <w:p>
            <w:pPr>
              <w:pStyle w:val="Normal"/>
              <w:widowControl w:val="false"/>
              <w:jc w:val="center"/>
              <w:rPr>
                <w:rFonts w:ascii="Times New Roman" w:hAnsi="Times New Roman"/>
                <w:color w:val="000000"/>
                <w:sz w:val="22"/>
                <w:szCs w:val="22"/>
              </w:rPr>
            </w:pPr>
            <w:r>
              <w:rPr>
                <w:color w:val="000000"/>
                <w:sz w:val="22"/>
                <w:szCs w:val="22"/>
              </w:rPr>
            </w:r>
          </w:p>
        </w:tc>
        <w:tc>
          <w:tcPr>
            <w:tcW w:w="1293" w:type="dxa"/>
            <w:gridSpan w:val="2"/>
            <w:tcBorders/>
            <w:shd w:color="auto" w:fill="auto" w:val="clear"/>
            <w:vAlign w:val="bottom"/>
          </w:tcPr>
          <w:p>
            <w:pPr>
              <w:pStyle w:val="Normal"/>
              <w:widowControl w:val="false"/>
              <w:jc w:val="center"/>
              <w:rPr>
                <w:rFonts w:ascii="Times New Roman" w:hAnsi="Times New Roman"/>
                <w:color w:val="000000"/>
                <w:sz w:val="22"/>
                <w:szCs w:val="22"/>
              </w:rPr>
            </w:pPr>
            <w:r>
              <w:rPr>
                <w:color w:val="000000"/>
                <w:sz w:val="22"/>
                <w:szCs w:val="22"/>
              </w:rPr>
            </w:r>
          </w:p>
        </w:tc>
        <w:tc>
          <w:tcPr>
            <w:tcW w:w="1822" w:type="dxa"/>
            <w:gridSpan w:val="2"/>
            <w:tcBorders/>
            <w:shd w:color="auto" w:fill="auto" w:val="clear"/>
            <w:vAlign w:val="bottom"/>
          </w:tcPr>
          <w:p>
            <w:pPr>
              <w:pStyle w:val="Normal"/>
              <w:widowControl w:val="false"/>
              <w:jc w:val="center"/>
              <w:rPr>
                <w:rFonts w:ascii="Times New Roman" w:hAnsi="Times New Roman"/>
                <w:color w:val="000000"/>
                <w:sz w:val="22"/>
                <w:szCs w:val="22"/>
              </w:rPr>
            </w:pPr>
            <w:r>
              <w:rPr>
                <w:color w:val="000000"/>
                <w:sz w:val="22"/>
                <w:szCs w:val="22"/>
              </w:rPr>
            </w:r>
          </w:p>
        </w:tc>
        <w:tc>
          <w:tcPr>
            <w:tcW w:w="2059" w:type="dxa"/>
            <w:gridSpan w:val="3"/>
            <w:tcBorders/>
            <w:shd w:color="auto" w:fill="auto" w:val="clear"/>
            <w:vAlign w:val="bottom"/>
          </w:tcPr>
          <w:p>
            <w:pPr>
              <w:pStyle w:val="Normal"/>
              <w:widowControl w:val="false"/>
              <w:jc w:val="center"/>
              <w:rPr>
                <w:rFonts w:ascii="Times New Roman" w:hAnsi="Times New Roman"/>
                <w:color w:val="000000"/>
                <w:sz w:val="22"/>
                <w:szCs w:val="22"/>
              </w:rPr>
            </w:pPr>
            <w:r>
              <w:rPr>
                <w:color w:val="000000"/>
                <w:sz w:val="22"/>
                <w:szCs w:val="22"/>
              </w:rPr>
              <w:t>подпись</w:t>
            </w:r>
          </w:p>
        </w:tc>
        <w:tc>
          <w:tcPr>
            <w:tcW w:w="2025" w:type="dxa"/>
            <w:gridSpan w:val="3"/>
            <w:tcBorders/>
            <w:shd w:color="auto" w:fill="auto" w:val="clear"/>
            <w:vAlign w:val="bottom"/>
          </w:tcPr>
          <w:p>
            <w:pPr>
              <w:pStyle w:val="Normal"/>
              <w:widowControl w:val="false"/>
              <w:jc w:val="center"/>
              <w:rPr>
                <w:rFonts w:ascii="Times New Roman" w:hAnsi="Times New Roman"/>
                <w:color w:val="000000"/>
                <w:sz w:val="22"/>
                <w:szCs w:val="22"/>
              </w:rPr>
            </w:pPr>
            <w:r>
              <w:rPr>
                <w:color w:val="000000"/>
                <w:sz w:val="22"/>
                <w:szCs w:val="22"/>
              </w:rPr>
              <w:t>ФИО</w:t>
            </w:r>
          </w:p>
        </w:tc>
        <w:tc>
          <w:tcPr>
            <w:tcW w:w="3408" w:type="dxa"/>
            <w:gridSpan w:val="3"/>
            <w:tcBorders/>
            <w:shd w:color="auto" w:fill="auto" w:val="clear"/>
            <w:vAlign w:val="bottom"/>
          </w:tcPr>
          <w:p>
            <w:pPr>
              <w:pStyle w:val="Normal"/>
              <w:widowControl w:val="false"/>
              <w:rPr>
                <w:rFonts w:ascii="Times New Roman" w:hAnsi="Times New Roman"/>
                <w:color w:val="000000"/>
                <w:sz w:val="22"/>
                <w:szCs w:val="22"/>
              </w:rPr>
            </w:pPr>
            <w:r>
              <w:rPr>
                <w:color w:val="000000"/>
                <w:sz w:val="22"/>
                <w:szCs w:val="22"/>
              </w:rPr>
            </w:r>
          </w:p>
        </w:tc>
      </w:tr>
      <w:tr>
        <w:trPr>
          <w:trHeight w:val="288" w:hRule="exact"/>
        </w:trPr>
        <w:tc>
          <w:tcPr>
            <w:tcW w:w="2367"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056"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196" w:type="dxa"/>
            <w:gridSpan w:val="2"/>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293" w:type="dxa"/>
            <w:gridSpan w:val="2"/>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825" w:type="dxa"/>
            <w:gridSpan w:val="2"/>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059" w:type="dxa"/>
            <w:gridSpan w:val="3"/>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025" w:type="dxa"/>
            <w:gridSpan w:val="3"/>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3403" w:type="dxa"/>
            <w:gridSpan w:val="2"/>
            <w:tcBorders/>
            <w:shd w:color="auto" w:fill="auto" w:val="clear"/>
            <w:vAlign w:val="bottom"/>
          </w:tcPr>
          <w:p>
            <w:pPr>
              <w:pStyle w:val="Normal"/>
              <w:widowControl w:val="false"/>
              <w:rPr>
                <w:rFonts w:ascii="Calibri" w:hAnsi="Calibri"/>
                <w:color w:val="000000"/>
              </w:rPr>
            </w:pPr>
            <w:r>
              <w:rPr>
                <w:rFonts w:ascii="Calibri" w:hAnsi="Calibri"/>
                <w:color w:val="000000"/>
              </w:rPr>
            </w:r>
          </w:p>
        </w:tc>
      </w:tr>
      <w:tr>
        <w:trPr>
          <w:trHeight w:val="480" w:hRule="atLeast"/>
        </w:trPr>
        <w:tc>
          <w:tcPr>
            <w:tcW w:w="4423" w:type="dxa"/>
            <w:gridSpan w:val="2"/>
            <w:tcBorders/>
            <w:shd w:color="auto" w:fill="auto" w:val="clear"/>
            <w:vAlign w:val="bottom"/>
          </w:tcPr>
          <w:p>
            <w:pPr>
              <w:pStyle w:val="Normal"/>
              <w:widowControl w:val="false"/>
              <w:rPr>
                <w:rFonts w:ascii="Calibri" w:hAnsi="Calibri"/>
                <w:color w:val="000000"/>
                <w:sz w:val="16"/>
                <w:szCs w:val="16"/>
              </w:rPr>
            </w:pPr>
            <w:r>
              <w:rPr>
                <w:rFonts w:ascii="Calibri" w:hAnsi="Calibri"/>
                <w:b/>
                <w:bCs/>
                <w:color w:val="000000"/>
                <w:sz w:val="16"/>
                <w:szCs w:val="16"/>
              </w:rPr>
              <w:t>*</w:t>
            </w:r>
            <w:r>
              <w:rPr>
                <w:rFonts w:ascii="Calibri" w:hAnsi="Calibri"/>
                <w:color w:val="000000"/>
                <w:sz w:val="16"/>
                <w:szCs w:val="16"/>
              </w:rPr>
              <w:t>ТО</w:t>
            </w:r>
            <w:r>
              <w:rPr>
                <w:rFonts w:ascii="Calibri" w:hAnsi="Calibri"/>
                <w:color w:val="000000"/>
                <w:sz w:val="16"/>
                <w:szCs w:val="16"/>
                <w:shd w:fill="auto" w:val="clear"/>
              </w:rPr>
              <w:t>РГ-12 / УПД, с</w:t>
            </w:r>
            <w:r>
              <w:rPr>
                <w:rFonts w:ascii="Calibri" w:hAnsi="Calibri"/>
                <w:color w:val="000000"/>
                <w:sz w:val="16"/>
                <w:szCs w:val="16"/>
              </w:rPr>
              <w:t>чет-фактура - по строке грузоотправитель указывается организация грузоотправителя</w:t>
            </w:r>
          </w:p>
        </w:tc>
        <w:tc>
          <w:tcPr>
            <w:tcW w:w="1194"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293" w:type="dxa"/>
            <w:gridSpan w:val="2"/>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822" w:type="dxa"/>
            <w:gridSpan w:val="2"/>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059" w:type="dxa"/>
            <w:gridSpan w:val="3"/>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025" w:type="dxa"/>
            <w:gridSpan w:val="3"/>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3408" w:type="dxa"/>
            <w:gridSpan w:val="3"/>
            <w:tcBorders/>
            <w:shd w:color="auto" w:fill="auto" w:val="clear"/>
            <w:vAlign w:val="bottom"/>
          </w:tcPr>
          <w:p>
            <w:pPr>
              <w:pStyle w:val="Normal"/>
              <w:widowControl w:val="false"/>
              <w:rPr>
                <w:rFonts w:ascii="Calibri" w:hAnsi="Calibri"/>
                <w:color w:val="000000"/>
              </w:rPr>
            </w:pPr>
            <w:r>
              <w:rPr>
                <w:rFonts w:ascii="Calibri" w:hAnsi="Calibri"/>
                <w:color w:val="000000"/>
              </w:rPr>
            </w:r>
          </w:p>
        </w:tc>
      </w:tr>
      <w:tr>
        <w:trPr>
          <w:trHeight w:val="480" w:hRule="atLeast"/>
        </w:trPr>
        <w:tc>
          <w:tcPr>
            <w:tcW w:w="4423" w:type="dxa"/>
            <w:gridSpan w:val="2"/>
            <w:tcBorders/>
            <w:shd w:color="auto" w:fill="auto" w:val="clear"/>
            <w:vAlign w:val="bottom"/>
          </w:tcPr>
          <w:p>
            <w:pPr>
              <w:pStyle w:val="Normal"/>
              <w:widowControl w:val="false"/>
              <w:rPr>
                <w:rFonts w:ascii="Calibri" w:hAnsi="Calibri"/>
                <w:color w:val="000000"/>
                <w:sz w:val="16"/>
                <w:szCs w:val="16"/>
              </w:rPr>
            </w:pPr>
            <w:r>
              <w:rPr>
                <w:rFonts w:ascii="Calibri" w:hAnsi="Calibri"/>
                <w:b/>
                <w:bCs/>
                <w:color w:val="000000"/>
                <w:sz w:val="16"/>
                <w:szCs w:val="16"/>
              </w:rPr>
              <w:t>**</w:t>
            </w:r>
            <w:r>
              <w:rPr>
                <w:rFonts w:ascii="Calibri" w:hAnsi="Calibri"/>
                <w:color w:val="000000"/>
                <w:sz w:val="16"/>
                <w:szCs w:val="16"/>
              </w:rPr>
              <w:t>Реквизиты документа, согласно которому поставщиком передана обязанность по поставке груза</w:t>
            </w:r>
          </w:p>
        </w:tc>
        <w:tc>
          <w:tcPr>
            <w:tcW w:w="1194"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293" w:type="dxa"/>
            <w:gridSpan w:val="2"/>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822" w:type="dxa"/>
            <w:gridSpan w:val="2"/>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059" w:type="dxa"/>
            <w:gridSpan w:val="3"/>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025" w:type="dxa"/>
            <w:gridSpan w:val="3"/>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3408" w:type="dxa"/>
            <w:gridSpan w:val="3"/>
            <w:tcBorders/>
            <w:shd w:color="auto" w:fill="auto" w:val="clear"/>
            <w:vAlign w:val="bottom"/>
          </w:tcPr>
          <w:p>
            <w:pPr>
              <w:pStyle w:val="Normal"/>
              <w:widowControl w:val="false"/>
              <w:rPr>
                <w:rFonts w:ascii="Calibri" w:hAnsi="Calibri"/>
                <w:color w:val="000000"/>
              </w:rPr>
            </w:pPr>
            <w:r>
              <w:rPr>
                <w:rFonts w:ascii="Calibri" w:hAnsi="Calibri"/>
                <w:color w:val="000000"/>
              </w:rPr>
            </w:r>
          </w:p>
        </w:tc>
      </w:tr>
      <w:tr>
        <w:trPr>
          <w:trHeight w:val="480" w:hRule="atLeast"/>
        </w:trPr>
        <w:tc>
          <w:tcPr>
            <w:tcW w:w="4423" w:type="dxa"/>
            <w:gridSpan w:val="2"/>
            <w:tcBorders/>
            <w:shd w:color="auto" w:fill="auto" w:val="clear"/>
            <w:vAlign w:val="bottom"/>
          </w:tcPr>
          <w:p>
            <w:pPr>
              <w:pStyle w:val="Normal"/>
              <w:widowControl w:val="false"/>
              <w:rPr>
                <w:rFonts w:ascii="Calibri" w:hAnsi="Calibri"/>
                <w:color w:val="000000"/>
                <w:sz w:val="16"/>
                <w:szCs w:val="16"/>
              </w:rPr>
            </w:pPr>
            <w:r>
              <w:rPr>
                <w:rFonts w:ascii="Calibri" w:hAnsi="Calibri"/>
                <w:b/>
                <w:bCs/>
                <w:color w:val="000000"/>
                <w:sz w:val="16"/>
                <w:szCs w:val="16"/>
              </w:rPr>
              <w:t xml:space="preserve">*** </w:t>
            </w:r>
            <w:r>
              <w:rPr>
                <w:rFonts w:ascii="Calibri" w:hAnsi="Calibri"/>
                <w:color w:val="000000"/>
                <w:sz w:val="16"/>
                <w:szCs w:val="16"/>
              </w:rPr>
              <w:t>В случае поставки товара силами поставщика в графе 2,6 проставляется "он же"</w:t>
            </w:r>
          </w:p>
        </w:tc>
        <w:tc>
          <w:tcPr>
            <w:tcW w:w="1194"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293" w:type="dxa"/>
            <w:gridSpan w:val="2"/>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822" w:type="dxa"/>
            <w:gridSpan w:val="2"/>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059" w:type="dxa"/>
            <w:gridSpan w:val="3"/>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025" w:type="dxa"/>
            <w:gridSpan w:val="3"/>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3408" w:type="dxa"/>
            <w:gridSpan w:val="3"/>
            <w:tcBorders/>
            <w:shd w:color="auto" w:fill="auto" w:val="clear"/>
            <w:vAlign w:val="bottom"/>
          </w:tcPr>
          <w:p>
            <w:pPr>
              <w:pStyle w:val="Normal"/>
              <w:widowControl w:val="false"/>
              <w:rPr>
                <w:rFonts w:ascii="Calibri" w:hAnsi="Calibri"/>
                <w:color w:val="000000"/>
              </w:rPr>
            </w:pPr>
            <w:r>
              <w:rPr>
                <w:rFonts w:ascii="Calibri" w:hAnsi="Calibri"/>
                <w:color w:val="000000"/>
              </w:rPr>
            </w:r>
          </w:p>
        </w:tc>
      </w:tr>
    </w:tbl>
    <w:p>
      <w:pPr>
        <w:sectPr>
          <w:headerReference w:type="default" r:id="rId10"/>
          <w:footerReference w:type="default" r:id="rId11"/>
          <w:footnotePr>
            <w:numFmt w:val="decimal"/>
          </w:footnotePr>
          <w:type w:val="nextPage"/>
          <w:pgSz w:orient="landscape" w:w="16838" w:h="11906"/>
          <w:pgMar w:left="1134" w:right="1134" w:header="708" w:top="1135" w:footer="316" w:bottom="568" w:gutter="0"/>
          <w:pgNumType w:fmt="decimal"/>
          <w:formProt w:val="false"/>
          <w:textDirection w:val="lrTb"/>
          <w:docGrid w:type="default" w:linePitch="360" w:charSpace="1638"/>
        </w:sectPr>
      </w:pPr>
    </w:p>
    <w:p>
      <w:pPr>
        <w:pStyle w:val="Normal"/>
        <w:jc w:val="right"/>
        <w:rPr>
          <w:rFonts w:ascii="Times New Roman" w:hAnsi="Times New Roman"/>
        </w:rPr>
      </w:pPr>
      <w:r>
        <w:rPr>
          <w:color w:val="000000"/>
          <w:sz w:val="24"/>
          <w:szCs w:val="24"/>
        </w:rPr>
        <w:t>Приложение № 5</w:t>
      </w:r>
    </w:p>
    <w:p>
      <w:pPr>
        <w:pStyle w:val="Normal"/>
        <w:jc w:val="right"/>
        <w:rPr>
          <w:rFonts w:ascii="Times New Roman" w:hAnsi="Times New Roman"/>
        </w:rPr>
      </w:pPr>
      <w:r>
        <w:rPr>
          <w:color w:val="000000"/>
          <w:sz w:val="24"/>
          <w:szCs w:val="24"/>
        </w:rPr>
        <w:t xml:space="preserve">к к Договору поставки </w:t>
      </w:r>
      <w:r>
        <w:rPr>
          <w:sz w:val="24"/>
          <w:szCs w:val="24"/>
        </w:rPr>
        <w:t xml:space="preserve"> </w:t>
      </w:r>
    </w:p>
    <w:p>
      <w:pPr>
        <w:pStyle w:val="Normal"/>
        <w:jc w:val="right"/>
        <w:rPr>
          <w:rFonts w:ascii="Times New Roman" w:hAnsi="Times New Roman"/>
        </w:rPr>
      </w:pPr>
      <w:r>
        <w:drawing>
          <wp:anchor behindDoc="0" distT="0" distB="0" distL="0" distR="0" simplePos="0" locked="0" layoutInCell="0" allowOverlap="1" relativeHeight="15">
            <wp:simplePos x="0" y="0"/>
            <wp:positionH relativeFrom="column">
              <wp:posOffset>109855</wp:posOffset>
            </wp:positionH>
            <wp:positionV relativeFrom="paragraph">
              <wp:posOffset>303530</wp:posOffset>
            </wp:positionV>
            <wp:extent cx="6330315" cy="872871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12"/>
                    <a:stretch>
                      <a:fillRect/>
                    </a:stretch>
                  </pic:blipFill>
                  <pic:spPr bwMode="auto">
                    <a:xfrm>
                      <a:off x="0" y="0"/>
                      <a:ext cx="6330315" cy="8728710"/>
                    </a:xfrm>
                    <a:prstGeom prst="rect">
                      <a:avLst/>
                    </a:prstGeom>
                  </pic:spPr>
                </pic:pic>
              </a:graphicData>
            </a:graphic>
          </wp:anchor>
        </w:drawing>
      </w:r>
      <w:r>
        <w:rPr>
          <w:sz w:val="24"/>
          <w:szCs w:val="24"/>
        </w:rPr>
        <w:t>от «__» _______202_ г. № _____</w:t>
      </w:r>
      <w:r>
        <w:br w:type="page"/>
      </w:r>
    </w:p>
    <w:p>
      <w:pPr>
        <w:pStyle w:val="Normal"/>
        <w:ind w:left="4395" w:firstLine="708"/>
        <w:rPr>
          <w:b/>
          <w:b/>
          <w:sz w:val="24"/>
          <w:szCs w:val="24"/>
        </w:rPr>
      </w:pPr>
      <w:r>
        <w:rPr>
          <w:b/>
          <w:sz w:val="24"/>
          <w:szCs w:val="24"/>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6351905" cy="9373235"/>
            <wp:effectExtent l="0" t="0" r="0" b="0"/>
            <wp:wrapSquare wrapText="largest"/>
            <wp:docPr id="2"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descr=""/>
                    <pic:cNvPicPr>
                      <a:picLocks noChangeAspect="1" noChangeArrowheads="1"/>
                    </pic:cNvPicPr>
                  </pic:nvPicPr>
                  <pic:blipFill>
                    <a:blip r:embed="rId13"/>
                    <a:stretch>
                      <a:fillRect/>
                    </a:stretch>
                  </pic:blipFill>
                  <pic:spPr bwMode="auto">
                    <a:xfrm>
                      <a:off x="0" y="0"/>
                      <a:ext cx="6351905" cy="9373235"/>
                    </a:xfrm>
                    <a:prstGeom prst="rect">
                      <a:avLst/>
                    </a:prstGeom>
                  </pic:spPr>
                </pic:pic>
              </a:graphicData>
            </a:graphic>
          </wp:anchor>
        </w:drawing>
      </w:r>
    </w:p>
    <w:p>
      <w:pPr>
        <w:pStyle w:val="Normal"/>
        <w:widowControl/>
        <w:spacing w:lineRule="auto" w:line="276" w:before="0" w:after="200"/>
        <w:contextualSpacing/>
        <w:jc w:val="center"/>
        <w:rPr>
          <w:b/>
          <w:b/>
          <w:sz w:val="24"/>
          <w:szCs w:val="24"/>
        </w:rPr>
      </w:pPr>
      <w:r>
        <w:rPr>
          <w:b/>
          <w:sz w:val="24"/>
          <w:szCs w:val="24"/>
        </w:rPr>
        <w:drawing>
          <wp:anchor behindDoc="0" distT="0" distB="0" distL="0" distR="0" simplePos="0" locked="0" layoutInCell="0" allowOverlap="1" relativeHeight="3">
            <wp:simplePos x="0" y="0"/>
            <wp:positionH relativeFrom="column">
              <wp:align>center</wp:align>
            </wp:positionH>
            <wp:positionV relativeFrom="paragraph">
              <wp:posOffset>635</wp:posOffset>
            </wp:positionV>
            <wp:extent cx="6574155" cy="9770745"/>
            <wp:effectExtent l="0" t="0" r="0" b="0"/>
            <wp:wrapSquare wrapText="largest"/>
            <wp:docPr id="3"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descr=""/>
                    <pic:cNvPicPr>
                      <a:picLocks noChangeAspect="1" noChangeArrowheads="1"/>
                    </pic:cNvPicPr>
                  </pic:nvPicPr>
                  <pic:blipFill>
                    <a:blip r:embed="rId14"/>
                    <a:stretch>
                      <a:fillRect/>
                    </a:stretch>
                  </pic:blipFill>
                  <pic:spPr bwMode="auto">
                    <a:xfrm>
                      <a:off x="0" y="0"/>
                      <a:ext cx="6574155" cy="9770745"/>
                    </a:xfrm>
                    <a:prstGeom prst="rect">
                      <a:avLst/>
                    </a:prstGeom>
                  </pic:spPr>
                </pic:pic>
              </a:graphicData>
            </a:graphic>
          </wp:anchor>
        </w:drawing>
      </w:r>
    </w:p>
    <w:p>
      <w:pPr>
        <w:pStyle w:val="Normal"/>
        <w:widowControl/>
        <w:spacing w:lineRule="auto" w:line="276" w:before="0" w:after="200"/>
        <w:contextualSpacing/>
        <w:jc w:val="center"/>
        <w:rPr>
          <w:b/>
          <w:b/>
          <w:sz w:val="24"/>
          <w:szCs w:val="24"/>
        </w:rPr>
      </w:pPr>
      <w:r>
        <w:rPr>
          <w:b/>
          <w:sz w:val="24"/>
          <w:szCs w:val="24"/>
        </w:rPr>
        <w:drawing>
          <wp:anchor behindDoc="0" distT="0" distB="0" distL="0" distR="0" simplePos="0" locked="0" layoutInCell="0" allowOverlap="1" relativeHeight="4">
            <wp:simplePos x="0" y="0"/>
            <wp:positionH relativeFrom="column">
              <wp:align>center</wp:align>
            </wp:positionH>
            <wp:positionV relativeFrom="paragraph">
              <wp:posOffset>635</wp:posOffset>
            </wp:positionV>
            <wp:extent cx="6574155" cy="9782810"/>
            <wp:effectExtent l="0" t="0" r="0" b="0"/>
            <wp:wrapSquare wrapText="largest"/>
            <wp:docPr id="4"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4" descr=""/>
                    <pic:cNvPicPr>
                      <a:picLocks noChangeAspect="1" noChangeArrowheads="1"/>
                    </pic:cNvPicPr>
                  </pic:nvPicPr>
                  <pic:blipFill>
                    <a:blip r:embed="rId15"/>
                    <a:stretch>
                      <a:fillRect/>
                    </a:stretch>
                  </pic:blipFill>
                  <pic:spPr bwMode="auto">
                    <a:xfrm>
                      <a:off x="0" y="0"/>
                      <a:ext cx="6574155" cy="9782810"/>
                    </a:xfrm>
                    <a:prstGeom prst="rect">
                      <a:avLst/>
                    </a:prstGeom>
                  </pic:spPr>
                </pic:pic>
              </a:graphicData>
            </a:graphic>
          </wp:anchor>
        </w:drawing>
      </w:r>
    </w:p>
    <w:p>
      <w:pPr>
        <w:pStyle w:val="Normal"/>
        <w:widowControl/>
        <w:spacing w:lineRule="auto" w:line="276" w:before="0" w:after="200"/>
        <w:contextualSpacing/>
        <w:jc w:val="center"/>
        <w:rPr>
          <w:b/>
          <w:b/>
          <w:sz w:val="24"/>
          <w:szCs w:val="24"/>
        </w:rPr>
      </w:pPr>
      <w:r>
        <w:rPr>
          <w:b/>
          <w:sz w:val="24"/>
          <w:szCs w:val="24"/>
        </w:rPr>
        <w:drawing>
          <wp:anchor behindDoc="0" distT="0" distB="0" distL="0" distR="0" simplePos="0" locked="0" layoutInCell="0" allowOverlap="1" relativeHeight="5">
            <wp:simplePos x="0" y="0"/>
            <wp:positionH relativeFrom="column">
              <wp:align>center</wp:align>
            </wp:positionH>
            <wp:positionV relativeFrom="paragraph">
              <wp:posOffset>635</wp:posOffset>
            </wp:positionV>
            <wp:extent cx="6574155" cy="3928745"/>
            <wp:effectExtent l="0" t="0" r="0" b="0"/>
            <wp:wrapSquare wrapText="largest"/>
            <wp:docPr id="5"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5" descr=""/>
                    <pic:cNvPicPr>
                      <a:picLocks noChangeAspect="1" noChangeArrowheads="1"/>
                    </pic:cNvPicPr>
                  </pic:nvPicPr>
                  <pic:blipFill>
                    <a:blip r:embed="rId16"/>
                    <a:stretch>
                      <a:fillRect/>
                    </a:stretch>
                  </pic:blipFill>
                  <pic:spPr bwMode="auto">
                    <a:xfrm>
                      <a:off x="0" y="0"/>
                      <a:ext cx="6574155" cy="3928745"/>
                    </a:xfrm>
                    <a:prstGeom prst="rect">
                      <a:avLst/>
                    </a:prstGeom>
                  </pic:spPr>
                </pic:pic>
              </a:graphicData>
            </a:graphic>
          </wp:anchor>
        </w:drawing>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drawing>
          <wp:anchor behindDoc="0" distT="0" distB="0" distL="0" distR="0" simplePos="0" locked="0" layoutInCell="0" allowOverlap="1" relativeHeight="6">
            <wp:simplePos x="0" y="0"/>
            <wp:positionH relativeFrom="column">
              <wp:align>center</wp:align>
            </wp:positionH>
            <wp:positionV relativeFrom="paragraph">
              <wp:posOffset>635</wp:posOffset>
            </wp:positionV>
            <wp:extent cx="6308725" cy="9714865"/>
            <wp:effectExtent l="0" t="0" r="0" b="0"/>
            <wp:wrapSquare wrapText="largest"/>
            <wp:docPr id="6"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6" descr=""/>
                    <pic:cNvPicPr>
                      <a:picLocks noChangeAspect="1" noChangeArrowheads="1"/>
                    </pic:cNvPicPr>
                  </pic:nvPicPr>
                  <pic:blipFill>
                    <a:blip r:embed="rId17"/>
                    <a:stretch>
                      <a:fillRect/>
                    </a:stretch>
                  </pic:blipFill>
                  <pic:spPr bwMode="auto">
                    <a:xfrm>
                      <a:off x="0" y="0"/>
                      <a:ext cx="6308725" cy="9714865"/>
                    </a:xfrm>
                    <a:prstGeom prst="rect">
                      <a:avLst/>
                    </a:prstGeom>
                  </pic:spPr>
                </pic:pic>
              </a:graphicData>
            </a:graphic>
          </wp:anchor>
        </w:drawing>
      </w:r>
    </w:p>
    <w:p>
      <w:pPr>
        <w:pStyle w:val="Normal"/>
        <w:widowControl/>
        <w:spacing w:lineRule="auto" w:line="276" w:before="0" w:after="200"/>
        <w:contextualSpacing/>
        <w:jc w:val="center"/>
        <w:rPr>
          <w:b/>
          <w:b/>
          <w:sz w:val="24"/>
          <w:szCs w:val="24"/>
        </w:rPr>
      </w:pPr>
      <w:r>
        <w:rPr>
          <w:b/>
          <w:sz w:val="24"/>
          <w:szCs w:val="24"/>
        </w:rPr>
        <w:drawing>
          <wp:anchor behindDoc="0" distT="0" distB="0" distL="0" distR="0" simplePos="0" locked="0" layoutInCell="0" allowOverlap="1" relativeHeight="7">
            <wp:simplePos x="0" y="0"/>
            <wp:positionH relativeFrom="column">
              <wp:align>center</wp:align>
            </wp:positionH>
            <wp:positionV relativeFrom="paragraph">
              <wp:posOffset>635</wp:posOffset>
            </wp:positionV>
            <wp:extent cx="6316345" cy="9660255"/>
            <wp:effectExtent l="0" t="0" r="0" b="0"/>
            <wp:wrapSquare wrapText="largest"/>
            <wp:docPr id="7" name="Изображение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7" descr=""/>
                    <pic:cNvPicPr>
                      <a:picLocks noChangeAspect="1" noChangeArrowheads="1"/>
                    </pic:cNvPicPr>
                  </pic:nvPicPr>
                  <pic:blipFill>
                    <a:blip r:embed="rId18"/>
                    <a:stretch>
                      <a:fillRect/>
                    </a:stretch>
                  </pic:blipFill>
                  <pic:spPr bwMode="auto">
                    <a:xfrm>
                      <a:off x="0" y="0"/>
                      <a:ext cx="6316345" cy="9660255"/>
                    </a:xfrm>
                    <a:prstGeom prst="rect">
                      <a:avLst/>
                    </a:prstGeom>
                  </pic:spPr>
                </pic:pic>
              </a:graphicData>
            </a:graphic>
          </wp:anchor>
        </w:drawing>
      </w:r>
    </w:p>
    <w:p>
      <w:pPr>
        <w:pStyle w:val="Normal"/>
        <w:widowControl/>
        <w:spacing w:lineRule="auto" w:line="276" w:before="0" w:after="200"/>
        <w:contextualSpacing/>
        <w:jc w:val="center"/>
        <w:rPr>
          <w:b/>
          <w:b/>
          <w:sz w:val="24"/>
          <w:szCs w:val="24"/>
        </w:rPr>
      </w:pPr>
      <w:r>
        <w:rPr>
          <w:b/>
          <w:sz w:val="24"/>
          <w:szCs w:val="24"/>
        </w:rPr>
        <w:drawing>
          <wp:anchor behindDoc="0" distT="0" distB="0" distL="0" distR="0" simplePos="0" locked="0" layoutInCell="0" allowOverlap="1" relativeHeight="8">
            <wp:simplePos x="0" y="0"/>
            <wp:positionH relativeFrom="column">
              <wp:align>center</wp:align>
            </wp:positionH>
            <wp:positionV relativeFrom="paragraph">
              <wp:posOffset>635</wp:posOffset>
            </wp:positionV>
            <wp:extent cx="6440805" cy="9544050"/>
            <wp:effectExtent l="0" t="0" r="0" b="0"/>
            <wp:wrapSquare wrapText="largest"/>
            <wp:docPr id="8" name="Изображение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8" descr=""/>
                    <pic:cNvPicPr>
                      <a:picLocks noChangeAspect="1" noChangeArrowheads="1"/>
                    </pic:cNvPicPr>
                  </pic:nvPicPr>
                  <pic:blipFill>
                    <a:blip r:embed="rId19"/>
                    <a:stretch>
                      <a:fillRect/>
                    </a:stretch>
                  </pic:blipFill>
                  <pic:spPr bwMode="auto">
                    <a:xfrm>
                      <a:off x="0" y="0"/>
                      <a:ext cx="6440805" cy="9544050"/>
                    </a:xfrm>
                    <a:prstGeom prst="rect">
                      <a:avLst/>
                    </a:prstGeom>
                  </pic:spPr>
                </pic:pic>
              </a:graphicData>
            </a:graphic>
          </wp:anchor>
        </w:drawing>
      </w:r>
    </w:p>
    <w:p>
      <w:pPr>
        <w:pStyle w:val="Normal"/>
        <w:widowControl/>
        <w:spacing w:lineRule="auto" w:line="276" w:before="0" w:after="200"/>
        <w:contextualSpacing/>
        <w:jc w:val="center"/>
        <w:rPr>
          <w:b/>
          <w:b/>
          <w:sz w:val="24"/>
          <w:szCs w:val="24"/>
        </w:rPr>
      </w:pPr>
      <w:r>
        <w:rPr>
          <w:b/>
          <w:sz w:val="24"/>
          <w:szCs w:val="24"/>
        </w:rPr>
        <w:drawing>
          <wp:anchor behindDoc="0" distT="0" distB="0" distL="0" distR="0" simplePos="0" locked="0" layoutInCell="0" allowOverlap="1" relativeHeight="9">
            <wp:simplePos x="0" y="0"/>
            <wp:positionH relativeFrom="column">
              <wp:align>center</wp:align>
            </wp:positionH>
            <wp:positionV relativeFrom="paragraph">
              <wp:posOffset>635</wp:posOffset>
            </wp:positionV>
            <wp:extent cx="6574155" cy="5125720"/>
            <wp:effectExtent l="0" t="0" r="0" b="0"/>
            <wp:wrapSquare wrapText="largest"/>
            <wp:docPr id="9" name="Изображение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9" descr=""/>
                    <pic:cNvPicPr>
                      <a:picLocks noChangeAspect="1" noChangeArrowheads="1"/>
                    </pic:cNvPicPr>
                  </pic:nvPicPr>
                  <pic:blipFill>
                    <a:blip r:embed="rId20"/>
                    <a:stretch>
                      <a:fillRect/>
                    </a:stretch>
                  </pic:blipFill>
                  <pic:spPr bwMode="auto">
                    <a:xfrm>
                      <a:off x="0" y="0"/>
                      <a:ext cx="6574155" cy="5125720"/>
                    </a:xfrm>
                    <a:prstGeom prst="rect">
                      <a:avLst/>
                    </a:prstGeom>
                  </pic:spPr>
                </pic:pic>
              </a:graphicData>
            </a:graphic>
          </wp:anchor>
        </w:drawing>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drawing>
          <wp:anchor behindDoc="0" distT="0" distB="0" distL="0" distR="0" simplePos="0" locked="0" layoutInCell="0" allowOverlap="1" relativeHeight="10">
            <wp:simplePos x="0" y="0"/>
            <wp:positionH relativeFrom="column">
              <wp:align>center</wp:align>
            </wp:positionH>
            <wp:positionV relativeFrom="paragraph">
              <wp:posOffset>635</wp:posOffset>
            </wp:positionV>
            <wp:extent cx="6574155" cy="4937125"/>
            <wp:effectExtent l="0" t="0" r="0" b="0"/>
            <wp:wrapSquare wrapText="largest"/>
            <wp:docPr id="10" name="Изображение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10" descr=""/>
                    <pic:cNvPicPr>
                      <a:picLocks noChangeAspect="1" noChangeArrowheads="1"/>
                    </pic:cNvPicPr>
                  </pic:nvPicPr>
                  <pic:blipFill>
                    <a:blip r:embed="rId21"/>
                    <a:stretch>
                      <a:fillRect/>
                    </a:stretch>
                  </pic:blipFill>
                  <pic:spPr bwMode="auto">
                    <a:xfrm>
                      <a:off x="0" y="0"/>
                      <a:ext cx="6574155" cy="4937125"/>
                    </a:xfrm>
                    <a:prstGeom prst="rect">
                      <a:avLst/>
                    </a:prstGeom>
                  </pic:spPr>
                </pic:pic>
              </a:graphicData>
            </a:graphic>
          </wp:anchor>
        </w:drawing>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drawing>
          <wp:anchor behindDoc="0" distT="0" distB="0" distL="0" distR="0" simplePos="0" locked="0" layoutInCell="0" allowOverlap="1" relativeHeight="11">
            <wp:simplePos x="0" y="0"/>
            <wp:positionH relativeFrom="column">
              <wp:align>center</wp:align>
            </wp:positionH>
            <wp:positionV relativeFrom="paragraph">
              <wp:posOffset>635</wp:posOffset>
            </wp:positionV>
            <wp:extent cx="6454140" cy="746760"/>
            <wp:effectExtent l="0" t="0" r="0" b="0"/>
            <wp:wrapSquare wrapText="largest"/>
            <wp:docPr id="11" name="Изображение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1" descr=""/>
                    <pic:cNvPicPr>
                      <a:picLocks noChangeAspect="1" noChangeArrowheads="1"/>
                    </pic:cNvPicPr>
                  </pic:nvPicPr>
                  <pic:blipFill>
                    <a:blip r:embed="rId22"/>
                    <a:stretch>
                      <a:fillRect/>
                    </a:stretch>
                  </pic:blipFill>
                  <pic:spPr bwMode="auto">
                    <a:xfrm>
                      <a:off x="0" y="0"/>
                      <a:ext cx="6454140" cy="746760"/>
                    </a:xfrm>
                    <a:prstGeom prst="rect">
                      <a:avLst/>
                    </a:prstGeom>
                  </pic:spPr>
                </pic:pic>
              </a:graphicData>
            </a:graphic>
          </wp:anchor>
        </w:drawing>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pStyle w:val="Normal"/>
        <w:widowControl/>
        <w:spacing w:lineRule="auto" w:line="276" w:before="0" w:after="200"/>
        <w:contextualSpacing/>
        <w:jc w:val="center"/>
        <w:rPr>
          <w:b/>
          <w:b/>
          <w:sz w:val="24"/>
          <w:szCs w:val="24"/>
        </w:rPr>
      </w:pPr>
      <w:r>
        <w:rPr>
          <w:b/>
          <w:sz w:val="24"/>
          <w:szCs w:val="24"/>
        </w:rPr>
      </w:r>
    </w:p>
    <w:p>
      <w:pPr>
        <w:sectPr>
          <w:headerReference w:type="default" r:id="rId24"/>
          <w:footerReference w:type="default" r:id="rId25"/>
          <w:footnotePr>
            <w:numFmt w:val="decimal"/>
          </w:footnotePr>
          <w:type w:val="nextPage"/>
          <w:pgSz w:w="11906" w:h="16838"/>
          <w:pgMar w:left="1134" w:right="567" w:header="709" w:top="1134" w:footer="318" w:bottom="1134" w:gutter="0"/>
          <w:pgNumType w:fmt="decimal"/>
          <w:formProt w:val="false"/>
          <w:textDirection w:val="lrTb"/>
          <w:docGrid w:type="default" w:linePitch="360" w:charSpace="1638"/>
        </w:sectPr>
        <w:pStyle w:val="Normal"/>
        <w:widowControl/>
        <w:spacing w:lineRule="auto" w:line="276" w:before="0" w:after="200"/>
        <w:contextualSpacing/>
        <w:jc w:val="center"/>
        <w:rPr>
          <w:b/>
          <w:b/>
          <w:sz w:val="24"/>
          <w:szCs w:val="24"/>
        </w:rPr>
      </w:pPr>
      <w:r>
        <w:rPr>
          <w:b/>
          <w:sz w:val="24"/>
          <w:szCs w:val="24"/>
        </w:rPr>
        <w:drawing>
          <wp:anchor behindDoc="0" distT="0" distB="0" distL="0" distR="0" simplePos="0" locked="0" layoutInCell="0" allowOverlap="1" relativeHeight="12">
            <wp:simplePos x="0" y="0"/>
            <wp:positionH relativeFrom="column">
              <wp:align>center</wp:align>
            </wp:positionH>
            <wp:positionV relativeFrom="paragraph">
              <wp:posOffset>635</wp:posOffset>
            </wp:positionV>
            <wp:extent cx="6574155" cy="7588250"/>
            <wp:effectExtent l="0" t="0" r="0" b="0"/>
            <wp:wrapSquare wrapText="largest"/>
            <wp:docPr id="12" name="Изображение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2" descr=""/>
                    <pic:cNvPicPr>
                      <a:picLocks noChangeAspect="1" noChangeArrowheads="1"/>
                    </pic:cNvPicPr>
                  </pic:nvPicPr>
                  <pic:blipFill>
                    <a:blip r:embed="rId23"/>
                    <a:stretch>
                      <a:fillRect/>
                    </a:stretch>
                  </pic:blipFill>
                  <pic:spPr bwMode="auto">
                    <a:xfrm>
                      <a:off x="0" y="0"/>
                      <a:ext cx="6574155" cy="7588250"/>
                    </a:xfrm>
                    <a:prstGeom prst="rect">
                      <a:avLst/>
                    </a:prstGeom>
                  </pic:spPr>
                </pic:pic>
              </a:graphicData>
            </a:graphic>
          </wp:anchor>
        </w:drawing>
      </w:r>
    </w:p>
    <w:p>
      <w:pPr>
        <w:pStyle w:val="Normal"/>
        <w:widowControl/>
        <w:spacing w:lineRule="auto" w:line="276" w:before="0" w:after="200"/>
        <w:contextualSpacing/>
        <w:jc w:val="center"/>
        <w:rPr/>
      </w:pPr>
      <w:r>
        <w:rPr/>
        <w:drawing>
          <wp:anchor behindDoc="0" distT="0" distB="0" distL="0" distR="0" simplePos="0" locked="0" layoutInCell="0" allowOverlap="1" relativeHeight="13">
            <wp:simplePos x="0" y="0"/>
            <wp:positionH relativeFrom="column">
              <wp:align>center</wp:align>
            </wp:positionH>
            <wp:positionV relativeFrom="paragraph">
              <wp:posOffset>635</wp:posOffset>
            </wp:positionV>
            <wp:extent cx="9251950" cy="6082665"/>
            <wp:effectExtent l="0" t="0" r="0" b="0"/>
            <wp:wrapSquare wrapText="largest"/>
            <wp:docPr id="13" name="Изображение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3" descr=""/>
                    <pic:cNvPicPr>
                      <a:picLocks noChangeAspect="1" noChangeArrowheads="1"/>
                    </pic:cNvPicPr>
                  </pic:nvPicPr>
                  <pic:blipFill>
                    <a:blip r:embed="rId26"/>
                    <a:stretch>
                      <a:fillRect/>
                    </a:stretch>
                  </pic:blipFill>
                  <pic:spPr bwMode="auto">
                    <a:xfrm>
                      <a:off x="0" y="0"/>
                      <a:ext cx="9251950" cy="6082665"/>
                    </a:xfrm>
                    <a:prstGeom prst="rect">
                      <a:avLst/>
                    </a:prstGeom>
                  </pic:spPr>
                </pic:pic>
              </a:graphicData>
            </a:graphic>
          </wp:anchor>
        </w:drawing>
      </w:r>
    </w:p>
    <w:p>
      <w:pPr>
        <w:pStyle w:val="Normal"/>
        <w:widowControl/>
        <w:suppressAutoHyphens w:val="true"/>
        <w:spacing w:lineRule="auto" w:line="276" w:before="0" w:after="200"/>
        <w:ind w:right="96" w:hanging="0"/>
        <w:contextualSpacing/>
        <w:jc w:val="center"/>
        <w:rPr/>
      </w:pPr>
      <w:r>
        <w:rPr/>
        <w:drawing>
          <wp:anchor behindDoc="0" distT="0" distB="0" distL="0" distR="0" simplePos="0" locked="0" layoutInCell="0" allowOverlap="1" relativeHeight="14">
            <wp:simplePos x="0" y="0"/>
            <wp:positionH relativeFrom="column">
              <wp:align>center</wp:align>
            </wp:positionH>
            <wp:positionV relativeFrom="paragraph">
              <wp:posOffset>635</wp:posOffset>
            </wp:positionV>
            <wp:extent cx="9251950" cy="3816985"/>
            <wp:effectExtent l="0" t="0" r="0" b="0"/>
            <wp:wrapSquare wrapText="largest"/>
            <wp:docPr id="14" name="Изображение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14" descr=""/>
                    <pic:cNvPicPr>
                      <a:picLocks noChangeAspect="1" noChangeArrowheads="1"/>
                    </pic:cNvPicPr>
                  </pic:nvPicPr>
                  <pic:blipFill>
                    <a:blip r:embed="rId27"/>
                    <a:stretch>
                      <a:fillRect/>
                    </a:stretch>
                  </pic:blipFill>
                  <pic:spPr bwMode="auto">
                    <a:xfrm>
                      <a:off x="0" y="0"/>
                      <a:ext cx="9251950" cy="3816985"/>
                    </a:xfrm>
                    <a:prstGeom prst="rect">
                      <a:avLst/>
                    </a:prstGeom>
                  </pic:spPr>
                </pic:pic>
              </a:graphicData>
            </a:graphic>
          </wp:anchor>
        </w:drawing>
      </w:r>
    </w:p>
    <w:sectPr>
      <w:headerReference w:type="default" r:id="rId28"/>
      <w:footerReference w:type="default" r:id="rId29"/>
      <w:footnotePr>
        <w:numFmt w:val="decimal"/>
      </w:footnotePr>
      <w:type w:val="nextPage"/>
      <w:pgSz w:orient="landscape" w:w="16838" w:h="11906"/>
      <w:pgMar w:left="1134" w:right="1134" w:header="0" w:top="1134" w:footer="0" w:bottom="1134" w:gutter="0"/>
      <w:pgNumType w:fmt="decimal"/>
      <w:formProt w:val="false"/>
      <w:textDirection w:val="lrTb"/>
      <w:docGrid w:type="default" w:linePitch="100" w:charSpace="6553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libri Light">
    <w:charset w:val="01"/>
    <w:family w:val="roman"/>
    <w:pitch w:val="variable"/>
  </w:font>
  <w:font w:name="Cambria">
    <w:charset w:val="01"/>
    <w:family w:val="roman"/>
    <w:pitch w:val="variable"/>
  </w:font>
  <w:font w:name="Tahoma">
    <w:charset w:val="01"/>
    <w:family w:val="roman"/>
    <w:pitch w:val="variable"/>
  </w:font>
  <w:font w:name="Wingdings">
    <w:charset w:val="01"/>
    <w:family w:val="roman"/>
    <w:pitch w:val="variable"/>
  </w:font>
  <w:font w:name="Courier New">
    <w:charset w:val="01"/>
    <w:family w:val="roman"/>
    <w:pitch w:val="variable"/>
  </w:font>
  <w:font w:name="Symbol">
    <w:charset w:val="01"/>
    <w:family w:val="roman"/>
    <w:pitch w:val="variable"/>
  </w:font>
  <w:font w:name="Liberation Sans">
    <w:altName w:val="Arial"/>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auto"/>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9"/>
      <w:rPr>
        <w:rFonts w:ascii="Times New Roman" w:hAnsi="Times New Roman" w:cs="Times New Roman"/>
        <w:sz w:val="18"/>
        <w:szCs w:val="18"/>
      </w:rPr>
    </w:pPr>
    <w:r>
      <w:rPr>
        <w:rFonts w:cs="Times New Roman" w:ascii="Times New Roman" w:hAnsi="Times New Roman"/>
        <w:sz w:val="18"/>
        <w:szCs w:val="18"/>
      </w:rPr>
      <w:t>Документ распечатан из программы 1С: Документооборот. Версия файла 2.</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9"/>
      <w:rPr>
        <w:rFonts w:ascii="Times New Roman" w:hAnsi="Times New Roman" w:cs="Times New Roman"/>
        <w:sz w:val="18"/>
        <w:szCs w:val="18"/>
      </w:rPr>
    </w:pPr>
    <w:r>
      <w:rPr>
        <w:rFonts w:cs="Times New Roman" w:ascii="Times New Roman" w:hAnsi="Times New Roman"/>
        <w:sz w:val="18"/>
        <w:szCs w:val="18"/>
      </w:rPr>
      <w:t>Документ распечатан из программы 1С: Документооборот. Версия файла 2.</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p>
  </w:footnote>
  <w:footnote w:id="1" w:type="continuationSeparator">
    <w:p>
      <w:pPr>
        <w:rPr>
          <w:sz w:val="12"/>
        </w:rPr>
      </w:pPr>
      <w:r/>
    </w:p>
  </w:footnote>
  <w:footnote w:id="2">
    <w:p>
      <w:pPr>
        <w:pStyle w:val="Style46"/>
        <w:rPr/>
      </w:pPr>
      <w:r>
        <w:rPr>
          <w:rStyle w:val="Style18"/>
        </w:rPr>
        <w:footnoteRef/>
      </w:r>
      <w:r>
        <w:rPr>
          <w:rStyle w:val="Style18"/>
        </w:rPr>
        <w:tab/>
      </w:r>
      <w:r>
        <w:rPr>
          <w:rFonts w:ascii="Liberation Serif" w:hAnsi="Liberation Serif"/>
          <w:sz w:val="22"/>
          <w:szCs w:val="22"/>
        </w:rPr>
        <w:t xml:space="preserve"> Приказ ФНС России от 20.01.2025 N ЕД-7-26/28@ «</w:t>
      </w:r>
      <w:r>
        <w:rPr>
          <w:rFonts w:ascii="Liberation Serif" w:hAnsi="Liberation Serif"/>
          <w:b w:val="false"/>
        </w:rPr>
        <w:t>О признании утратившими силу приказов ФНС России от 30.11.2015 N ММВ-7-10/551@ "Об утверждении формата представления документа о передаче товаров при торговых операциях в электронной форме" и от 30.11.2015 N ММВ-7-10/552@ "Об утверждении формата представления документа о передаче результатов работ (документа об оказании услуг) в электронной форме»</w:t>
      </w:r>
    </w:p>
  </w:footnote>
  <w:footnote w:id="3">
    <w:p>
      <w:pPr>
        <w:pStyle w:val="Style46"/>
        <w:jc w:val="both"/>
        <w:rPr/>
      </w:pPr>
      <w:r>
        <w:rPr>
          <w:rStyle w:val="Style18"/>
        </w:rPr>
        <w:footnoteRef/>
      </w:r>
      <w:r>
        <w:rPr>
          <w:rStyle w:val="Style18"/>
        </w:rPr>
        <w:tab/>
      </w:r>
      <w:r>
        <w:rPr/>
        <w:t xml:space="preserve"> Предельная цена на Товар устанавливается в случае отсутствия утвержденной Рабочей документации (отсутствия точного перечня поставляемого Товара) на момент заключения Договора.</w:t>
      </w:r>
    </w:p>
  </w:footnote>
  <w:footnote w:id="4">
    <w:p>
      <w:pPr>
        <w:pStyle w:val="Style46"/>
        <w:jc w:val="both"/>
        <w:rPr/>
      </w:pPr>
      <w:r>
        <w:rPr>
          <w:rStyle w:val="Style18"/>
        </w:rPr>
        <w:footnoteRef/>
      </w:r>
      <w:r>
        <w:rPr>
          <w:rStyle w:val="Style18"/>
        </w:rPr>
        <w:tab/>
      </w:r>
      <w:r>
        <w:rPr/>
        <w:t xml:space="preserve"> Указывается меньший размер платежей, в случае применения ссылки к пункту 2.5.2. проекта Договора о закупке кранового оборудования.</w:t>
      </w:r>
    </w:p>
  </w:footnote>
  <w:footnote w:id="5">
    <w:p>
      <w:pPr>
        <w:pStyle w:val="Style46"/>
        <w:rPr/>
      </w:pPr>
      <w:r>
        <w:rPr>
          <w:rStyle w:val="Style18"/>
        </w:rPr>
        <w:footnoteRef/>
      </w:r>
      <w:r>
        <w:rPr>
          <w:rStyle w:val="Style18"/>
        </w:rPr>
        <w:tab/>
      </w:r>
      <w:r>
        <w:rPr/>
        <w:t xml:space="preserve"> Для договоров, заключенных в рамках реализации инвестиционной программы Общества</w:t>
      </w:r>
    </w:p>
  </w:footnote>
  <w:footnote w:id="6">
    <w:p>
      <w:pPr>
        <w:pStyle w:val="Style46"/>
        <w:jc w:val="both"/>
        <w:rPr/>
      </w:pPr>
      <w:r>
        <w:rPr>
          <w:rStyle w:val="Style18"/>
        </w:rPr>
        <w:footnoteRef/>
      </w:r>
      <w:r>
        <w:rPr>
          <w:rStyle w:val="Style18"/>
        </w:rPr>
        <w:tab/>
      </w:r>
      <w:r>
        <w:rPr/>
        <w:t xml:space="preserve"> Применяется в случае, если Контрагент является субъектом МСП, для закупок, участниками которых могут быть только субъекты МСП, а также в случае, если по результатам закупки среди любых участников победителем закупки признан субъект МСП, при этом Общество попадает под действие постановления Правительства РФ от 11.12.2014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7">
    <w:p>
      <w:pPr>
        <w:pStyle w:val="Style46"/>
        <w:jc w:val="both"/>
        <w:rPr/>
      </w:pPr>
      <w:r>
        <w:rPr>
          <w:rStyle w:val="Style18"/>
        </w:rPr>
        <w:footnoteRef/>
      </w:r>
      <w:r>
        <w:rPr>
          <w:rStyle w:val="Style18"/>
        </w:rPr>
        <w:tab/>
      </w:r>
      <w:r>
        <w:rPr/>
        <w:t xml:space="preserve"> В случае, если предметом договора поставки является товар, подлежащий прослеживаемости согласно Постановлению Правительства от 01.07.2021 №1108 «</w:t>
      </w:r>
      <w:r>
        <w:rPr>
          <w:rStyle w:val="Doctitleimportant"/>
        </w:rPr>
        <w:t xml:space="preserve">Об утверждении Положения о национальной системе прослеживаемости товаров», Стороны заключают </w:t>
      </w:r>
      <w:r>
        <w:rPr/>
        <w:t>Соглашение о взаимном выставлении счетов-фактур в электронном виде по форме, направленной Покупателем Поставщику течение пяти календарных дней с момента заключения договора. Корректировка условий Соглашения по форме и содержанию допускается.</w:t>
      </w:r>
    </w:p>
  </w:footnote>
  <w:footnote w:id="8">
    <w:p>
      <w:pPr>
        <w:pStyle w:val="Style46"/>
        <w:jc w:val="both"/>
        <w:rPr/>
      </w:pPr>
      <w:r>
        <w:rPr>
          <w:rStyle w:val="Style18"/>
        </w:rPr>
        <w:footnoteRef/>
      </w:r>
      <w:r>
        <w:rPr>
          <w:rStyle w:val="Style18"/>
        </w:rPr>
        <w:tab/>
      </w:r>
      <w:r>
        <w:rPr/>
        <w:t xml:space="preserve"> В случае несогласия Банка-Гаранта на предоставление копии Банковской гарантии в условиях Банковской гарантии указывается предоставление оригинала Банковской гарантии.</w:t>
      </w:r>
    </w:p>
  </w:footnote>
  <w:footnote w:id="9">
    <w:p>
      <w:pPr>
        <w:pStyle w:val="Style46"/>
        <w:jc w:val="both"/>
        <w:rPr/>
      </w:pPr>
      <w:r>
        <w:rPr>
          <w:rStyle w:val="Style18"/>
        </w:rPr>
        <w:footnoteRef/>
      </w:r>
      <w:r>
        <w:rPr>
          <w:rStyle w:val="Style18"/>
        </w:rPr>
        <w:tab/>
      </w:r>
      <w:r>
        <w:rPr/>
        <w:t xml:space="preserve"> В случае непредоставления новой Банковской гарантии возврата авансового платежа.</w:t>
      </w:r>
    </w:p>
  </w:footnote>
  <w:footnote w:id="10">
    <w:p>
      <w:pPr>
        <w:pStyle w:val="Style46"/>
        <w:jc w:val="both"/>
        <w:rPr/>
      </w:pPr>
      <w:r>
        <w:rPr>
          <w:rStyle w:val="Style18"/>
        </w:rPr>
        <w:footnoteRef/>
      </w:r>
      <w:r>
        <w:rPr>
          <w:rStyle w:val="Style18"/>
        </w:rPr>
        <w:tab/>
      </w:r>
      <w:r>
        <w:rPr/>
        <w:t xml:space="preserve"> В отношении Банковской гарантии возврата авансового платежа пункт применяется при отсутствии соглашения Сторон или официального письма Поставщика об отказе от авансовых платежей, требующих обеспечения банковской гарантией, и от предоставления указанной Банковской гарантии.</w:t>
      </w:r>
    </w:p>
  </w:footnote>
  <w:footnote w:id="11">
    <w:p>
      <w:pPr>
        <w:pStyle w:val="Style46"/>
        <w:jc w:val="both"/>
        <w:rPr/>
      </w:pPr>
      <w:r>
        <w:rPr>
          <w:rStyle w:val="Style18"/>
        </w:rPr>
        <w:footnoteRef/>
      </w:r>
      <w:r>
        <w:rPr>
          <w:rStyle w:val="Style18"/>
        </w:rPr>
        <w:tab/>
      </w:r>
      <w:r>
        <w:rPr/>
        <w:t xml:space="preserve"> Указанное условие включается в договоры поставки оборудования, целью использования которого является передача и распределение электрической энергии и / или мощности.</w:t>
      </w:r>
    </w:p>
  </w:footnote>
  <w:footnote w:id="12">
    <w:p>
      <w:pPr>
        <w:pStyle w:val="Style46"/>
        <w:rPr/>
      </w:pPr>
      <w:r>
        <w:rPr>
          <w:rStyle w:val="Style18"/>
        </w:rPr>
        <w:footnoteRef/>
      </w:r>
      <w:r>
        <w:rPr>
          <w:rStyle w:val="Style18"/>
        </w:rPr>
        <w:tab/>
      </w:r>
      <w:r>
        <w:rPr/>
        <w:t xml:space="preserve"> Абзацы второй и третий включаются в текст договора в случае заключения договора в электронной форме.</w:t>
      </w:r>
    </w:p>
  </w:footnote>
  <w:footnote w:id="13">
    <w:p>
      <w:pPr>
        <w:pStyle w:val="Style46"/>
        <w:spacing w:before="60" w:after="0"/>
        <w:jc w:val="both"/>
        <w:rPr/>
      </w:pPr>
      <w:r>
        <w:rPr>
          <w:rStyle w:val="Style18"/>
        </w:rPr>
        <w:footnoteRef/>
      </w:r>
      <w:r>
        <w:rPr>
          <w:rStyle w:val="Style18"/>
        </w:rPr>
        <w:tab/>
      </w:r>
      <w:r>
        <w:rPr/>
        <w:t xml:space="preserve"> Требования подлежат обязательному включению в состав документации о закупке и не распространяются на гарантов по независимым гарантиям, предоставляемым в обеспечение исполнения договоров, заключаемых по результатам конкурентной закупки с участием МСП, которые принимаются от МСП в соответствии с Федеральным законом от 18.07.2011 № 223-ФЗ «О закупках товаров, работ, услуг отдельными видами юридических </w:t>
      </w:r>
      <w:r>
        <w:rPr>
          <w:shd w:fill="auto" w:val="clear"/>
        </w:rPr>
        <w:t>лиц», а также по независимым гарантиям, предоставляемым в обеспечение исполнения договоров, заключаемых по результатам конкурентной закупки в соответствии с Федеральным законом от 05.04.2013 No 44-ФЗ «О контрактной системе в сфере закупок товаров, работ, услуг для обеспечения государственных и муниципальных нужд».</w:t>
      </w:r>
    </w:p>
  </w:footnote>
  <w:footnote w:id="14">
    <w:p>
      <w:pPr>
        <w:pStyle w:val="Style46"/>
        <w:spacing w:before="0" w:after="0"/>
        <w:rPr/>
      </w:pPr>
      <w:r>
        <w:rPr>
          <w:rStyle w:val="Style18"/>
        </w:rPr>
        <w:footnoteRef/>
      </w:r>
      <w:r>
        <w:rPr>
          <w:rStyle w:val="Style18"/>
          <w:shd w:fill="auto" w:val="clear"/>
        </w:rPr>
        <w:tab/>
      </w:r>
      <w:r>
        <w:rPr>
          <w:shd w:fill="auto" w:val="clear"/>
        </w:rPr>
        <w:t xml:space="preserve"> Актуальный Перечень Банков-Гарантов Группы РусГидро размещен на официальном сайте Общества</w:t>
      </w:r>
    </w:p>
    <w:p>
      <w:pPr>
        <w:pStyle w:val="Style46"/>
        <w:rPr/>
      </w:pPr>
      <w:r>
        <w:rPr>
          <w:shd w:fill="auto" w:val="clear"/>
        </w:rPr>
        <w:tab/>
        <w:t>(</w:t>
      </w:r>
      <w:hyperlink r:id="rId1">
        <w:r>
          <w:rPr>
            <w:shd w:fill="auto" w:val="clear"/>
          </w:rPr>
          <w:t>https://drsk.ru/investors/disclosure/dokumenty/vnutrennie-dokumenty-obshchestva/inye-dokumenty/</w:t>
        </w:r>
      </w:hyperlink>
      <w:r>
        <w:rPr>
          <w:shd w:fill="auto" w:val="clear"/>
        </w:rPr>
        <w:t>).</w:t>
      </w:r>
    </w:p>
  </w:footnote>
  <w:footnote w:id="15">
    <w:p>
      <w:pPr>
        <w:pStyle w:val="Style46"/>
        <w:spacing w:before="0" w:after="0"/>
        <w:jc w:val="both"/>
        <w:rPr/>
      </w:pPr>
      <w:r>
        <w:rPr>
          <w:rStyle w:val="Style18"/>
        </w:rPr>
        <w:footnoteRef/>
      </w:r>
      <w:r>
        <w:rPr>
          <w:rStyle w:val="Style18"/>
        </w:rPr>
        <w:tab/>
      </w:r>
      <w:r>
        <w:rPr/>
        <w:t xml:space="preserve"> 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 w:id="16">
    <w:p>
      <w:pPr>
        <w:pStyle w:val="Style46"/>
        <w:spacing w:before="0" w:after="0"/>
        <w:jc w:val="both"/>
        <w:rPr/>
      </w:pPr>
      <w:r>
        <w:rPr>
          <w:rStyle w:val="Style18"/>
        </w:rPr>
        <w:footnoteRef/>
      </w:r>
      <w:r>
        <w:rPr>
          <w:rStyle w:val="Style18"/>
        </w:rPr>
        <w:tab/>
      </w:r>
      <w:r>
        <w:rPr/>
        <w:t xml:space="preserve"> Данное требование не применяется в отношении небанковских кредитных организаций.</w:t>
      </w:r>
    </w:p>
  </w:footnote>
  <w:footnote w:id="17">
    <w:p>
      <w:pPr>
        <w:pStyle w:val="Style46"/>
        <w:spacing w:before="0" w:after="0"/>
        <w:jc w:val="both"/>
        <w:rPr/>
      </w:pPr>
      <w:r>
        <w:rPr>
          <w:rStyle w:val="Style18"/>
        </w:rPr>
        <w:footnoteRef/>
      </w:r>
      <w:r>
        <w:rPr>
          <w:rStyle w:val="Style18"/>
        </w:rPr>
        <w:tab/>
      </w:r>
      <w:r>
        <w:rPr/>
        <w:t xml:space="preserve"> 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к установлению - 5 400 млн. руб.; расчетное значение лимита - 5 450 млн. руб., лимит к установлению - 5 500 млн. руб..</w:t>
      </w:r>
    </w:p>
  </w:footnote>
  <w:footnote w:id="18">
    <w:p>
      <w:pPr>
        <w:pStyle w:val="Style46"/>
        <w:spacing w:before="0" w:after="0"/>
        <w:jc w:val="both"/>
        <w:rPr/>
      </w:pPr>
      <w:r>
        <w:rPr>
          <w:rStyle w:val="Style18"/>
        </w:rPr>
        <w:footnoteRef/>
      </w:r>
      <w:r>
        <w:rPr>
          <w:rStyle w:val="Style18"/>
        </w:rPr>
        <w:tab/>
      </w:r>
      <w:r>
        <w:rPr/>
        <w:t xml:space="preserve"> 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08"/>
        <w:tab w:val="left" w:pos="1875" w:leader="none"/>
        <w:tab w:val="center" w:pos="4153" w:leader="none"/>
        <w:tab w:val="right" w:pos="8306" w:leader="none"/>
      </w:tabs>
      <w:rPr>
        <w:i/>
        <w:i/>
      </w:rPr>
    </w:pPr>
    <w:r>
      <w:rPr>
        <w:i/>
      </w:rPr>
      <w:tab/>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hd w:val="clear" w:color="auto" w:fill="FFFFFF"/>
      <w:tabs>
        <w:tab w:val="clear" w:pos="708"/>
        <w:tab w:val="left" w:pos="6926" w:leader="none"/>
      </w:tabs>
      <w:jc w:val="both"/>
      <w:rPr>
        <w:bCs/>
      </w:rPr>
    </w:pPr>
    <w:r>
      <w:rPr>
        <w:bCs/>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08"/>
        <w:tab w:val="left" w:pos="1875" w:leader="none"/>
        <w:tab w:val="center" w:pos="4153" w:leader="none"/>
        <w:tab w:val="right" w:pos="8306" w:leader="none"/>
      </w:tabs>
      <w:rPr>
        <w:i/>
        <w:i/>
      </w:rPr>
    </w:pPr>
    <w:r>
      <w:rPr>
        <w:i/>
      </w:rPr>
      <w:tab/>
      <w:tab/>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08"/>
        <w:tab w:val="left" w:pos="1875" w:leader="none"/>
        <w:tab w:val="center" w:pos="4153" w:leader="none"/>
        <w:tab w:val="right" w:pos="8306" w:leader="none"/>
      </w:tabs>
      <w:rPr>
        <w:i/>
        <w:i/>
      </w:rPr>
    </w:pPr>
    <w:r>
      <w:rPr>
        <w:i/>
      </w:rPr>
      <w:tab/>
      <w:tab/>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48"/>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48"/>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lvl>
    <w:lvl w:ilvl="1">
      <w:start w:val="1"/>
      <w:numFmt w:val="decimal"/>
      <w:lvlText w:val="%1.%2."/>
      <w:lvlJc w:val="left"/>
      <w:pPr>
        <w:tabs>
          <w:tab w:val="num" w:pos="1851"/>
        </w:tabs>
        <w:ind w:left="1851" w:hanging="432"/>
      </w:pPr>
      <w:rPr>
        <w:sz w:val="24"/>
        <w:b/>
        <w:szCs w:val="24"/>
      </w:rPr>
    </w:lvl>
    <w:lvl w:ilvl="2">
      <w:start w:val="1"/>
      <w:numFmt w:val="decimal"/>
      <w:lvlText w:val="%1.%2.%3."/>
      <w:lvlJc w:val="left"/>
      <w:pPr>
        <w:tabs>
          <w:tab w:val="num" w:pos="1855"/>
        </w:tabs>
        <w:ind w:left="1639"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lvl w:ilvl="0">
      <w:start w:val="1"/>
      <w:numFmt w:val="bullet"/>
      <w:lvlText w:val=""/>
      <w:lvlJc w:val="left"/>
      <w:pPr>
        <w:tabs>
          <w:tab w:val="num" w:pos="1353"/>
        </w:tabs>
        <w:ind w:left="1353"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bullet"/>
      <w:lvlText w:val=""/>
      <w:lvlJc w:val="left"/>
      <w:pPr>
        <w:tabs>
          <w:tab w:val="num" w:pos="1778"/>
        </w:tabs>
        <w:ind w:left="1778" w:hanging="360"/>
      </w:pPr>
      <w:rPr>
        <w:rFonts w:ascii="Symbol" w:hAnsi="Symbol" w:cs="Symbol" w:hint="default"/>
        <w:sz w:val="24"/>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4">
    <w:lvl w:ilvl="0">
      <w:start w:val="1"/>
      <w:numFmt w:val="bullet"/>
      <w:lvlText w:val=""/>
      <w:lvlJc w:val="left"/>
      <w:pPr>
        <w:tabs>
          <w:tab w:val="num" w:pos="0"/>
        </w:tabs>
        <w:ind w:left="1287" w:hanging="360"/>
      </w:pPr>
      <w:rPr>
        <w:rFonts w:ascii="Symbol" w:hAnsi="Symbol" w:cs="Symbol" w:hint="default"/>
        <w:sz w:val="24"/>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sz w:val="24"/>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sz w:val="24"/>
        <w:u w:val="none"/>
        <w:b/>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lvl w:ilvl="0">
      <w:start w:val="1"/>
      <w:numFmt w:val="bullet"/>
      <w:lvlText w:val=""/>
      <w:lvlJc w:val="left"/>
      <w:pPr>
        <w:tabs>
          <w:tab w:val="num" w:pos="0"/>
        </w:tabs>
        <w:ind w:left="1429" w:hanging="360"/>
      </w:pPr>
      <w:rPr>
        <w:rFonts w:ascii="Symbol" w:hAnsi="Symbol" w:cs="Symbol" w:hint="default"/>
        <w:sz w:val="24"/>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sz w:val="24"/>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sz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sz w:val="24"/>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2"/>
      <w:numFmt w:val="decimal"/>
      <w:lvlText w:val="%1."/>
      <w:lvlJc w:val="left"/>
      <w:pPr>
        <w:tabs>
          <w:tab w:val="num" w:pos="0"/>
        </w:tabs>
        <w:ind w:left="540" w:hanging="540"/>
      </w:pPr>
    </w:lvl>
    <w:lvl w:ilvl="1">
      <w:start w:val="3"/>
      <w:numFmt w:val="decimal"/>
      <w:lvlText w:val="%1.%2."/>
      <w:lvlJc w:val="left"/>
      <w:pPr>
        <w:tabs>
          <w:tab w:val="num" w:pos="0"/>
        </w:tabs>
        <w:ind w:left="1107" w:hanging="540"/>
      </w:pPr>
    </w:lvl>
    <w:lvl w:ilvl="2">
      <w:start w:val="2"/>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9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00000A"/>
      <w:kern w:val="0"/>
      <w:sz w:val="20"/>
      <w:szCs w:val="20"/>
      <w:lang w:val="ru-RU" w:eastAsia="ru-RU" w:bidi="ar-SA"/>
    </w:rPr>
  </w:style>
  <w:style w:type="paragraph" w:styleId="1">
    <w:name w:val="Heading 1"/>
    <w:basedOn w:val="Normal"/>
    <w:next w:val="Normal"/>
    <w:qFormat/>
    <w:rsid w:val="00a264b0"/>
    <w:pPr>
      <w:keepNext w:val="true"/>
      <w:spacing w:before="240" w:after="60"/>
      <w:outlineLvl w:val="0"/>
    </w:pPr>
    <w:rPr>
      <w:rFonts w:ascii="Arial" w:hAnsi="Arial" w:cs="Arial"/>
      <w:b/>
      <w:bCs/>
      <w:sz w:val="32"/>
      <w:szCs w:val="32"/>
    </w:rPr>
  </w:style>
  <w:style w:type="paragraph" w:styleId="2">
    <w:name w:val="Heading 2"/>
    <w:basedOn w:val="Normal"/>
    <w:next w:val="Normal"/>
    <w:semiHidden/>
    <w:unhideWhenUsed/>
    <w:qFormat/>
    <w:rsid w:val="0065433c"/>
    <w:pPr>
      <w:keepNext w:val="true"/>
      <w:keepLines/>
      <w:spacing w:before="40" w:after="0"/>
      <w:outlineLvl w:val="1"/>
    </w:pPr>
    <w:rPr>
      <w:rFonts w:ascii="Calibri Light" w:hAnsi="Calibri Light" w:eastAsia="" w:cs="" w:asciiTheme="majorHAnsi" w:cstheme="majorBidi" w:eastAsiaTheme="majorEastAsia" w:hAnsiTheme="majorHAnsi"/>
      <w:color w:val="2E74B5" w:themeColor="accent1" w:themeShade="bf"/>
      <w:sz w:val="26"/>
      <w:szCs w:val="26"/>
    </w:rPr>
  </w:style>
  <w:style w:type="paragraph" w:styleId="3">
    <w:name w:val="Heading 3"/>
    <w:basedOn w:val="Normal"/>
    <w:next w:val="Normal"/>
    <w:link w:val="3"/>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11" w:customStyle="1">
    <w:name w:val="Заголовок Знак"/>
    <w:qFormat/>
    <w:locked/>
    <w:rsid w:val="00565582"/>
    <w:rPr>
      <w:b/>
      <w:bCs/>
      <w:sz w:val="24"/>
      <w:szCs w:val="24"/>
      <w:lang w:val="ru-RU" w:eastAsia="ru-RU" w:bidi="ar-SA"/>
    </w:rPr>
  </w:style>
  <w:style w:type="character" w:styleId="Style12" w:customStyle="1">
    <w:name w:val="Основной текст Знак"/>
    <w:qFormat/>
    <w:rsid w:val="00565582"/>
    <w:rPr>
      <w:lang w:val="ru-RU" w:eastAsia="ru-RU" w:bidi="ar-SA"/>
    </w:rPr>
  </w:style>
  <w:style w:type="character" w:styleId="Pagenumber1">
    <w:name w:val="page number1"/>
    <w:basedOn w:val="DefaultParagraphFont"/>
    <w:qFormat/>
    <w:rsid w:val="008b02a1"/>
    <w:rPr/>
  </w:style>
  <w:style w:type="character" w:styleId="31"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13" w:customStyle="1">
    <w:name w:val="Текст примечания Знак"/>
    <w:basedOn w:val="DefaultParagraphFont"/>
    <w:link w:val="Annotationtext"/>
    <w:qFormat/>
    <w:rsid w:val="00d36934"/>
    <w:rPr/>
  </w:style>
  <w:style w:type="character" w:styleId="Style14" w:customStyle="1">
    <w:name w:val="Тема примечания Знак"/>
    <w:link w:val="Annotationsubject"/>
    <w:qFormat/>
    <w:rsid w:val="00d36934"/>
    <w:rPr>
      <w:b/>
      <w:bCs/>
    </w:rPr>
  </w:style>
  <w:style w:type="character" w:styleId="32" w:customStyle="1">
    <w:name w:val="Заголовок 3 Знак"/>
    <w:semiHidden/>
    <w:qFormat/>
    <w:rsid w:val="001b1bd9"/>
    <w:rPr>
      <w:rFonts w:ascii="Cambria" w:hAnsi="Cambria" w:eastAsia="Times New Roman" w:cs="Times New Roman"/>
      <w:b/>
      <w:bCs/>
      <w:color w:val="4F81BD"/>
    </w:rPr>
  </w:style>
  <w:style w:type="character" w:styleId="Style15" w:customStyle="1">
    <w:name w:val="Основной текст с отступом Знак"/>
    <w:basedOn w:val="DefaultParagraphFont"/>
    <w:qFormat/>
    <w:rsid w:val="00e00bca"/>
    <w:rPr/>
  </w:style>
  <w:style w:type="character" w:styleId="Style16" w:customStyle="1">
    <w:name w:val="комментарий"/>
    <w:uiPriority w:val="99"/>
    <w:qFormat/>
    <w:rsid w:val="00d562c0"/>
    <w:rPr>
      <w:rFonts w:cs="Times New Roman"/>
      <w:i/>
      <w:iCs/>
      <w:shd w:fill="FFFF99" w:val="clear"/>
    </w:rPr>
  </w:style>
  <w:style w:type="character" w:styleId="Style17" w:customStyle="1">
    <w:name w:val="Текст сноски Знак"/>
    <w:basedOn w:val="DefaultParagraphFont"/>
    <w:uiPriority w:val="99"/>
    <w:qFormat/>
    <w:rsid w:val="00f47c6a"/>
    <w:rPr/>
  </w:style>
  <w:style w:type="character" w:styleId="Style18">
    <w:name w:val="Символ сноски"/>
    <w:qFormat/>
    <w:rPr>
      <w:vertAlign w:val="superscript"/>
    </w:rPr>
  </w:style>
  <w:style w:type="character" w:styleId="Style19">
    <w:name w:val="Привязка сноски"/>
    <w:rPr>
      <w:vertAlign w:val="superscript"/>
    </w:rPr>
  </w:style>
  <w:style w:type="character" w:styleId="FootnoteCharacters">
    <w:name w:val="Footnote Characters"/>
    <w:uiPriority w:val="99"/>
    <w:qFormat/>
    <w:rsid w:val="00f47c6a"/>
    <w:rPr>
      <w:vertAlign w:val="superscript"/>
    </w:rPr>
  </w:style>
  <w:style w:type="character" w:styleId="Style20" w:customStyle="1">
    <w:name w:val="Верхний колонтитул Знак"/>
    <w:basedOn w:val="DefaultParagraphFont"/>
    <w:uiPriority w:val="99"/>
    <w:qFormat/>
    <w:rsid w:val="000449a5"/>
    <w:rPr/>
  </w:style>
  <w:style w:type="character" w:styleId="Style21">
    <w:name w:val="Интернет-ссылка"/>
    <w:uiPriority w:val="99"/>
    <w:rsid w:val="005e6f32"/>
    <w:rPr>
      <w:color w:val="0000FF"/>
      <w:u w:val="single"/>
    </w:rPr>
  </w:style>
  <w:style w:type="character" w:styleId="Style22" w:customStyle="1">
    <w:name w:val="Нижний колонтитул Знак"/>
    <w:uiPriority w:val="99"/>
    <w:qFormat/>
    <w:rsid w:val="00d925fb"/>
    <w:rPr/>
  </w:style>
  <w:style w:type="character" w:styleId="Style23" w:customStyle="1">
    <w:name w:val="Абзац списка Знак"/>
    <w:link w:val="ListParagraph"/>
    <w:uiPriority w:val="34"/>
    <w:qFormat/>
    <w:locked/>
    <w:rsid w:val="00f70749"/>
    <w:rPr/>
  </w:style>
  <w:style w:type="character" w:styleId="Doctitleimportant" w:customStyle="1">
    <w:name w:val="doc__title_important"/>
    <w:basedOn w:val="DefaultParagraphFont"/>
    <w:qFormat/>
    <w:rsid w:val="00f631b8"/>
    <w:rPr/>
  </w:style>
  <w:style w:type="character" w:styleId="21" w:customStyle="1">
    <w:name w:val="Заголовок 2 Знак"/>
    <w:basedOn w:val="DefaultParagraphFont"/>
    <w:semiHidden/>
    <w:qFormat/>
    <w:rsid w:val="0065433c"/>
    <w:rPr>
      <w:rFonts w:ascii="Calibri Light" w:hAnsi="Calibri Light" w:eastAsia="" w:cs="" w:asciiTheme="majorHAnsi" w:cstheme="majorBidi" w:eastAsiaTheme="majorEastAsia" w:hAnsiTheme="majorHAnsi"/>
      <w:color w:val="2E74B5" w:themeColor="accent1" w:themeShade="bf"/>
      <w:sz w:val="26"/>
      <w:szCs w:val="26"/>
    </w:rPr>
  </w:style>
  <w:style w:type="character" w:styleId="Style24">
    <w:name w:val="Символ концевой сноски"/>
    <w:qFormat/>
    <w:rPr>
      <w:vertAlign w:val="superscript"/>
    </w:rPr>
  </w:style>
  <w:style w:type="character" w:styleId="Style25">
    <w:name w:val="Привязка концевой сноски"/>
    <w:rPr>
      <w:vertAlign w:val="superscript"/>
    </w:rPr>
  </w:style>
  <w:style w:type="character" w:styleId="Style26">
    <w:name w:val="Символы концевой сноски"/>
    <w:qFormat/>
    <w:rPr/>
  </w:style>
  <w:style w:type="character" w:styleId="Style27">
    <w:name w:val="Посещённая гиперссылка"/>
    <w:qFormat/>
    <w:rPr>
      <w:color w:val="800080"/>
      <w:u w:val="single"/>
    </w:rPr>
  </w:style>
  <w:style w:type="character" w:styleId="EndnoteReference1">
    <w:name w:val="Endnote Reference1"/>
    <w:qFormat/>
    <w:rPr>
      <w:vertAlign w:val="superscript"/>
    </w:rPr>
  </w:style>
  <w:style w:type="character" w:styleId="FootnoteReference1">
    <w:name w:val="Footnote Reference1"/>
    <w:qFormat/>
    <w:rPr>
      <w:vertAlign w:val="superscript"/>
    </w:rPr>
  </w:style>
  <w:style w:type="character" w:styleId="EndnoteReference3">
    <w:name w:val="Endnote Reference3"/>
    <w:qFormat/>
    <w:rPr>
      <w:vertAlign w:val="superscript"/>
    </w:rPr>
  </w:style>
  <w:style w:type="character" w:styleId="FootnoteReference3">
    <w:name w:val="Footnote Reference3"/>
    <w:qFormat/>
    <w:rPr>
      <w:vertAlign w:val="superscript"/>
    </w:rPr>
  </w:style>
  <w:style w:type="character" w:styleId="EndnoteReference2">
    <w:name w:val="Endnote Reference2"/>
    <w:qFormat/>
    <w:rPr>
      <w:vertAlign w:val="superscript"/>
    </w:rPr>
  </w:style>
  <w:style w:type="character" w:styleId="FootnoteReference2">
    <w:name w:val="Footnote Reference2"/>
    <w:qFormat/>
    <w:rPr>
      <w:vertAlign w:val="superscript"/>
    </w:rPr>
  </w:style>
  <w:style w:type="character" w:styleId="EndnoteReference11">
    <w:name w:val="Endnote Reference11"/>
    <w:qFormat/>
    <w:rPr>
      <w:vertAlign w:val="superscript"/>
    </w:rPr>
  </w:style>
  <w:style w:type="character" w:styleId="WW">
    <w:name w:val="WW-Символы концевой сноски"/>
    <w:qFormat/>
    <w:rPr/>
  </w:style>
  <w:style w:type="character" w:styleId="FootnoteReference11">
    <w:name w:val="Footnote Reference11"/>
    <w:qFormat/>
    <w:rPr>
      <w:vertAlign w:val="superscript"/>
    </w:rPr>
  </w:style>
  <w:style w:type="character" w:styleId="Style28">
    <w:name w:val="Название Знак"/>
    <w:qFormat/>
    <w:rPr>
      <w:b/>
      <w:bCs/>
      <w:sz w:val="24"/>
      <w:szCs w:val="24"/>
    </w:rPr>
  </w:style>
  <w:style w:type="character" w:styleId="Style29">
    <w:name w:val="Текст выноски Знак"/>
    <w:qFormat/>
    <w:rPr>
      <w:rFonts w:ascii="Tahoma" w:hAnsi="Tahoma" w:cs="Tahoma"/>
      <w:sz w:val="16"/>
      <w:szCs w:val="16"/>
    </w:rPr>
  </w:style>
  <w:style w:type="character" w:styleId="Style30">
    <w:name w:val="Знак примечания"/>
    <w:qFormat/>
    <w:rPr>
      <w:sz w:val="16"/>
      <w:szCs w:val="16"/>
    </w:rPr>
  </w:style>
  <w:style w:type="character" w:styleId="Style31">
    <w:name w:val="Номер страницы"/>
    <w:rPr/>
  </w:style>
  <w:style w:type="character" w:styleId="Style32">
    <w:name w:val="Основной шрифт абзаца"/>
    <w:qFormat/>
    <w:rPr/>
  </w:style>
  <w:style w:type="character" w:styleId="WW8Num29z0">
    <w:name w:val="WW8Num29z0"/>
    <w:qFormat/>
    <w:rPr/>
  </w:style>
  <w:style w:type="character" w:styleId="WW8Num28z2">
    <w:name w:val="WW8Num28z2"/>
    <w:qFormat/>
    <w:rPr>
      <w:rFonts w:ascii="Wingdings" w:hAnsi="Wingdings" w:cs="Wingdings"/>
    </w:rPr>
  </w:style>
  <w:style w:type="character" w:styleId="WW8Num28z1">
    <w:name w:val="WW8Num28z1"/>
    <w:qFormat/>
    <w:rPr>
      <w:rFonts w:ascii="Courier New" w:hAnsi="Courier New" w:cs="Courier New"/>
    </w:rPr>
  </w:style>
  <w:style w:type="character" w:styleId="WW8Num28z0">
    <w:name w:val="WW8Num28z0"/>
    <w:qFormat/>
    <w:rPr>
      <w:rFonts w:ascii="Symbol" w:hAnsi="Symbol" w:cs="Symbol"/>
    </w:rPr>
  </w:style>
  <w:style w:type="character" w:styleId="WW8Num27z0">
    <w:name w:val="WW8Num27z0"/>
    <w:qFormat/>
    <w:rPr/>
  </w:style>
  <w:style w:type="character" w:styleId="WW8Num26z0">
    <w:name w:val="WW8Num26z0"/>
    <w:qFormat/>
    <w:rPr/>
  </w:style>
  <w:style w:type="character" w:styleId="WW8Num25z2">
    <w:name w:val="WW8Num25z2"/>
    <w:qFormat/>
    <w:rPr>
      <w:rFonts w:ascii="Wingdings" w:hAnsi="Wingdings" w:cs="Wingdings"/>
    </w:rPr>
  </w:style>
  <w:style w:type="character" w:styleId="WW8Num25z1">
    <w:name w:val="WW8Num25z1"/>
    <w:qFormat/>
    <w:rPr>
      <w:rFonts w:ascii="Courier New" w:hAnsi="Courier New" w:cs="Courier New"/>
    </w:rPr>
  </w:style>
  <w:style w:type="character" w:styleId="WW8Num25z0">
    <w:name w:val="WW8Num25z0"/>
    <w:qFormat/>
    <w:rPr>
      <w:rFonts w:ascii="Symbol" w:hAnsi="Symbol" w:cs="Symbol"/>
    </w:rPr>
  </w:style>
  <w:style w:type="character" w:styleId="WW8Num24z8">
    <w:name w:val="WW8Num24z8"/>
    <w:qFormat/>
    <w:rPr/>
  </w:style>
  <w:style w:type="character" w:styleId="WW8Num24z7">
    <w:name w:val="WW8Num24z7"/>
    <w:qFormat/>
    <w:rPr/>
  </w:style>
  <w:style w:type="character" w:styleId="WW8Num24z6">
    <w:name w:val="WW8Num24z6"/>
    <w:qFormat/>
    <w:rPr/>
  </w:style>
  <w:style w:type="character" w:styleId="WW8Num24z5">
    <w:name w:val="WW8Num24z5"/>
    <w:qFormat/>
    <w:rPr/>
  </w:style>
  <w:style w:type="character" w:styleId="WW8Num24z4">
    <w:name w:val="WW8Num24z4"/>
    <w:qFormat/>
    <w:rPr/>
  </w:style>
  <w:style w:type="character" w:styleId="WW8Num24z3">
    <w:name w:val="WW8Num24z3"/>
    <w:qFormat/>
    <w:rPr/>
  </w:style>
  <w:style w:type="character" w:styleId="WW8Num24z2">
    <w:name w:val="WW8Num24z2"/>
    <w:qFormat/>
    <w:rPr>
      <w:b w:val="false"/>
      <w:sz w:val="24"/>
      <w:szCs w:val="24"/>
    </w:rPr>
  </w:style>
  <w:style w:type="character" w:styleId="WW8Num24z1">
    <w:name w:val="WW8Num24z1"/>
    <w:qFormat/>
    <w:rPr>
      <w:b w:val="false"/>
      <w:u w:val="none"/>
    </w:rPr>
  </w:style>
  <w:style w:type="character" w:styleId="WW8Num24z0">
    <w:name w:val="WW8Num24z0"/>
    <w:qFormat/>
    <w:rPr>
      <w:b/>
    </w:rPr>
  </w:style>
  <w:style w:type="character" w:styleId="WW8Num23z2">
    <w:name w:val="WW8Num23z2"/>
    <w:qFormat/>
    <w:rPr>
      <w:rFonts w:ascii="Wingdings" w:hAnsi="Wingdings" w:cs="Wingdings"/>
    </w:rPr>
  </w:style>
  <w:style w:type="character" w:styleId="WW8Num23z1">
    <w:name w:val="WW8Num23z1"/>
    <w:qFormat/>
    <w:rPr>
      <w:rFonts w:ascii="Courier New" w:hAnsi="Courier New" w:cs="Courier New"/>
    </w:rPr>
  </w:style>
  <w:style w:type="character" w:styleId="WW8Num23z0">
    <w:name w:val="WW8Num23z0"/>
    <w:qFormat/>
    <w:rPr>
      <w:rFonts w:ascii="Symbol" w:hAnsi="Symbol" w:cs="Symbol"/>
    </w:rPr>
  </w:style>
  <w:style w:type="character" w:styleId="WW8Num22z8">
    <w:name w:val="WW8Num22z8"/>
    <w:qFormat/>
    <w:rPr/>
  </w:style>
  <w:style w:type="character" w:styleId="WW8Num22z7">
    <w:name w:val="WW8Num22z7"/>
    <w:qFormat/>
    <w:rPr/>
  </w:style>
  <w:style w:type="character" w:styleId="WW8Num22z6">
    <w:name w:val="WW8Num22z6"/>
    <w:qFormat/>
    <w:rPr/>
  </w:style>
  <w:style w:type="character" w:styleId="WW8Num22z5">
    <w:name w:val="WW8Num22z5"/>
    <w:qFormat/>
    <w:rPr/>
  </w:style>
  <w:style w:type="character" w:styleId="WW8Num22z4">
    <w:name w:val="WW8Num22z4"/>
    <w:qFormat/>
    <w:rPr/>
  </w:style>
  <w:style w:type="character" w:styleId="WW8Num22z3">
    <w:name w:val="WW8Num22z3"/>
    <w:qFormat/>
    <w:rPr/>
  </w:style>
  <w:style w:type="character" w:styleId="WW8Num22z2">
    <w:name w:val="WW8Num22z2"/>
    <w:qFormat/>
    <w:rPr/>
  </w:style>
  <w:style w:type="character" w:styleId="WW8Num22z1">
    <w:name w:val="WW8Num22z1"/>
    <w:qFormat/>
    <w:rPr/>
  </w:style>
  <w:style w:type="character" w:styleId="WW8Num22z0">
    <w:name w:val="WW8Num22z0"/>
    <w:qFormat/>
    <w:rPr>
      <w:sz w:val="24"/>
      <w:szCs w:val="24"/>
    </w:rPr>
  </w:style>
  <w:style w:type="character" w:styleId="WW8Num21z2">
    <w:name w:val="WW8Num21z2"/>
    <w:qFormat/>
    <w:rPr>
      <w:rFonts w:ascii="Wingdings" w:hAnsi="Wingdings" w:cs="Wingdings"/>
    </w:rPr>
  </w:style>
  <w:style w:type="character" w:styleId="WW8Num21z1">
    <w:name w:val="WW8Num21z1"/>
    <w:qFormat/>
    <w:rPr>
      <w:rFonts w:ascii="Courier New" w:hAnsi="Courier New" w:cs="Courier New"/>
    </w:rPr>
  </w:style>
  <w:style w:type="character" w:styleId="WW8Num21z0">
    <w:name w:val="WW8Num21z0"/>
    <w:qFormat/>
    <w:rPr>
      <w:rFonts w:ascii="Symbol" w:hAnsi="Symbol" w:cs="Symbol"/>
    </w:rPr>
  </w:style>
  <w:style w:type="character" w:styleId="WW8Num20z8">
    <w:name w:val="WW8Num20z8"/>
    <w:qFormat/>
    <w:rPr/>
  </w:style>
  <w:style w:type="character" w:styleId="WW8Num20z7">
    <w:name w:val="WW8Num20z7"/>
    <w:qFormat/>
    <w:rPr/>
  </w:style>
  <w:style w:type="character" w:styleId="WW8Num20z6">
    <w:name w:val="WW8Num20z6"/>
    <w:qFormat/>
    <w:rPr/>
  </w:style>
  <w:style w:type="character" w:styleId="WW8Num20z5">
    <w:name w:val="WW8Num20z5"/>
    <w:qFormat/>
    <w:rPr/>
  </w:style>
  <w:style w:type="character" w:styleId="WW8Num20z4">
    <w:name w:val="WW8Num20z4"/>
    <w:qFormat/>
    <w:rPr/>
  </w:style>
  <w:style w:type="character" w:styleId="WW8Num20z3">
    <w:name w:val="WW8Num20z3"/>
    <w:qFormat/>
    <w:rPr/>
  </w:style>
  <w:style w:type="character" w:styleId="WW8Num20z2">
    <w:name w:val="WW8Num20z2"/>
    <w:qFormat/>
    <w:rPr>
      <w:b w:val="false"/>
      <w:sz w:val="24"/>
      <w:szCs w:val="24"/>
    </w:rPr>
  </w:style>
  <w:style w:type="character" w:styleId="WW8Num20z1">
    <w:name w:val="WW8Num20z1"/>
    <w:qFormat/>
    <w:rPr>
      <w:rFonts w:ascii="Symbol" w:hAnsi="Symbol" w:cs="Symbol"/>
      <w:b w:val="false"/>
      <w:u w:val="none"/>
    </w:rPr>
  </w:style>
  <w:style w:type="character" w:styleId="WW8Num20z0">
    <w:name w:val="WW8Num20z0"/>
    <w:qFormat/>
    <w:rPr>
      <w:b/>
    </w:rPr>
  </w:style>
  <w:style w:type="character" w:styleId="WW8Num19z2">
    <w:name w:val="WW8Num19z2"/>
    <w:qFormat/>
    <w:rPr>
      <w:rFonts w:ascii="Wingdings" w:hAnsi="Wingdings" w:cs="Wingdings"/>
    </w:rPr>
  </w:style>
  <w:style w:type="character" w:styleId="WW8Num19z1">
    <w:name w:val="WW8Num19z1"/>
    <w:qFormat/>
    <w:rPr>
      <w:rFonts w:ascii="Courier New" w:hAnsi="Courier New" w:cs="Courier New"/>
    </w:rPr>
  </w:style>
  <w:style w:type="character" w:styleId="WW8Num19z0">
    <w:name w:val="WW8Num19z0"/>
    <w:qFormat/>
    <w:rPr>
      <w:rFonts w:ascii="Symbol" w:hAnsi="Symbol" w:cs="Symbol"/>
    </w:rPr>
  </w:style>
  <w:style w:type="character" w:styleId="WW8Num18z0">
    <w:name w:val="WW8Num18z0"/>
    <w:qFormat/>
    <w:rPr/>
  </w:style>
  <w:style w:type="character" w:styleId="WW8Num17z8">
    <w:name w:val="WW8Num17z8"/>
    <w:qFormat/>
    <w:rPr/>
  </w:style>
  <w:style w:type="character" w:styleId="WW8Num17z7">
    <w:name w:val="WW8Num17z7"/>
    <w:qFormat/>
    <w:rPr/>
  </w:style>
  <w:style w:type="character" w:styleId="WW8Num17z6">
    <w:name w:val="WW8Num17z6"/>
    <w:qFormat/>
    <w:rPr/>
  </w:style>
  <w:style w:type="character" w:styleId="WW8Num17z5">
    <w:name w:val="WW8Num17z5"/>
    <w:qFormat/>
    <w:rPr/>
  </w:style>
  <w:style w:type="character" w:styleId="WW8Num17z4">
    <w:name w:val="WW8Num17z4"/>
    <w:qFormat/>
    <w:rPr/>
  </w:style>
  <w:style w:type="character" w:styleId="WW8Num17z3">
    <w:name w:val="WW8Num17z3"/>
    <w:qFormat/>
    <w:rPr/>
  </w:style>
  <w:style w:type="character" w:styleId="WW8Num17z2">
    <w:name w:val="WW8Num17z2"/>
    <w:qFormat/>
    <w:rPr/>
  </w:style>
  <w:style w:type="character" w:styleId="WW8Num17z1">
    <w:name w:val="WW8Num17z1"/>
    <w:qFormat/>
    <w:rPr/>
  </w:style>
  <w:style w:type="character" w:styleId="WW8Num17z0">
    <w:name w:val="WW8Num17z0"/>
    <w:qFormat/>
    <w:rPr>
      <w:b/>
    </w:rPr>
  </w:style>
  <w:style w:type="character" w:styleId="WW8Num16z3">
    <w:name w:val="WW8Num16z3"/>
    <w:qFormat/>
    <w:rPr>
      <w:rFonts w:ascii="Symbol" w:hAnsi="Symbol" w:cs="Symbol"/>
    </w:rPr>
  </w:style>
  <w:style w:type="character" w:styleId="WW8Num16z2">
    <w:name w:val="WW8Num16z2"/>
    <w:qFormat/>
    <w:rPr>
      <w:rFonts w:ascii="Wingdings" w:hAnsi="Wingdings" w:cs="Wingdings"/>
    </w:rPr>
  </w:style>
  <w:style w:type="character" w:styleId="WW8Num16z1">
    <w:name w:val="WW8Num16z1"/>
    <w:qFormat/>
    <w:rPr>
      <w:rFonts w:ascii="Courier New" w:hAnsi="Courier New" w:cs="Courier New"/>
    </w:rPr>
  </w:style>
  <w:style w:type="character" w:styleId="WW8Num16z0">
    <w:name w:val="WW8Num16z0"/>
    <w:qFormat/>
    <w:rPr>
      <w:rFonts w:ascii="Times New Roman" w:hAnsi="Times New Roman" w:cs="Times New Roman"/>
    </w:rPr>
  </w:style>
  <w:style w:type="character" w:styleId="WW8Num15z2">
    <w:name w:val="WW8Num15z2"/>
    <w:qFormat/>
    <w:rPr>
      <w:rFonts w:ascii="Wingdings" w:hAnsi="Wingdings" w:cs="Wingdings"/>
    </w:rPr>
  </w:style>
  <w:style w:type="character" w:styleId="WW8Num15z1">
    <w:name w:val="WW8Num15z1"/>
    <w:qFormat/>
    <w:rPr>
      <w:rFonts w:ascii="Courier New" w:hAnsi="Courier New" w:cs="Courier New"/>
    </w:rPr>
  </w:style>
  <w:style w:type="character" w:styleId="WW8Num15z0">
    <w:name w:val="WW8Num15z0"/>
    <w:qFormat/>
    <w:rPr>
      <w:rFonts w:ascii="Symbol" w:hAnsi="Symbol" w:cs="Symbol"/>
    </w:rPr>
  </w:style>
  <w:style w:type="character" w:styleId="WW8Num14z8">
    <w:name w:val="WW8Num14z8"/>
    <w:qFormat/>
    <w:rPr/>
  </w:style>
  <w:style w:type="character" w:styleId="WW8Num14z7">
    <w:name w:val="WW8Num14z7"/>
    <w:qFormat/>
    <w:rPr/>
  </w:style>
  <w:style w:type="character" w:styleId="WW8Num14z6">
    <w:name w:val="WW8Num14z6"/>
    <w:qFormat/>
    <w:rPr/>
  </w:style>
  <w:style w:type="character" w:styleId="WW8Num14z5">
    <w:name w:val="WW8Num14z5"/>
    <w:qFormat/>
    <w:rPr/>
  </w:style>
  <w:style w:type="character" w:styleId="WW8Num14z4">
    <w:name w:val="WW8Num14z4"/>
    <w:qFormat/>
    <w:rPr/>
  </w:style>
  <w:style w:type="character" w:styleId="WW8Num14z3">
    <w:name w:val="WW8Num14z3"/>
    <w:qFormat/>
    <w:rPr/>
  </w:style>
  <w:style w:type="character" w:styleId="WW8Num14z2">
    <w:name w:val="WW8Num14z2"/>
    <w:qFormat/>
    <w:rPr/>
  </w:style>
  <w:style w:type="character" w:styleId="WW8Num14z1">
    <w:name w:val="WW8Num14z1"/>
    <w:qFormat/>
    <w:rPr/>
  </w:style>
  <w:style w:type="character" w:styleId="WW8Num14z0">
    <w:name w:val="WW8Num14z0"/>
    <w:qFormat/>
    <w:rPr>
      <w:sz w:val="24"/>
      <w:szCs w:val="24"/>
    </w:rPr>
  </w:style>
  <w:style w:type="character" w:styleId="WW8Num13z0">
    <w:name w:val="WW8Num13z0"/>
    <w:qFormat/>
    <w:rPr/>
  </w:style>
  <w:style w:type="character" w:styleId="WW8Num12z2">
    <w:name w:val="WW8Num12z2"/>
    <w:qFormat/>
    <w:rPr>
      <w:rFonts w:ascii="Wingdings" w:hAnsi="Wingdings" w:cs="Wingdings"/>
    </w:rPr>
  </w:style>
  <w:style w:type="character" w:styleId="WW8Num12z1">
    <w:name w:val="WW8Num12z1"/>
    <w:qFormat/>
    <w:rPr>
      <w:rFonts w:ascii="Courier New" w:hAnsi="Courier New" w:cs="Courier New"/>
    </w:rPr>
  </w:style>
  <w:style w:type="character" w:styleId="WW8Num12z0">
    <w:name w:val="WW8Num12z0"/>
    <w:qFormat/>
    <w:rPr>
      <w:rFonts w:ascii="Symbol" w:hAnsi="Symbol" w:cs="Symbol"/>
    </w:rPr>
  </w:style>
  <w:style w:type="character" w:styleId="WW8Num9z2">
    <w:name w:val="WW8Num9z2"/>
    <w:qFormat/>
    <w:rPr>
      <w:rFonts w:ascii="Wingdings" w:hAnsi="Wingdings" w:cs="Wingdings"/>
    </w:rPr>
  </w:style>
  <w:style w:type="character" w:styleId="WW8Num9z1">
    <w:name w:val="WW8Num9z1"/>
    <w:qFormat/>
    <w:rPr>
      <w:rFonts w:ascii="Courier New" w:hAnsi="Courier New" w:cs="Courier New"/>
    </w:rPr>
  </w:style>
  <w:style w:type="character" w:styleId="WW8Num7z2">
    <w:name w:val="WW8Num7z2"/>
    <w:qFormat/>
    <w:rPr>
      <w:rFonts w:ascii="Wingdings" w:hAnsi="Wingdings" w:cs="Wingdings"/>
    </w:rPr>
  </w:style>
  <w:style w:type="character" w:styleId="WW8Num7z1">
    <w:name w:val="WW8Num7z1"/>
    <w:qFormat/>
    <w:rPr>
      <w:rFonts w:ascii="Courier New" w:hAnsi="Courier New" w:cs="Courier New"/>
    </w:rPr>
  </w:style>
  <w:style w:type="character" w:styleId="WW8Num3z2">
    <w:name w:val="WW8Num3z2"/>
    <w:qFormat/>
    <w:rPr>
      <w:rFonts w:ascii="Wingdings" w:hAnsi="Wingdings" w:cs="Wingdings"/>
    </w:rPr>
  </w:style>
  <w:style w:type="character" w:styleId="WW8Num3z1">
    <w:name w:val="WW8Num3z1"/>
    <w:qFormat/>
    <w:rPr>
      <w:rFonts w:ascii="Courier New" w:hAnsi="Courier New" w:cs="Courier New"/>
    </w:rPr>
  </w:style>
  <w:style w:type="character" w:styleId="WW8Num2z2">
    <w:name w:val="WW8Num2z2"/>
    <w:qFormat/>
    <w:rPr>
      <w:rFonts w:ascii="Wingdings" w:hAnsi="Wingdings" w:cs="Wingdings"/>
    </w:rPr>
  </w:style>
  <w:style w:type="character" w:styleId="WW8Num2z1">
    <w:name w:val="WW8Num2z1"/>
    <w:qFormat/>
    <w:rPr>
      <w:rFonts w:ascii="Courier New" w:hAnsi="Courier New" w:cs="Courier New"/>
    </w:rPr>
  </w:style>
  <w:style w:type="character" w:styleId="WW8Num11z8">
    <w:name w:val="WW8Num11z8"/>
    <w:qFormat/>
    <w:rPr/>
  </w:style>
  <w:style w:type="character" w:styleId="WW8Num11z7">
    <w:name w:val="WW8Num11z7"/>
    <w:qFormat/>
    <w:rPr/>
  </w:style>
  <w:style w:type="character" w:styleId="WW8Num11z6">
    <w:name w:val="WW8Num11z6"/>
    <w:qFormat/>
    <w:rPr/>
  </w:style>
  <w:style w:type="character" w:styleId="WW8Num11z5">
    <w:name w:val="WW8Num11z5"/>
    <w:qFormat/>
    <w:rPr/>
  </w:style>
  <w:style w:type="character" w:styleId="WW8Num11z4">
    <w:name w:val="WW8Num11z4"/>
    <w:qFormat/>
    <w:rPr/>
  </w:style>
  <w:style w:type="character" w:styleId="WW8Num11z3">
    <w:name w:val="WW8Num11z3"/>
    <w:qFormat/>
    <w:rPr/>
  </w:style>
  <w:style w:type="character" w:styleId="WW8Num11z2">
    <w:name w:val="WW8Num11z2"/>
    <w:qFormat/>
    <w:rPr/>
  </w:style>
  <w:style w:type="character" w:styleId="WW8Num11z1">
    <w:name w:val="WW8Num11z1"/>
    <w:qFormat/>
    <w:rPr/>
  </w:style>
  <w:style w:type="character" w:styleId="WW8Num11z0">
    <w:name w:val="WW8Num11z0"/>
    <w:qFormat/>
    <w:rPr>
      <w:sz w:val="24"/>
      <w:szCs w:val="24"/>
    </w:rPr>
  </w:style>
  <w:style w:type="character" w:styleId="WW8Num10z8">
    <w:name w:val="WW8Num10z8"/>
    <w:qFormat/>
    <w:rPr/>
  </w:style>
  <w:style w:type="character" w:styleId="WW8Num10z7">
    <w:name w:val="WW8Num10z7"/>
    <w:qFormat/>
    <w:rPr/>
  </w:style>
  <w:style w:type="character" w:styleId="WW8Num10z6">
    <w:name w:val="WW8Num10z6"/>
    <w:qFormat/>
    <w:rPr/>
  </w:style>
  <w:style w:type="character" w:styleId="WW8Num10z5">
    <w:name w:val="WW8Num10z5"/>
    <w:qFormat/>
    <w:rPr/>
  </w:style>
  <w:style w:type="character" w:styleId="WW8Num10z4">
    <w:name w:val="WW8Num10z4"/>
    <w:qFormat/>
    <w:rPr/>
  </w:style>
  <w:style w:type="character" w:styleId="WW8Num10z3">
    <w:name w:val="WW8Num10z3"/>
    <w:qFormat/>
    <w:rPr/>
  </w:style>
  <w:style w:type="character" w:styleId="WW8Num10z2">
    <w:name w:val="WW8Num10z2"/>
    <w:qFormat/>
    <w:rPr/>
  </w:style>
  <w:style w:type="character" w:styleId="WW8Num10z1">
    <w:name w:val="WW8Num10z1"/>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WW8Num10z0">
    <w:name w:val="WW8Num10z0"/>
    <w:qFormat/>
    <w:rPr>
      <w:sz w:val="24"/>
      <w:szCs w:val="24"/>
      <w:shd w:fill="C0C0C0" w:val="clear"/>
    </w:rPr>
  </w:style>
  <w:style w:type="character" w:styleId="WW8Num9z0">
    <w:name w:val="WW8Num9z0"/>
    <w:qFormat/>
    <w:rPr>
      <w:rFonts w:ascii="Symbol" w:hAnsi="Symbol" w:cs="Symbol"/>
    </w:rPr>
  </w:style>
  <w:style w:type="character" w:styleId="WW8Num8z0">
    <w:name w:val="WW8Num8z0"/>
    <w:qFormat/>
    <w:rPr>
      <w:rFonts w:ascii="Symbol" w:hAnsi="Symbol" w:cs="Symbol"/>
    </w:rPr>
  </w:style>
  <w:style w:type="character" w:styleId="WW8Num7z0">
    <w:name w:val="WW8Num7z0"/>
    <w:qFormat/>
    <w:rPr>
      <w:rFonts w:ascii="Symbol" w:hAnsi="Symbol" w:cs="Symbol"/>
    </w:rPr>
  </w:style>
  <w:style w:type="character" w:styleId="WW8Num6z0">
    <w:name w:val="WW8Num6z0"/>
    <w:qFormat/>
    <w:rPr>
      <w:rFonts w:ascii="Symbol" w:hAnsi="Symbol" w:cs="Symbol"/>
    </w:rPr>
  </w:style>
  <w:style w:type="character" w:styleId="WW8Num5z2">
    <w:name w:val="WW8Num5z2"/>
    <w:qFormat/>
    <w:rPr/>
  </w:style>
  <w:style w:type="character" w:styleId="WW8Num5z1">
    <w:name w:val="WW8Num5z1"/>
    <w:qFormat/>
    <w:rPr>
      <w:b w:val="false"/>
      <w:bCs/>
      <w:i w:val="false"/>
    </w:rPr>
  </w:style>
  <w:style w:type="character" w:styleId="WW8Num5z0">
    <w:name w:val="WW8Num5z0"/>
    <w:qFormat/>
    <w:rPr>
      <w:b/>
    </w:rPr>
  </w:style>
  <w:style w:type="character" w:styleId="WW8Num4z2">
    <w:name w:val="WW8Num4z2"/>
    <w:qFormat/>
    <w:rPr>
      <w:sz w:val="24"/>
      <w:shd w:fill="C0C0C0" w:val="clear"/>
      <w:lang w:val="en-US"/>
    </w:rPr>
  </w:style>
  <w:style w:type="character" w:styleId="WW8Num4z1">
    <w:name w:val="WW8Num4z1"/>
    <w:qFormat/>
    <w:rPr>
      <w:i w:val="false"/>
      <w:sz w:val="24"/>
      <w:shd w:fill="C0C0C0" w:val="clear"/>
    </w:rPr>
  </w:style>
  <w:style w:type="character" w:styleId="WW8Num4z0">
    <w:name w:val="WW8Num4z0"/>
    <w:qFormat/>
    <w:rPr>
      <w:b/>
      <w:bCs/>
    </w:rPr>
  </w:style>
  <w:style w:type="character" w:styleId="WW8Num3z0">
    <w:name w:val="WW8Num3z0"/>
    <w:qFormat/>
    <w:rPr>
      <w:shd w:fill="C0C0C0" w:val="clear"/>
    </w:rPr>
  </w:style>
  <w:style w:type="character" w:styleId="WW8Num2z0">
    <w:name w:val="WW8Num2z0"/>
    <w:qFormat/>
    <w:rPr>
      <w:rFonts w:ascii="Symbol" w:hAnsi="Symbol" w:cs="Symbol"/>
    </w:rPr>
  </w:style>
  <w:style w:type="paragraph" w:styleId="Style33">
    <w:name w:val="Заголовок"/>
    <w:basedOn w:val="Normal"/>
    <w:next w:val="Style34"/>
    <w:qFormat/>
    <w:pPr>
      <w:keepNext w:val="true"/>
      <w:spacing w:before="240" w:after="120"/>
    </w:pPr>
    <w:rPr>
      <w:rFonts w:ascii="Liberation Sans" w:hAnsi="Liberation Sans" w:eastAsia="WenQuanYi Zen Hei Sharp" w:cs="Lohit Devanagari"/>
      <w:sz w:val="28"/>
      <w:szCs w:val="28"/>
    </w:rPr>
  </w:style>
  <w:style w:type="paragraph" w:styleId="Style34">
    <w:name w:val="Body Text"/>
    <w:basedOn w:val="Normal"/>
    <w:rsid w:val="00084bde"/>
    <w:pPr>
      <w:spacing w:before="0" w:after="120"/>
    </w:pPr>
    <w:rPr/>
  </w:style>
  <w:style w:type="paragraph" w:styleId="Style35">
    <w:name w:val="List"/>
    <w:basedOn w:val="Style34"/>
    <w:pPr/>
    <w:rPr>
      <w:rFonts w:cs="Lohit Devanagari"/>
    </w:rPr>
  </w:style>
  <w:style w:type="paragraph" w:styleId="Style36">
    <w:name w:val="Caption"/>
    <w:basedOn w:val="Normal"/>
    <w:qFormat/>
    <w:pPr>
      <w:suppressLineNumbers/>
      <w:spacing w:before="120" w:after="120"/>
    </w:pPr>
    <w:rPr>
      <w:rFonts w:cs="Lohit Devanagari"/>
      <w:i/>
      <w:iCs/>
      <w:sz w:val="24"/>
      <w:szCs w:val="24"/>
    </w:rPr>
  </w:style>
  <w:style w:type="paragraph" w:styleId="Style37">
    <w:name w:val="Указатель"/>
    <w:basedOn w:val="Normal"/>
    <w:qFormat/>
    <w:pPr>
      <w:suppressLineNumbers/>
    </w:pPr>
    <w:rPr>
      <w:rFonts w:cs="Lohit Devanagari"/>
      <w:lang w:val="zxx" w:eastAsia="zxx" w:bidi="zxx"/>
    </w:rPr>
  </w:style>
  <w:style w:type="paragraph" w:styleId="Style38">
    <w:name w:val="Title"/>
    <w:basedOn w:val="Normal"/>
    <w:qFormat/>
    <w:rsid w:val="00a264b0"/>
    <w:pPr>
      <w:jc w:val="center"/>
    </w:pPr>
    <w:rPr>
      <w:b/>
      <w:bCs/>
      <w:sz w:val="24"/>
      <w:szCs w:val="24"/>
    </w:rPr>
  </w:style>
  <w:style w:type="paragraph" w:styleId="Style39"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40">
    <w:name w:val="Колонтитул"/>
    <w:basedOn w:val="Normal"/>
    <w:qFormat/>
    <w:pPr/>
    <w:rPr/>
  </w:style>
  <w:style w:type="paragraph" w:styleId="Style41">
    <w:name w:val="Footer"/>
    <w:basedOn w:val="Normal"/>
    <w:link w:val="Style10"/>
    <w:uiPriority w:val="99"/>
    <w:rsid w:val="008b02a1"/>
    <w:pPr>
      <w:tabs>
        <w:tab w:val="clear" w:pos="708"/>
        <w:tab w:val="center" w:pos="4677" w:leader="none"/>
        <w:tab w:val="right" w:pos="9355" w:leader="none"/>
      </w:tabs>
    </w:pPr>
    <w:rPr/>
  </w:style>
  <w:style w:type="paragraph" w:styleId="BodyText3">
    <w:name w:val="Body Text 3"/>
    <w:basedOn w:val="Normal"/>
    <w:qFormat/>
    <w:rsid w:val="005a0965"/>
    <w:pPr>
      <w:spacing w:before="0" w:after="120"/>
    </w:pPr>
    <w:rPr>
      <w:sz w:val="16"/>
      <w:szCs w:val="16"/>
      <w:lang w:val="x-none" w:eastAsia="x-none"/>
    </w:rPr>
  </w:style>
  <w:style w:type="paragraph" w:styleId="Annotationtext">
    <w:name w:val="annotation text"/>
    <w:basedOn w:val="Normal"/>
    <w:qFormat/>
    <w:rsid w:val="00d36934"/>
    <w:pPr/>
    <w:rPr/>
  </w:style>
  <w:style w:type="paragraph" w:styleId="Annotationsubject">
    <w:name w:val="annotation subject"/>
    <w:basedOn w:val="Annotationtext"/>
    <w:qFormat/>
    <w:rsid w:val="00d36934"/>
    <w:pPr/>
    <w:rPr>
      <w:b/>
      <w:bCs/>
      <w:lang w:val="x-none" w:eastAsia="x-none"/>
    </w:rPr>
  </w:style>
  <w:style w:type="paragraph" w:styleId="ListParagraph">
    <w:name w:val="List Paragraph"/>
    <w:basedOn w:val="Normal"/>
    <w:link w:val="Style11"/>
    <w:uiPriority w:val="34"/>
    <w:qFormat/>
    <w:rsid w:val="00ec6e7d"/>
    <w:pPr>
      <w:spacing w:before="0" w:after="0"/>
      <w:ind w:left="720" w:hanging="0"/>
      <w:contextualSpacing/>
    </w:pPr>
    <w:rPr/>
  </w:style>
  <w:style w:type="paragraph" w:styleId="Style42"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43" w:customStyle="1">
    <w:name w:val="Подпункт договора"/>
    <w:basedOn w:val="Normal"/>
    <w:qFormat/>
    <w:rsid w:val="00d31bfd"/>
    <w:pPr>
      <w:widowControl/>
      <w:tabs>
        <w:tab w:val="clear" w:pos="708"/>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00000A"/>
      <w:kern w:val="0"/>
      <w:sz w:val="32"/>
      <w:szCs w:val="20"/>
      <w:lang w:val="ru-RU" w:eastAsia="en-US" w:bidi="ar-SA"/>
    </w:rPr>
  </w:style>
  <w:style w:type="paragraph" w:styleId="Style44">
    <w:name w:val="Body Text Indent"/>
    <w:basedOn w:val="Normal"/>
    <w:rsid w:val="00e00bca"/>
    <w:pPr>
      <w:spacing w:before="0" w:after="120"/>
      <w:ind w:left="283" w:hanging="0"/>
    </w:pPr>
    <w:rPr/>
  </w:style>
  <w:style w:type="paragraph" w:styleId="Style45"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Style46">
    <w:name w:val="Footnote Text"/>
    <w:basedOn w:val="Normal"/>
    <w:link w:val="Style7"/>
    <w:uiPriority w:val="99"/>
    <w:rsid w:val="00f47c6a"/>
    <w:pPr/>
    <w:rPr/>
  </w:style>
  <w:style w:type="paragraph" w:styleId="ListBullet3">
    <w:name w:val="List Bullet 3"/>
    <w:basedOn w:val="Normal"/>
    <w:uiPriority w:val="99"/>
    <w:unhideWhenUsed/>
    <w:qFormat/>
    <w:rsid w:val="00fa3bf9"/>
    <w:pPr>
      <w:widowControl/>
      <w:tabs>
        <w:tab w:val="clear" w:pos="708"/>
        <w:tab w:val="left" w:pos="1418" w:leader="none"/>
      </w:tabs>
      <w:spacing w:lineRule="auto" w:line="360" w:before="120" w:after="0"/>
      <w:ind w:firstLine="720"/>
      <w:jc w:val="both"/>
    </w:pPr>
    <w:rPr>
      <w:rFonts w:eastAsia="Calibri"/>
      <w:i/>
      <w:iCs/>
      <w:sz w:val="24"/>
      <w:szCs w:val="24"/>
    </w:rPr>
  </w:style>
  <w:style w:type="paragraph" w:styleId="Style47" w:customStyle="1">
    <w:name w:val="Контракт-пункт"/>
    <w:basedOn w:val="Normal"/>
    <w:qFormat/>
    <w:rsid w:val="00fa3bf9"/>
    <w:pPr>
      <w:widowControl/>
      <w:tabs>
        <w:tab w:val="clear" w:pos="708"/>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00000A"/>
      <w:kern w:val="0"/>
      <w:sz w:val="20"/>
      <w:szCs w:val="20"/>
      <w:lang w:val="ru-RU" w:eastAsia="ru-RU" w:bidi="ar-SA"/>
    </w:rPr>
  </w:style>
  <w:style w:type="paragraph" w:styleId="Style48">
    <w:name w:val="Header"/>
    <w:basedOn w:val="Normal"/>
    <w:link w:val="Style9"/>
    <w:uiPriority w:val="99"/>
    <w:rsid w:val="000449a5"/>
    <w:pPr>
      <w:tabs>
        <w:tab w:val="clear" w:pos="708"/>
        <w:tab w:val="center" w:pos="4677" w:leader="none"/>
        <w:tab w:val="right" w:pos="9355" w:leader="none"/>
      </w:tabs>
    </w:pPr>
    <w:rPr/>
  </w:style>
  <w:style w:type="paragraph" w:styleId="Style49" w:customStyle="1">
    <w:name w:val="Пункт договора"/>
    <w:basedOn w:val="Normal"/>
    <w:qFormat/>
    <w:rsid w:val="00e65842"/>
    <w:pPr>
      <w:jc w:val="both"/>
    </w:pPr>
    <w:rPr>
      <w:rFonts w:ascii="Arial" w:hAnsi="Arial"/>
    </w:rPr>
  </w:style>
  <w:style w:type="paragraph" w:styleId="1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2"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00000A"/>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00000A"/>
      <w:kern w:val="0"/>
      <w:sz w:val="22"/>
      <w:szCs w:val="20"/>
      <w:lang w:val="ru-RU" w:eastAsia="ru-RU" w:bidi="ar-SA"/>
    </w:rPr>
  </w:style>
  <w:style w:type="paragraph" w:styleId="ConsPlusNonformat" w:customStyle="1">
    <w:name w:val="ConsPlusNonformat"/>
    <w:qFormat/>
    <w:rsid w:val="00bc1331"/>
    <w:pPr>
      <w:widowControl w:val="false"/>
      <w:suppressAutoHyphens w:val="true"/>
      <w:bidi w:val="0"/>
      <w:spacing w:before="0" w:after="0"/>
      <w:jc w:val="left"/>
    </w:pPr>
    <w:rPr>
      <w:rFonts w:ascii="Courier New" w:hAnsi="Courier New" w:eastAsia="Times New Roman" w:cs="Courier New"/>
      <w:color w:val="00000A"/>
      <w:kern w:val="0"/>
      <w:sz w:val="20"/>
      <w:szCs w:val="20"/>
      <w:lang w:val="ru-RU" w:eastAsia="ru-RU" w:bidi="ar-SA"/>
    </w:rPr>
  </w:style>
  <w:style w:type="paragraph" w:styleId="Style50">
    <w:name w:val="Содержимое таблицы"/>
    <w:basedOn w:val="Normal"/>
    <w:qFormat/>
    <w:pPr>
      <w:widowControl w:val="false"/>
      <w:suppressLineNumbers/>
    </w:pPr>
    <w:rPr/>
  </w:style>
  <w:style w:type="paragraph" w:styleId="Style51">
    <w:name w:val="Заголовок таблицы"/>
    <w:basedOn w:val="Style50"/>
    <w:qFormat/>
    <w:pPr>
      <w:suppressLineNumbers/>
      <w:jc w:val="center"/>
    </w:pPr>
    <w:rPr>
      <w:b/>
      <w:bCs/>
    </w:rPr>
  </w:style>
  <w:style w:type="paragraph" w:styleId="33">
    <w:name w:val="Основной текст 3"/>
    <w:basedOn w:val="Normal"/>
    <w:qFormat/>
    <w:pPr>
      <w:jc w:val="both"/>
    </w:pPr>
    <w:rPr>
      <w:color w:val="0000FF"/>
      <w:lang w:val="ru-RU"/>
    </w:rPr>
  </w:style>
  <w:style w:type="paragraph" w:styleId="Style52">
    <w:name w:val="Абзац списка"/>
    <w:basedOn w:val="Normal"/>
    <w:qFormat/>
    <w:pPr>
      <w:ind w:left="708" w:right="0" w:hanging="0"/>
    </w:pPr>
    <w:rPr/>
  </w:style>
  <w:style w:type="paragraph" w:styleId="U">
    <w:name w:val="u"/>
    <w:basedOn w:val="Normal"/>
    <w:qFormat/>
    <w:pPr>
      <w:ind w:left="0" w:right="0" w:firstLine="390"/>
      <w:jc w:val="both"/>
    </w:pPr>
    <w:rPr/>
  </w:style>
  <w:style w:type="paragraph" w:styleId="Style53">
    <w:name w:val="Текст выноски"/>
    <w:basedOn w:val="Normal"/>
    <w:qFormat/>
    <w:pPr/>
    <w:rPr>
      <w:rFonts w:ascii="Tahoma" w:hAnsi="Tahoma" w:cs="Tahoma"/>
      <w:sz w:val="16"/>
      <w:szCs w:val="16"/>
    </w:rPr>
  </w:style>
  <w:style w:type="paragraph" w:styleId="Style54">
    <w:name w:val="Рецензия"/>
    <w:qFormat/>
    <w:pPr>
      <w:widowControl/>
      <w:suppressAutoHyphens w:val="true"/>
      <w:bidi w:val="0"/>
      <w:spacing w:before="0" w:after="0"/>
      <w:jc w:val="left"/>
    </w:pPr>
    <w:rPr>
      <w:rFonts w:ascii="Times New Roman" w:hAnsi="Times New Roman" w:eastAsia="Times New Roman" w:cs="Times New Roman"/>
      <w:color w:val="00000A"/>
      <w:kern w:val="0"/>
      <w:sz w:val="24"/>
      <w:szCs w:val="24"/>
      <w:lang w:val="ru-RU" w:eastAsia="zh-CN" w:bidi="ar-SA"/>
    </w:rPr>
  </w:style>
  <w:style w:type="paragraph" w:styleId="Style55">
    <w:name w:val="Тема примечания"/>
    <w:basedOn w:val="Style56"/>
    <w:qFormat/>
    <w:pPr/>
    <w:rPr>
      <w:b/>
      <w:bCs/>
    </w:rPr>
  </w:style>
  <w:style w:type="paragraph" w:styleId="Style56">
    <w:name w:val="Текст примечания"/>
    <w:basedOn w:val="Normal"/>
    <w:qFormat/>
    <w:pPr/>
    <w:rPr>
      <w:sz w:val="20"/>
      <w:szCs w:val="20"/>
    </w:rPr>
  </w:style>
  <w:style w:type="paragraph" w:styleId="Preformat">
    <w:name w:val="Preformat"/>
    <w:qFormat/>
    <w:pPr>
      <w:widowControl/>
      <w:suppressAutoHyphens w:val="true"/>
      <w:bidi w:val="0"/>
      <w:spacing w:before="0" w:after="0"/>
      <w:jc w:val="left"/>
    </w:pPr>
    <w:rPr>
      <w:rFonts w:ascii="Courier New" w:hAnsi="Courier New" w:eastAsia="Times New Roman" w:cs="Courier New"/>
      <w:color w:val="00000A"/>
      <w:kern w:val="0"/>
      <w:sz w:val="20"/>
      <w:szCs w:val="20"/>
      <w:lang w:val="ru-RU" w:eastAsia="zh-CN" w:bidi="ar-SA"/>
    </w:rPr>
  </w:style>
  <w:style w:type="paragraph" w:styleId="Caption111">
    <w:name w:val="Caption11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
    <w:name w:val="Caption1"/>
    <w:basedOn w:val="Normal"/>
    <w:qFormat/>
    <w:pPr>
      <w:suppressLineNumbers/>
      <w:spacing w:before="120" w:after="120"/>
    </w:pPr>
    <w:rPr>
      <w:rFonts w:cs="Lohit Devanagari"/>
      <w:i/>
      <w:iCs/>
      <w:sz w:val="24"/>
      <w:szCs w:val="24"/>
    </w:rPr>
  </w:style>
  <w:style w:type="paragraph" w:styleId="Caption2">
    <w:name w:val="Caption2"/>
    <w:basedOn w:val="Normal"/>
    <w:qFormat/>
    <w:pPr>
      <w:suppressLineNumbers/>
      <w:spacing w:before="120" w:after="120"/>
    </w:pPr>
    <w:rPr>
      <w:rFonts w:cs="Lohit Devanagari"/>
      <w:i/>
      <w:iCs/>
      <w:sz w:val="24"/>
      <w:szCs w:val="24"/>
    </w:rPr>
  </w:style>
  <w:style w:type="paragraph" w:styleId="Western">
    <w:name w:val="western"/>
    <w:basedOn w:val="Normal"/>
    <w:qFormat/>
    <w:pPr>
      <w:widowControl/>
      <w:spacing w:before="62" w:after="0"/>
      <w:jc w:val="center"/>
    </w:pPr>
    <w:rPr>
      <w:b/>
      <w:bCs/>
      <w:sz w:val="16"/>
      <w:szCs w:val="16"/>
    </w:rPr>
  </w:style>
  <w:style w:type="paragraph" w:styleId="NormalWeb">
    <w:name w:val="Normal (Web)"/>
    <w:basedOn w:val="Normal"/>
    <w:qFormat/>
    <w:pPr>
      <w:widowControl/>
      <w:spacing w:before="62" w:after="0"/>
      <w:jc w:val="center"/>
    </w:pPr>
    <w:rPr>
      <w:sz w:val="24"/>
      <w:szCs w:val="24"/>
    </w:rPr>
  </w:style>
  <w:style w:type="paragraph" w:styleId="Standard">
    <w:name w:val="Standard"/>
    <w:qFormat/>
    <w:pPr>
      <w:widowControl w:val="false"/>
      <w:suppressAutoHyphens w:val="true"/>
      <w:bidi w:val="0"/>
      <w:spacing w:lineRule="auto" w:line="240" w:before="0" w:after="0"/>
      <w:jc w:val="left"/>
      <w:textAlignment w:val="baseline"/>
    </w:pPr>
    <w:rPr>
      <w:rFonts w:ascii="Times New Roman" w:hAnsi="Times New Roman" w:eastAsia="Arial Unicode MS" w:cs="Times New Roman"/>
      <w:color w:val="auto"/>
      <w:kern w:val="2"/>
      <w:sz w:val="24"/>
      <w:szCs w:val="24"/>
      <w:lang w:val="ru-RU" w:eastAsia="zh-CN" w:bidi="ar-SA"/>
    </w:rPr>
  </w:style>
  <w:style w:type="numbering" w:styleId="NoList" w:default="1">
    <w:name w:val="No List"/>
    <w:uiPriority w:val="99"/>
    <w:semiHidden/>
    <w:unhideWhenUsed/>
    <w:qFormat/>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yperlink" Target="http://www.asv.org.ru/" TargetMode="External"/><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footer" Target="footer1.xm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20" Type="http://schemas.openxmlformats.org/officeDocument/2006/relationships/image" Target="media/image9.png"/><Relationship Id="rId21" Type="http://schemas.openxmlformats.org/officeDocument/2006/relationships/image" Target="media/image10.png"/><Relationship Id="rId22" Type="http://schemas.openxmlformats.org/officeDocument/2006/relationships/image" Target="media/image11.png"/><Relationship Id="rId23" Type="http://schemas.openxmlformats.org/officeDocument/2006/relationships/image" Target="media/image12.png"/><Relationship Id="rId24" Type="http://schemas.openxmlformats.org/officeDocument/2006/relationships/header" Target="header6.xml"/><Relationship Id="rId25" Type="http://schemas.openxmlformats.org/officeDocument/2006/relationships/footer" Target="footer2.xml"/><Relationship Id="rId26" Type="http://schemas.openxmlformats.org/officeDocument/2006/relationships/image" Target="media/image13.png"/><Relationship Id="rId27" Type="http://schemas.openxmlformats.org/officeDocument/2006/relationships/image" Target="media/image14.png"/><Relationship Id="rId28" Type="http://schemas.openxmlformats.org/officeDocument/2006/relationships/header" Target="header7.xml"/><Relationship Id="rId29" Type="http://schemas.openxmlformats.org/officeDocument/2006/relationships/footer" Target="footer3.xml"/><Relationship Id="rId30" Type="http://schemas.openxmlformats.org/officeDocument/2006/relationships/footnotes" Target="footnotes.xml"/><Relationship Id="rId31" Type="http://schemas.openxmlformats.org/officeDocument/2006/relationships/numbering" Target="numbering.xml"/><Relationship Id="rId32" Type="http://schemas.openxmlformats.org/officeDocument/2006/relationships/fontTable" Target="fontTable.xml"/><Relationship Id="rId33" Type="http://schemas.openxmlformats.org/officeDocument/2006/relationships/settings" Target="settings.xml"/><Relationship Id="rId34" Type="http://schemas.openxmlformats.org/officeDocument/2006/relationships/theme" Target="theme/theme1.xml"/><Relationship Id="rId35" Type="http://schemas.openxmlformats.org/officeDocument/2006/relationships/customXml" Target="../customXml/item1.xml"/>
</Relationships>
</file>

<file path=word/_rels/footnotes.xml.rels><?xml version="1.0" encoding="UTF-8"?>
<Relationships xmlns="http://schemas.openxmlformats.org/package/2006/relationships"><Relationship Id="rId1" Type="http://schemas.openxmlformats.org/officeDocument/2006/relationships/hyperlink" Target="https://drsk.ru/investors/disclosure/dokumenty/vnutrennie-dokumenty-obshchestva/inye-dokumenty/"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7D0BB-19BD-48A8-A80F-1D8112564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Application>LibreOffice/7.1.8.1$Linux_X86_64 LibreOffice_project/10$Build-1</Application>
  <AppVersion>15.0000</AppVersion>
  <Pages>40</Pages>
  <Words>10269</Words>
  <Characters>73079</Characters>
  <CharactersWithSpaces>83027</CharactersWithSpaces>
  <Paragraphs>501</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2022-11-01T07:50:00Z</dcterms:created>
  <dc:creator>tsypilev_ag</dc:creator>
  <dc:description/>
  <dc:language>ru-RU</dc:language>
  <cp:lastModifiedBy/>
  <cp:lastPrinted>2020-03-18T06:36:00Z</cp:lastPrinted>
  <dcterms:modified xsi:type="dcterms:W3CDTF">2026-09-07T09:13:18Z</dcterms:modified>
  <cp:revision>59</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