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word/header6.xml" ContentType="application/vnd.openxmlformats-officedocument.wordprocessingml.header+xml"/>
  <Override PartName="/word/theme/theme1.xml" ContentType="application/vnd.openxmlformats-officedocument.theme+xml"/>
  <Override PartName="/word/header7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header8.xml" ContentType="application/vnd.openxmlformats-officedocument.wordprocessingml.header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>Технические требования на оказание услуг</w:t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center"/>
        <w:rPr/>
      </w:pPr>
      <w:r>
        <w:rPr>
          <w:rStyle w:val="Style8"/>
          <w:rFonts w:eastAsia="Calibri" w:cs="Times New Roman"/>
          <w:b/>
          <w:color w:val="000000"/>
          <w:kern w:val="0"/>
          <w:sz w:val="26"/>
          <w:szCs w:val="26"/>
          <w:shd w:fill="auto" w:val="clear"/>
          <w:lang w:val="ru-RU" w:eastAsia="ru-RU" w:bidi="ar-SA"/>
        </w:rPr>
        <w:t>ОКПД 2: 29.32.30.163 Оказание услуг по замене блоков СКЗИ на тахографах и обслуживанию тахографов для нужд Дальневосточного филиала АО «ТК РусГидро»</w:t>
      </w:r>
    </w:p>
    <w:p>
      <w:pPr>
        <w:pStyle w:val="Normal"/>
        <w:jc w:val="center"/>
        <w:rPr>
          <w:rStyle w:val="Style8"/>
          <w:rFonts w:ascii="Times New Roman" w:hAnsi="Times New Roman" w:eastAsia="Calibri" w:cs="Times New Roman"/>
          <w:b/>
          <w:color w:val="auto"/>
          <w:kern w:val="0"/>
          <w:sz w:val="26"/>
          <w:szCs w:val="26"/>
          <w:lang w:val="ru-RU" w:eastAsia="ru-RU" w:bidi="ar-SA"/>
        </w:rPr>
      </w:pPr>
      <w:r>
        <w:rPr>
          <w:rFonts w:eastAsia="Calibri" w:cs="Times New Roman"/>
          <w:b/>
          <w:color w:val="auto"/>
          <w:kern w:val="0"/>
          <w:sz w:val="26"/>
          <w:szCs w:val="26"/>
          <w:lang w:val="ru-RU" w:eastAsia="ru-RU" w:bidi="ar-SA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center"/>
        <w:rPr>
          <w:rStyle w:val="Style8"/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  <w:r>
        <w:br w:type="page"/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</w:rPr>
      </w:pPr>
      <w:r>
        <w:rPr>
          <w:rFonts w:eastAsia="Calibri"/>
          <w:b/>
        </w:rPr>
        <w:t xml:space="preserve">СОДЕРЖАНИЕ </w:t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TOC1"/>
            <w:rPr/>
          </w:pPr>
          <w:r>
            <w:fldChar w:fldCharType="begin"/>
          </w:r>
          <w:r>
            <w:rPr>
              <w:webHidden/>
              <w:rStyle w:val="Style14"/>
              <w:vanish w:val="false"/>
            </w:rPr>
            <w:instrText xml:space="preserve"> TOC \z \o "1-4" \u \h</w:instrText>
          </w:r>
          <w:r>
            <w:rPr>
              <w:webHidden/>
              <w:rStyle w:val="Style14"/>
              <w:vanish w:val="false"/>
            </w:rPr>
            <w:fldChar w:fldCharType="separate"/>
          </w:r>
          <w:hyperlink w:anchor="_Toc54643453">
            <w:r>
              <w:rPr>
                <w:webHidden/>
                <w:rStyle w:val="Style14"/>
                <w:vanish w:val="false"/>
              </w:rPr>
              <w:t>1.</w:t>
            </w:r>
            <w:r>
              <w:rPr>
                <w:rStyle w:val="Style14"/>
                <w:rFonts w:cs="Times New Roman"/>
              </w:rPr>
              <w:tab/>
            </w:r>
            <w:r>
              <w:rPr>
                <w:rStyle w:val="Style14"/>
              </w:rPr>
              <w:t>Общие сведения</w:t>
              <w:tab/>
              <w:t xml:space="preserve">                                                                                                        </w:t>
            </w:r>
          </w:hyperlink>
          <w:r>
            <w:rPr>
              <w:rFonts w:cs="Times New Roman"/>
              <w:iCs/>
            </w:rPr>
            <w:t>3</w:t>
          </w:r>
        </w:p>
        <w:p>
          <w:pPr>
            <w:pStyle w:val="TOC4"/>
            <w:tabs>
              <w:tab w:val="left" w:pos="1120" w:leader="none"/>
              <w:tab w:val="left" w:pos="1400" w:leader="none"/>
              <w:tab w:val="right" w:pos="9911" w:leader="dot"/>
            </w:tabs>
            <w:rPr/>
          </w:pPr>
          <w:hyperlink w:anchor="_Toc54643454">
            <w:r>
              <w:rPr>
                <w:webHidden/>
                <w:rStyle w:val="Style14"/>
                <w:iCs/>
                <w:vanish w:val="false"/>
              </w:rPr>
              <w:t>1.1.</w:t>
            </w:r>
            <w:r>
              <w:rPr>
                <w:rStyle w:val="Style14"/>
                <w:rFonts w:cs="Times New Roman"/>
                <w:sz w:val="24"/>
                <w:szCs w:val="24"/>
              </w:rPr>
              <w:tab/>
            </w:r>
            <w:r>
              <w:rPr>
                <w:rStyle w:val="Style14"/>
              </w:rPr>
              <w:t>Обозначения и сокращения</w:t>
              <w:tab/>
            </w:r>
          </w:hyperlink>
          <w:r>
            <w:rPr>
              <w:rFonts w:cs="Times New Roman"/>
              <w:sz w:val="24"/>
              <w:szCs w:val="24"/>
            </w:rPr>
            <w:t>3</w:t>
          </w:r>
        </w:p>
        <w:p>
          <w:pPr>
            <w:pStyle w:val="TOC4"/>
            <w:tabs>
              <w:tab w:val="left" w:pos="1120" w:leader="none"/>
              <w:tab w:val="left" w:pos="1400" w:leader="none"/>
              <w:tab w:val="right" w:pos="9911" w:leader="dot"/>
            </w:tabs>
            <w:rPr/>
          </w:pPr>
          <w:hyperlink w:anchor="_Toc54643455">
            <w:r>
              <w:rPr>
                <w:webHidden/>
                <w:rStyle w:val="Style14"/>
                <w:iCs/>
                <w:vanish w:val="false"/>
              </w:rPr>
              <w:t>1.2.</w:t>
            </w:r>
            <w:r>
              <w:rPr>
                <w:rStyle w:val="Style14"/>
                <w:rFonts w:cs="Times New Roman"/>
                <w:sz w:val="24"/>
                <w:szCs w:val="24"/>
              </w:rPr>
              <w:tab/>
            </w:r>
            <w:r>
              <w:rPr>
                <w:rStyle w:val="Style14"/>
              </w:rPr>
              <w:t>Наименование закупаемой продукции</w:t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_Toc54643455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rFonts w:cs="Times New Roman"/>
                <w:sz w:val="24"/>
                <w:szCs w:val="24"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left" w:pos="1120" w:leader="none"/>
              <w:tab w:val="left" w:pos="1400" w:leader="none"/>
              <w:tab w:val="right" w:pos="9911" w:leader="dot"/>
            </w:tabs>
            <w:rPr/>
          </w:pPr>
          <w:hyperlink w:anchor="_Toc54643456">
            <w:r>
              <w:rPr>
                <w:webHidden/>
                <w:rStyle w:val="Style14"/>
                <w:iCs/>
                <w:vanish w:val="false"/>
              </w:rPr>
              <w:t>1.3.</w:t>
            </w:r>
            <w:r>
              <w:rPr>
                <w:rStyle w:val="Style14"/>
                <w:rFonts w:cs="Times New Roman"/>
                <w:sz w:val="24"/>
                <w:szCs w:val="24"/>
              </w:rPr>
              <w:tab/>
            </w:r>
            <w:r>
              <w:rPr>
                <w:rStyle w:val="Style14"/>
              </w:rPr>
              <w:t xml:space="preserve">Цель оказания услуг </w:t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_Toc54643456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rFonts w:cs="Times New Roman"/>
                <w:sz w:val="24"/>
                <w:szCs w:val="24"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Normal"/>
            <w:ind w:firstLine="560"/>
            <w:rPr/>
          </w:pPr>
          <w:r>
            <w:rPr>
              <w:rFonts w:cs="Calibri" w:cstheme="minorHAnsi"/>
              <w:sz w:val="20"/>
              <w:szCs w:val="20"/>
            </w:rPr>
            <w:t>1.4. Существующее положение……………………………………………………………………………………...3</w:t>
          </w:r>
        </w:p>
        <w:p>
          <w:pPr>
            <w:pStyle w:val="TOC1"/>
            <w:rPr/>
          </w:pPr>
          <w:hyperlink w:anchor="_Toc54643458">
            <w:r>
              <w:rPr>
                <w:webHidden/>
                <w:rStyle w:val="Style14"/>
                <w:vanish w:val="false"/>
              </w:rPr>
              <w:t>Таблица 1. Перечень объектов заказчика</w:t>
              <w:tab/>
              <w:t xml:space="preserve">                                                                    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_Toc54643458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rFonts w:cs="Times New Roman"/>
                <w:iCs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rPr/>
          </w:pPr>
          <w:hyperlink w:anchor="_Toc54643461">
            <w:r>
              <w:rPr>
                <w:webHidden/>
                <w:rStyle w:val="Style14"/>
                <w:vanish w:val="false"/>
              </w:rPr>
              <w:t>2.</w:t>
            </w:r>
            <w:r>
              <w:rPr>
                <w:rStyle w:val="Style14"/>
                <w:rFonts w:cs="Times New Roman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_Toc54643461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>Требования к продукции</w:t>
              <w:tab/>
              <w:t xml:space="preserve">                                                                                            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rPr/>
          </w:pPr>
          <w:hyperlink w:anchor="_Toc54643464">
            <w:r>
              <w:rPr>
                <w:webHidden/>
                <w:rStyle w:val="Style14"/>
                <w:rFonts w:cs="Calibri" w:cstheme="minorHAnsi"/>
                <w:b w:val="false"/>
                <w:bCs w:val="false"/>
                <w:vanish w:val="false"/>
                <w:sz w:val="20"/>
                <w:szCs w:val="20"/>
              </w:rPr>
              <w:t>2.1. Требования к объемам и срокам оказываемых услуг………………………………..</w:t>
            </w:r>
          </w:hyperlink>
          <w:r>
            <w:rPr>
              <w:rFonts w:cs="Calibri" w:cstheme="minorHAnsi"/>
              <w:b w:val="false"/>
              <w:bCs w:val="false"/>
              <w:sz w:val="20"/>
              <w:szCs w:val="20"/>
            </w:rPr>
            <w:t>.......................................4</w:t>
          </w:r>
        </w:p>
        <w:p>
          <w:pPr>
            <w:pStyle w:val="TOC3"/>
            <w:rPr/>
          </w:pPr>
          <w:hyperlink w:anchor="_Toc54643465">
            <w:r>
              <w:rPr>
                <w:webHidden/>
                <w:rStyle w:val="Style14"/>
                <w:vanish w:val="false"/>
              </w:rPr>
              <w:t xml:space="preserve">2.1.1 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_Toc54643465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>Требования к перечню и объему услуг</w:t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Normal"/>
            <w:ind w:firstLine="567"/>
            <w:rPr/>
          </w:pPr>
          <w:r>
            <w:rPr>
              <w:rFonts w:eastAsia="Times New Roman" w:cs="Calibri Light (Заголовки)"/>
              <w:b/>
              <w:bCs/>
              <w:vanish w:val="false"/>
              <w:color w:val="auto"/>
              <w:kern w:val="0"/>
              <w:sz w:val="24"/>
              <w:szCs w:val="24"/>
              <w:lang w:val="ru-RU" w:eastAsia="ru-RU" w:bidi="ar-SA"/>
            </w:rPr>
            <w:t>Таблица 2 Перечень и объем оказываемых услуг</w:t>
          </w:r>
          <w:r>
            <w:rPr>
              <w:rFonts w:eastAsia="Times New Roman" w:cs="Calibri" w:cstheme="minorHAnsi"/>
              <w:color w:val="auto"/>
              <w:kern w:val="0"/>
              <w:sz w:val="20"/>
              <w:szCs w:val="20"/>
              <w:lang w:val="ru-RU" w:eastAsia="ru-RU" w:bidi="ar-SA"/>
            </w:rPr>
            <w:t>……….……………..……………………....…...4</w:t>
          </w:r>
        </w:p>
        <w:p>
          <w:pPr>
            <w:pStyle w:val="Normal"/>
            <w:ind w:firstLine="567"/>
            <w:rPr/>
          </w:pPr>
          <w:r>
            <w:rPr>
              <w:rFonts w:cs="Calibri" w:cstheme="minorHAnsi"/>
              <w:sz w:val="20"/>
              <w:szCs w:val="20"/>
            </w:rPr>
            <w:t>2.1.2 Требования к срокам оказания услуг………………………………………………………………………….4</w:t>
          </w:r>
        </w:p>
        <w:p>
          <w:pPr>
            <w:pStyle w:val="TOC1"/>
            <w:rPr/>
          </w:pPr>
          <w:hyperlink w:anchor="_Toc54643466">
            <w:r>
              <w:rPr>
                <w:webHidden/>
                <w:rStyle w:val="Style14"/>
                <w:vanish w:val="false"/>
              </w:rPr>
              <w:t>Таблица 3. Требования к срокам оказания услуг</w:t>
              <w:tab/>
              <w:t xml:space="preserve">                                                       </w:t>
            </w:r>
          </w:hyperlink>
          <w:r>
            <w:rPr/>
            <w:t xml:space="preserve">  4</w:t>
          </w:r>
        </w:p>
        <w:p>
          <w:pPr>
            <w:pStyle w:val="Normal"/>
            <w:widowControl/>
            <w:suppressAutoHyphens w:val="true"/>
            <w:bidi w:val="0"/>
            <w:spacing w:before="0" w:after="0"/>
            <w:ind w:left="567" w:right="0" w:hanging="0"/>
            <w:jc w:val="left"/>
            <w:rPr/>
          </w:pPr>
          <w:r>
            <w:rPr>
              <w:rFonts w:cs="Calibri" w:cstheme="minorHAnsi"/>
              <w:sz w:val="20"/>
              <w:szCs w:val="20"/>
            </w:rPr>
            <w:t xml:space="preserve">2.2           Требования к качеству услуг………………………………………...………………..…………………..5 </w:t>
          </w:r>
          <w:r>
            <w:rPr>
              <w:b/>
              <w:bCs/>
              <w:vanish w:val="false"/>
              <w:sz w:val="24"/>
              <w:szCs w:val="24"/>
            </w:rPr>
            <w:t>Таблица </w:t>
          </w:r>
          <w:r>
            <w:rPr>
              <w:b/>
              <w:bCs/>
              <w:vanish w:val="false"/>
              <w:sz w:val="24"/>
              <w:szCs w:val="24"/>
              <w:lang w:val="ru-RU"/>
            </w:rPr>
            <w:t>4</w:t>
          </w:r>
          <w:r>
            <w:rPr>
              <w:b/>
              <w:bCs/>
              <w:vanish w:val="false"/>
              <w:sz w:val="24"/>
              <w:szCs w:val="24"/>
            </w:rPr>
            <w:t xml:space="preserve">. Требования к </w:t>
          </w:r>
          <w:r>
            <w:rPr>
              <w:b/>
              <w:bCs/>
              <w:vanish w:val="false"/>
              <w:sz w:val="24"/>
              <w:szCs w:val="24"/>
              <w:lang w:val="ru-RU"/>
            </w:rPr>
            <w:t>качеству услуг</w:t>
          </w:r>
          <w:r>
            <w:rPr>
              <w:vanish w:val="false"/>
              <w:sz w:val="24"/>
              <w:szCs w:val="24"/>
            </w:rPr>
            <w:t xml:space="preserve"> …………………………………………………...5</w:t>
          </w:r>
        </w:p>
        <w:p>
          <w:pPr>
            <w:pStyle w:val="TOC1"/>
            <w:rPr/>
          </w:pPr>
          <w:hyperlink w:anchor="_Toc54643469">
            <w:r>
              <w:rPr>
                <w:webHidden/>
                <w:rStyle w:val="Style14"/>
                <w:vanish w:val="false"/>
              </w:rPr>
              <w:t>3.</w:t>
            </w:r>
            <w:r>
              <w:rPr>
                <w:rStyle w:val="Style14"/>
                <w:rFonts w:cs="Times New Roman"/>
              </w:rPr>
              <w:tab/>
            </w:r>
            <w:r>
              <w:rPr>
                <w:rStyle w:val="Style14"/>
              </w:rPr>
              <w:t>Требования к документации по ценообразованию на этапе закупки</w:t>
            </w:r>
            <w:r>
              <w:rPr>
                <w:rStyle w:val="Style14"/>
                <w:b w:val="false"/>
                <w:bCs w:val="false"/>
              </w:rPr>
              <w:t>……...…</w:t>
            </w:r>
          </w:hyperlink>
          <w:r>
            <w:rPr>
              <w:b w:val="false"/>
              <w:bCs w:val="false"/>
            </w:rPr>
            <w:t xml:space="preserve">  </w:t>
          </w:r>
          <w:r>
            <w:rPr>
              <w:rFonts w:cs="Times New Roman"/>
              <w:iCs/>
            </w:rPr>
            <w:t>8</w:t>
          </w:r>
          <w:r>
            <w:rPr>
              <w:iCs/>
              <w:rFonts w:cs="Times New Roman"/>
            </w:rPr>
            <w:fldChar w:fldCharType="end"/>
          </w:r>
        </w:p>
      </w:sdtContent>
    </w:sdt>
    <w:p>
      <w:pPr>
        <w:pStyle w:val="TOC1"/>
        <w:rPr>
          <w:rFonts w:cs="Times New Roman"/>
          <w:iCs/>
        </w:rPr>
      </w:pPr>
      <w:r>
        <w:rPr>
          <w:rFonts w:cs="Times New Roman"/>
          <w:iCs/>
        </w:rPr>
      </w:r>
    </w:p>
    <w:p>
      <w:pPr>
        <w:pStyle w:val="TOC1"/>
        <w:rPr>
          <w:rFonts w:ascii="Calibri" w:hAnsi="Calibri" w:cs="Times New Roman"/>
          <w:iCs/>
        </w:rPr>
      </w:pPr>
      <w:r>
        <w:rPr>
          <w:rFonts w:cs="Times New Roman" w:ascii="Calibri" w:hAnsi="Calibri"/>
          <w:iCs/>
        </w:rPr>
      </w:r>
    </w:p>
    <w:p>
      <w:pPr>
        <w:pStyle w:val="Normal"/>
        <w:rPr>
          <w:rFonts w:ascii="Calibri" w:hAnsi="Calibri" w:eastAsia="Calibri" w:cs="Calibri"/>
          <w:bCs/>
          <w:i/>
          <w:i/>
          <w:iCs/>
          <w:sz w:val="20"/>
        </w:rPr>
      </w:pPr>
      <w:r>
        <w:rPr>
          <w:rFonts w:eastAsia="Calibri" w:cs="Calibri" w:ascii="Calibri" w:hAnsi="Calibri"/>
          <w:bCs/>
          <w:i/>
          <w:iCs/>
          <w:sz w:val="20"/>
        </w:rPr>
      </w:r>
    </w:p>
    <w:p>
      <w:pPr>
        <w:pStyle w:val="Normal"/>
        <w:rPr>
          <w:rFonts w:ascii="Calibri" w:hAnsi="Calibri" w:eastAsia="Calibri" w:cs="Calibri"/>
          <w:bCs/>
          <w:i/>
          <w:i/>
          <w:iCs/>
          <w:sz w:val="20"/>
        </w:rPr>
      </w:pPr>
      <w:r>
        <w:rPr>
          <w:rFonts w:eastAsia="Calibri" w:cs="Calibri" w:ascii="Calibri" w:hAnsi="Calibri"/>
          <w:bCs/>
          <w:i/>
          <w:iCs/>
          <w:sz w:val="20"/>
        </w:rPr>
      </w:r>
    </w:p>
    <w:p>
      <w:pPr>
        <w:pStyle w:val="Normal"/>
        <w:rPr>
          <w:rFonts w:ascii="Calibri" w:hAnsi="Calibri" w:eastAsia="Calibri" w:cs="Calibri"/>
          <w:bCs/>
          <w:i/>
          <w:i/>
          <w:iCs/>
          <w:sz w:val="20"/>
        </w:rPr>
      </w:pPr>
      <w:r>
        <w:rPr>
          <w:rFonts w:eastAsia="Calibri" w:cs="Calibri" w:ascii="Calibri" w:hAnsi="Calibri"/>
          <w:bCs/>
          <w:i/>
          <w:iCs/>
          <w:sz w:val="20"/>
        </w:rPr>
      </w:r>
    </w:p>
    <w:p>
      <w:pPr>
        <w:pStyle w:val="Normal"/>
        <w:rPr>
          <w:rFonts w:ascii="Calibri" w:hAnsi="Calibri" w:eastAsia="Calibri" w:cs="Calibri"/>
          <w:bCs/>
          <w:i/>
          <w:i/>
          <w:iCs/>
          <w:sz w:val="20"/>
        </w:rPr>
      </w:pPr>
      <w:r>
        <w:rPr>
          <w:rFonts w:eastAsia="Calibri" w:cs="Calibri" w:ascii="Calibri" w:hAnsi="Calibri"/>
          <w:bCs/>
          <w:i/>
          <w:iCs/>
          <w:sz w:val="20"/>
        </w:rPr>
      </w:r>
    </w:p>
    <w:p>
      <w:pPr>
        <w:pStyle w:val="Normal"/>
        <w:rPr>
          <w:rFonts w:ascii="Calibri" w:hAnsi="Calibri" w:eastAsia="Calibri" w:cs="Calibri"/>
          <w:bCs/>
          <w:i/>
          <w:i/>
          <w:iCs/>
          <w:sz w:val="20"/>
        </w:rPr>
      </w:pPr>
      <w:r>
        <w:rPr>
          <w:rFonts w:eastAsia="Calibri" w:cs="Calibri" w:ascii="Calibri" w:hAnsi="Calibri"/>
          <w:bCs/>
          <w:i/>
          <w:iCs/>
          <w:sz w:val="20"/>
        </w:rPr>
      </w:r>
    </w:p>
    <w:p>
      <w:pPr>
        <w:pStyle w:val="Normal"/>
        <w:rPr>
          <w:rFonts w:ascii="Calibri" w:hAnsi="Calibri" w:eastAsia="Calibri" w:cs="Calibri"/>
          <w:bCs/>
          <w:i/>
          <w:i/>
          <w:iCs/>
          <w:sz w:val="20"/>
        </w:rPr>
      </w:pPr>
      <w:r>
        <w:rPr>
          <w:rFonts w:eastAsia="Calibri" w:cs="Calibri" w:ascii="Calibri" w:hAnsi="Calibri"/>
          <w:bCs/>
          <w:i/>
          <w:iCs/>
          <w:sz w:val="20"/>
        </w:rPr>
      </w:r>
    </w:p>
    <w:p>
      <w:pPr>
        <w:pStyle w:val="Normal"/>
        <w:rPr>
          <w:rFonts w:ascii="Calibri" w:hAnsi="Calibri" w:eastAsia="Calibri" w:cs="Calibri"/>
          <w:bCs/>
          <w:i/>
          <w:i/>
          <w:iCs/>
          <w:sz w:val="20"/>
        </w:rPr>
      </w:pPr>
      <w:r>
        <w:rPr>
          <w:rFonts w:eastAsia="Calibri" w:cs="Calibri" w:ascii="Calibri" w:hAnsi="Calibri"/>
          <w:bCs/>
          <w:i/>
          <w:iCs/>
          <w:sz w:val="20"/>
        </w:rPr>
      </w:r>
    </w:p>
    <w:p>
      <w:pPr>
        <w:pStyle w:val="Normal"/>
        <w:rPr>
          <w:rFonts w:ascii="Calibri" w:hAnsi="Calibri" w:eastAsia="Calibri" w:cs="Calibri"/>
          <w:bCs/>
          <w:i/>
          <w:i/>
          <w:iCs/>
          <w:sz w:val="20"/>
        </w:rPr>
      </w:pPr>
      <w:r>
        <w:rPr>
          <w:rFonts w:eastAsia="Calibri" w:cs="Calibri" w:ascii="Calibri" w:hAnsi="Calibri"/>
          <w:bCs/>
          <w:i/>
          <w:iCs/>
          <w:sz w:val="20"/>
        </w:rPr>
      </w:r>
    </w:p>
    <w:p>
      <w:pPr>
        <w:pStyle w:val="Normal"/>
        <w:rPr>
          <w:rFonts w:ascii="Calibri" w:hAnsi="Calibri" w:eastAsia="Calibri" w:cs="Calibri"/>
          <w:bCs/>
          <w:i/>
          <w:i/>
          <w:iCs/>
          <w:sz w:val="20"/>
        </w:rPr>
      </w:pPr>
      <w:r>
        <w:rPr>
          <w:rFonts w:eastAsia="Calibri" w:cs="Calibri" w:ascii="Calibri" w:hAnsi="Calibri"/>
          <w:bCs/>
          <w:i/>
          <w:iCs/>
          <w:sz w:val="20"/>
        </w:rPr>
      </w:r>
    </w:p>
    <w:p>
      <w:pPr>
        <w:pStyle w:val="Normal"/>
        <w:rPr>
          <w:rFonts w:ascii="Calibri" w:hAnsi="Calibri" w:eastAsia="Calibri" w:cs="Calibri"/>
          <w:bCs/>
          <w:i/>
          <w:i/>
          <w:iCs/>
          <w:sz w:val="20"/>
        </w:rPr>
      </w:pPr>
      <w:r>
        <w:rPr>
          <w:rFonts w:eastAsia="Calibri" w:cs="Calibri" w:ascii="Calibri" w:hAnsi="Calibri"/>
          <w:bCs/>
          <w:i/>
          <w:iCs/>
          <w:sz w:val="20"/>
        </w:rPr>
      </w:r>
    </w:p>
    <w:p>
      <w:pPr>
        <w:pStyle w:val="Normal"/>
        <w:rPr>
          <w:rFonts w:ascii="Calibri" w:hAnsi="Calibri" w:eastAsia="Calibri" w:cs="Calibri"/>
          <w:bCs/>
          <w:i/>
          <w:i/>
          <w:iCs/>
          <w:sz w:val="20"/>
        </w:rPr>
      </w:pPr>
      <w:r>
        <w:rPr>
          <w:rFonts w:eastAsia="Calibri" w:cs="Calibri" w:ascii="Calibri" w:hAnsi="Calibri"/>
          <w:bCs/>
          <w:i/>
          <w:iCs/>
          <w:sz w:val="20"/>
        </w:rPr>
      </w:r>
    </w:p>
    <w:p>
      <w:pPr>
        <w:pStyle w:val="Normal"/>
        <w:rPr>
          <w:rFonts w:ascii="Calibri" w:hAnsi="Calibri" w:eastAsia="Calibri" w:cs="Calibri"/>
          <w:bCs/>
          <w:i/>
          <w:i/>
          <w:iCs/>
          <w:sz w:val="20"/>
        </w:rPr>
      </w:pPr>
      <w:r>
        <w:rPr>
          <w:rFonts w:eastAsia="Calibri" w:cs="Calibri" w:ascii="Calibri" w:hAnsi="Calibri"/>
          <w:bCs/>
          <w:i/>
          <w:iCs/>
          <w:sz w:val="20"/>
        </w:rPr>
      </w:r>
    </w:p>
    <w:p>
      <w:pPr>
        <w:pStyle w:val="Normal"/>
        <w:rPr>
          <w:rFonts w:ascii="Calibri" w:hAnsi="Calibri" w:eastAsia="Calibri" w:cs="Calibri"/>
          <w:bCs/>
          <w:i/>
          <w:i/>
          <w:iCs/>
          <w:sz w:val="20"/>
        </w:rPr>
      </w:pPr>
      <w:r>
        <w:rPr>
          <w:rFonts w:eastAsia="Calibri" w:cs="Calibri" w:ascii="Calibri" w:hAnsi="Calibri"/>
          <w:bCs/>
          <w:i/>
          <w:iCs/>
          <w:sz w:val="20"/>
        </w:rPr>
      </w:r>
    </w:p>
    <w:p>
      <w:pPr>
        <w:pStyle w:val="Normal"/>
        <w:rPr>
          <w:rFonts w:ascii="Calibri" w:hAnsi="Calibri" w:eastAsia="Calibri" w:cs="Calibri"/>
          <w:bCs/>
          <w:i/>
          <w:i/>
          <w:iCs/>
          <w:sz w:val="20"/>
        </w:rPr>
      </w:pPr>
      <w:r>
        <w:rPr>
          <w:rFonts w:eastAsia="Calibri" w:cs="Calibri" w:ascii="Calibri" w:hAnsi="Calibri"/>
          <w:bCs/>
          <w:i/>
          <w:iCs/>
          <w:sz w:val="20"/>
        </w:rPr>
      </w:r>
    </w:p>
    <w:p>
      <w:pPr>
        <w:pStyle w:val="Normal"/>
        <w:rPr>
          <w:rFonts w:ascii="Calibri" w:hAnsi="Calibri" w:eastAsia="Calibri" w:cs="Calibri"/>
          <w:bCs/>
          <w:i/>
          <w:i/>
          <w:iCs/>
          <w:sz w:val="20"/>
        </w:rPr>
      </w:pPr>
      <w:r>
        <w:rPr>
          <w:rFonts w:eastAsia="Calibri" w:cs="Calibri" w:ascii="Calibri" w:hAnsi="Calibri"/>
          <w:bCs/>
          <w:i/>
          <w:iCs/>
          <w:sz w:val="20"/>
        </w:rPr>
      </w:r>
    </w:p>
    <w:p>
      <w:pPr>
        <w:pStyle w:val="Normal"/>
        <w:rPr>
          <w:rFonts w:ascii="Calibri" w:hAnsi="Calibri" w:eastAsia="Calibri" w:cs="Calibri"/>
          <w:bCs/>
          <w:i/>
          <w:i/>
          <w:iCs/>
          <w:sz w:val="20"/>
        </w:rPr>
      </w:pPr>
      <w:r>
        <w:rPr>
          <w:rFonts w:eastAsia="Calibri" w:cs="Calibri" w:ascii="Calibri" w:hAnsi="Calibri"/>
          <w:bCs/>
          <w:i/>
          <w:iCs/>
          <w:sz w:val="20"/>
        </w:rPr>
      </w:r>
    </w:p>
    <w:p>
      <w:pPr>
        <w:pStyle w:val="Normal"/>
        <w:rPr>
          <w:rFonts w:ascii="Calibri" w:hAnsi="Calibri" w:eastAsia="Calibri" w:cs="Calibri"/>
          <w:bCs/>
          <w:i/>
          <w:i/>
          <w:iCs/>
          <w:sz w:val="20"/>
        </w:rPr>
      </w:pPr>
      <w:r>
        <w:rPr>
          <w:rFonts w:eastAsia="Calibri" w:cs="Calibri" w:ascii="Calibri" w:hAnsi="Calibri"/>
          <w:bCs/>
          <w:i/>
          <w:iCs/>
          <w:sz w:val="20"/>
        </w:rPr>
      </w:r>
    </w:p>
    <w:p>
      <w:pPr>
        <w:pStyle w:val="Normal"/>
        <w:rPr>
          <w:rFonts w:ascii="Calibri" w:hAnsi="Calibri" w:eastAsia="Calibri" w:cs="Calibri"/>
          <w:bCs/>
          <w:i/>
          <w:i/>
          <w:iCs/>
          <w:sz w:val="20"/>
        </w:rPr>
      </w:pPr>
      <w:r>
        <w:rPr>
          <w:rFonts w:eastAsia="Calibri" w:cs="Calibri" w:ascii="Calibri" w:hAnsi="Calibri"/>
          <w:bCs/>
          <w:i/>
          <w:iCs/>
          <w:sz w:val="20"/>
        </w:rPr>
      </w:r>
    </w:p>
    <w:p>
      <w:pPr>
        <w:pStyle w:val="Normal"/>
        <w:rPr>
          <w:rFonts w:ascii="Calibri" w:hAnsi="Calibri" w:eastAsia="Calibri" w:cs="Calibri"/>
          <w:bCs/>
          <w:i/>
          <w:i/>
          <w:iCs/>
          <w:sz w:val="20"/>
        </w:rPr>
      </w:pPr>
      <w:r>
        <w:rPr>
          <w:rFonts w:eastAsia="Calibri" w:cs="Calibri" w:ascii="Calibri" w:hAnsi="Calibri"/>
          <w:bCs/>
          <w:i/>
          <w:iCs/>
          <w:sz w:val="20"/>
        </w:rPr>
      </w:r>
    </w:p>
    <w:p>
      <w:pPr>
        <w:pStyle w:val="Normal"/>
        <w:rPr>
          <w:rFonts w:ascii="Calibri" w:hAnsi="Calibri" w:eastAsia="Calibri" w:cs="Calibri"/>
          <w:bCs/>
          <w:i/>
          <w:i/>
          <w:iCs/>
          <w:sz w:val="20"/>
        </w:rPr>
      </w:pPr>
      <w:r>
        <w:rPr>
          <w:rFonts w:eastAsia="Calibri" w:cs="Calibri" w:ascii="Calibri" w:hAnsi="Calibri"/>
          <w:bCs/>
          <w:i/>
          <w:iCs/>
          <w:sz w:val="20"/>
        </w:rPr>
      </w:r>
    </w:p>
    <w:p>
      <w:pPr>
        <w:pStyle w:val="Normal"/>
        <w:rPr>
          <w:rFonts w:ascii="Calibri" w:hAnsi="Calibri" w:eastAsia="Calibri" w:cs="Calibri"/>
          <w:bCs/>
          <w:i/>
          <w:i/>
          <w:iCs/>
          <w:sz w:val="20"/>
        </w:rPr>
      </w:pPr>
      <w:r>
        <w:rPr>
          <w:rFonts w:eastAsia="Calibri" w:cs="Calibri" w:ascii="Calibri" w:hAnsi="Calibri"/>
          <w:bCs/>
          <w:i/>
          <w:iCs/>
          <w:sz w:val="20"/>
        </w:rPr>
      </w:r>
    </w:p>
    <w:p>
      <w:pPr>
        <w:pStyle w:val="Normal"/>
        <w:rPr>
          <w:rFonts w:ascii="Calibri" w:hAnsi="Calibri" w:eastAsia="Calibri" w:cs="Calibri"/>
          <w:bCs/>
          <w:i/>
          <w:i/>
          <w:iCs/>
          <w:sz w:val="20"/>
        </w:rPr>
      </w:pPr>
      <w:r>
        <w:rPr>
          <w:rFonts w:eastAsia="Calibri" w:cs="Calibri" w:ascii="Calibri" w:hAnsi="Calibri"/>
          <w:bCs/>
          <w:i/>
          <w:iCs/>
          <w:sz w:val="20"/>
        </w:rPr>
      </w:r>
    </w:p>
    <w:p>
      <w:pPr>
        <w:pStyle w:val="Normal"/>
        <w:rPr>
          <w:rFonts w:ascii="Calibri" w:hAnsi="Calibri" w:eastAsia="Calibri" w:cs="Calibri"/>
          <w:bCs/>
          <w:i/>
          <w:i/>
          <w:iCs/>
          <w:sz w:val="20"/>
        </w:rPr>
      </w:pPr>
      <w:r>
        <w:rPr>
          <w:rFonts w:eastAsia="Calibri" w:cs="Calibri" w:ascii="Calibri" w:hAnsi="Calibri"/>
          <w:bCs/>
          <w:i/>
          <w:iCs/>
          <w:sz w:val="20"/>
        </w:rPr>
      </w:r>
    </w:p>
    <w:p>
      <w:pPr>
        <w:pStyle w:val="Normal"/>
        <w:rPr>
          <w:rFonts w:ascii="Calibri" w:hAnsi="Calibri" w:eastAsia="Calibri" w:cs="Calibri"/>
          <w:bCs/>
          <w:i/>
          <w:i/>
          <w:iCs/>
          <w:sz w:val="20"/>
        </w:rPr>
      </w:pPr>
      <w:r>
        <w:rPr>
          <w:rFonts w:eastAsia="Calibri" w:cs="Calibri" w:ascii="Calibri" w:hAnsi="Calibri"/>
          <w:bCs/>
          <w:i/>
          <w:iCs/>
          <w:sz w:val="20"/>
        </w:rPr>
      </w:r>
    </w:p>
    <w:p>
      <w:pPr>
        <w:pStyle w:val="Normal"/>
        <w:rPr>
          <w:rFonts w:ascii="Calibri" w:hAnsi="Calibri" w:eastAsia="Calibri" w:cs="Calibri"/>
          <w:bCs/>
          <w:i/>
          <w:i/>
          <w:iCs/>
          <w:sz w:val="20"/>
        </w:rPr>
      </w:pPr>
      <w:r>
        <w:rPr>
          <w:rFonts w:eastAsia="Calibri" w:cs="Calibri" w:ascii="Calibri" w:hAnsi="Calibri"/>
          <w:bCs/>
          <w:i/>
          <w:iCs/>
          <w:sz w:val="20"/>
        </w:rPr>
      </w:r>
    </w:p>
    <w:p>
      <w:pPr>
        <w:pStyle w:val="Normal"/>
        <w:rPr>
          <w:rFonts w:ascii="Calibri" w:hAnsi="Calibri" w:eastAsia="Calibri" w:cs="Calibri"/>
          <w:bCs/>
          <w:i/>
          <w:i/>
          <w:iCs/>
          <w:sz w:val="20"/>
        </w:rPr>
      </w:pPr>
      <w:r>
        <w:rPr>
          <w:rFonts w:eastAsia="Calibri" w:cs="Calibri" w:ascii="Calibri" w:hAnsi="Calibri"/>
          <w:bCs/>
          <w:i/>
          <w:iCs/>
          <w:sz w:val="20"/>
        </w:rPr>
      </w:r>
    </w:p>
    <w:p>
      <w:pPr>
        <w:pStyle w:val="Normal"/>
        <w:rPr>
          <w:rFonts w:ascii="Calibri" w:hAnsi="Calibri" w:eastAsia="Calibri" w:cs="Calibri"/>
          <w:bCs/>
          <w:i/>
          <w:i/>
          <w:iCs/>
          <w:sz w:val="20"/>
        </w:rPr>
      </w:pPr>
      <w:r>
        <w:rPr>
          <w:rFonts w:eastAsia="Calibri" w:cs="Calibri" w:ascii="Calibri" w:hAnsi="Calibri"/>
          <w:bCs/>
          <w:i/>
          <w:iCs/>
          <w:sz w:val="20"/>
        </w:rPr>
      </w:r>
    </w:p>
    <w:p>
      <w:pPr>
        <w:pStyle w:val="Normal"/>
        <w:rPr>
          <w:rFonts w:ascii="Calibri" w:hAnsi="Calibri" w:eastAsia="Calibri" w:cs="Calibri"/>
          <w:bCs/>
          <w:i/>
          <w:i/>
          <w:iCs/>
          <w:sz w:val="20"/>
        </w:rPr>
      </w:pPr>
      <w:r>
        <w:rPr>
          <w:rFonts w:eastAsia="Calibri" w:cs="Calibri" w:ascii="Calibri" w:hAnsi="Calibri"/>
          <w:bCs/>
          <w:i/>
          <w:iCs/>
          <w:sz w:val="20"/>
        </w:rPr>
      </w:r>
    </w:p>
    <w:p>
      <w:pPr>
        <w:pStyle w:val="Normal"/>
        <w:rPr>
          <w:rFonts w:ascii="Calibri" w:hAnsi="Calibri" w:eastAsia="Calibri" w:cs="Calibri"/>
          <w:bCs/>
          <w:i/>
          <w:i/>
          <w:iCs/>
          <w:sz w:val="20"/>
        </w:rPr>
      </w:pPr>
      <w:r>
        <w:rPr>
          <w:rFonts w:eastAsia="Calibri" w:cs="Calibri" w:ascii="Calibri" w:hAnsi="Calibri"/>
          <w:bCs/>
          <w:i/>
          <w:iCs/>
          <w:sz w:val="20"/>
        </w:rPr>
      </w:r>
    </w:p>
    <w:p>
      <w:pPr>
        <w:pStyle w:val="Normal"/>
        <w:rPr>
          <w:rFonts w:ascii="Calibri" w:hAnsi="Calibri" w:eastAsia="Calibri" w:cs="Calibri"/>
          <w:bCs/>
          <w:i/>
          <w:i/>
          <w:iCs/>
          <w:sz w:val="20"/>
        </w:rPr>
      </w:pPr>
      <w:r>
        <w:rPr>
          <w:rFonts w:eastAsia="Calibri" w:cs="Calibri" w:ascii="Calibri" w:hAnsi="Calibri"/>
          <w:bCs/>
          <w:i/>
          <w:iCs/>
          <w:sz w:val="20"/>
        </w:rPr>
      </w:r>
    </w:p>
    <w:p>
      <w:pPr>
        <w:pStyle w:val="Normal"/>
        <w:rPr>
          <w:rFonts w:ascii="Calibri" w:hAnsi="Calibri" w:eastAsia="Calibri" w:cs="Calibri"/>
          <w:bCs/>
          <w:i/>
          <w:i/>
          <w:iCs/>
          <w:sz w:val="20"/>
        </w:rPr>
      </w:pPr>
      <w:r>
        <w:rPr>
          <w:rFonts w:eastAsia="Calibri" w:cs="Calibri" w:ascii="Calibri" w:hAnsi="Calibri"/>
          <w:bCs/>
          <w:i/>
          <w:iCs/>
          <w:sz w:val="20"/>
        </w:rPr>
      </w:r>
    </w:p>
    <w:p>
      <w:pPr>
        <w:pStyle w:val="Normal"/>
        <w:rPr>
          <w:rFonts w:ascii="Calibri" w:hAnsi="Calibri" w:eastAsia="Calibri" w:cs="Calibri"/>
          <w:bCs/>
          <w:i/>
          <w:i/>
          <w:iCs/>
          <w:sz w:val="20"/>
        </w:rPr>
      </w:pPr>
      <w:r>
        <w:rPr>
          <w:rFonts w:eastAsia="Calibri" w:cs="Calibri" w:ascii="Calibri" w:hAnsi="Calibri"/>
          <w:bCs/>
          <w:i/>
          <w:iCs/>
          <w:sz w:val="20"/>
        </w:rPr>
      </w:r>
    </w:p>
    <w:p>
      <w:pPr>
        <w:pStyle w:val="Normal"/>
        <w:rPr>
          <w:rFonts w:ascii="Calibri" w:hAnsi="Calibri" w:eastAsia="Calibri" w:cs="Calibri"/>
          <w:bCs/>
          <w:i/>
          <w:i/>
          <w:iCs/>
          <w:sz w:val="20"/>
        </w:rPr>
      </w:pPr>
      <w:r>
        <w:rPr>
          <w:rFonts w:eastAsia="Calibri" w:cs="Calibri" w:ascii="Calibri" w:hAnsi="Calibri"/>
          <w:bCs/>
          <w:i/>
          <w:iCs/>
          <w:sz w:val="20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Heading1"/>
        <w:numPr>
          <w:ilvl w:val="0"/>
          <w:numId w:val="3"/>
        </w:numPr>
        <w:rPr/>
      </w:pPr>
      <w:bookmarkStart w:id="0" w:name="_Toc51339692"/>
      <w:bookmarkStart w:id="1" w:name="_Toc54646395"/>
      <w:r>
        <w:rPr/>
        <w:t>Общие сведения</w:t>
      </w:r>
      <w:bookmarkEnd w:id="0"/>
      <w:bookmarkEnd w:id="1"/>
    </w:p>
    <w:p>
      <w:pPr>
        <w:pStyle w:val="Heading4"/>
        <w:numPr>
          <w:ilvl w:val="1"/>
          <w:numId w:val="3"/>
        </w:numPr>
        <w:rPr/>
      </w:pPr>
      <w:bookmarkStart w:id="2" w:name="_Toc54646396"/>
      <w:bookmarkStart w:id="3" w:name="_Toc46743505"/>
      <w:r>
        <w:rPr/>
        <w:t>Обозначения и сокращения</w:t>
      </w:r>
      <w:bookmarkEnd w:id="2"/>
      <w:bookmarkEnd w:id="3"/>
    </w:p>
    <w:tbl>
      <w:tblPr>
        <w:tblW w:w="9783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785"/>
        <w:gridCol w:w="7997"/>
      </w:tblGrid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  <w:t>ТС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Транспортное средство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  <w:t>РФ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Российская Федерация</w:t>
            </w:r>
          </w:p>
        </w:tc>
      </w:tr>
    </w:tbl>
    <w:p>
      <w:pPr>
        <w:pStyle w:val="Normal"/>
        <w:keepNext w:val="true"/>
        <w:keepLines/>
        <w:jc w:val="both"/>
        <w:rPr/>
      </w:pPr>
      <w:r>
        <w:rPr/>
      </w:r>
    </w:p>
    <w:p>
      <w:pPr>
        <w:pStyle w:val="Heading4"/>
        <w:tabs>
          <w:tab w:val="clear" w:pos="0"/>
        </w:tabs>
        <w:spacing w:before="0" w:after="0"/>
        <w:ind w:left="432" w:hanging="432"/>
        <w:rPr/>
      </w:pPr>
      <w:bookmarkStart w:id="4" w:name="_Toc54646397"/>
      <w:bookmarkStart w:id="5" w:name="_Toc46743506"/>
      <w:r>
        <w:rPr>
          <w:lang w:val="ru-RU"/>
        </w:rPr>
        <w:t xml:space="preserve">1.2 </w:t>
      </w:r>
      <w:r>
        <w:rPr/>
        <w:t>Наименование закупаемой продукции</w:t>
      </w:r>
      <w:bookmarkEnd w:id="4"/>
      <w:bookmarkEnd w:id="5"/>
    </w:p>
    <w:p>
      <w:pPr>
        <w:pStyle w:val="Normal"/>
        <w:widowControl w:val="false"/>
        <w:tabs>
          <w:tab w:val="clear" w:pos="708"/>
          <w:tab w:val="left" w:pos="426" w:leader="none"/>
        </w:tabs>
        <w:jc w:val="both"/>
        <w:rPr>
          <w:rStyle w:val="Style8"/>
          <w:rFonts w:eastAsia="Calibri"/>
          <w:b w:val="false"/>
          <w:i w:val="false"/>
          <w:i w:val="false"/>
          <w:lang w:eastAsia="x-none"/>
        </w:rPr>
      </w:pPr>
      <w:r>
        <w:rPr>
          <w:rStyle w:val="Style8"/>
          <w:rFonts w:eastAsia="Calibri"/>
          <w:b w:val="false"/>
          <w:i w:val="false"/>
          <w:color w:val="000000"/>
          <w:sz w:val="26"/>
          <w:szCs w:val="26"/>
          <w:shd w:fill="auto" w:val="clear"/>
        </w:rPr>
        <w:t>ОКПД 2:</w:t>
      </w:r>
      <w:r>
        <w:rPr>
          <w:rStyle w:val="Style8"/>
          <w:rFonts w:eastAsia="Calibri" w:cs="Times New Roman"/>
          <w:b w:val="false"/>
          <w:i w:val="false"/>
          <w:color w:val="000000"/>
          <w:kern w:val="0"/>
          <w:sz w:val="26"/>
          <w:szCs w:val="26"/>
          <w:shd w:fill="auto" w:val="clear"/>
          <w:lang w:val="ru-RU" w:eastAsia="ru-RU" w:bidi="ar-SA"/>
        </w:rPr>
        <w:t xml:space="preserve">  ОКПД 2: 29.32.30.163 Оказание услуг по замене блоков СКЗИ на тахографах, и обслуживанию тахографов для нужд Дальневосточного филиала АО «ТК РусГидро»  </w:t>
      </w:r>
      <w:r>
        <w:rPr>
          <w:rStyle w:val="Style8"/>
          <w:rFonts w:eastAsia="Calibri"/>
          <w:b w:val="false"/>
          <w:i w:val="false"/>
          <w:color w:val="000000"/>
          <w:sz w:val="26"/>
          <w:szCs w:val="26"/>
          <w:shd w:fill="auto" w:val="clear"/>
        </w:rPr>
        <w:t xml:space="preserve">       </w:t>
      </w:r>
      <w:r>
        <w:rPr>
          <w:rFonts w:eastAsia="Calibri"/>
          <w:lang w:eastAsia="x-none"/>
        </w:rPr>
        <w:br/>
      </w:r>
    </w:p>
    <w:p>
      <w:pPr>
        <w:pStyle w:val="Heading4"/>
        <w:tabs>
          <w:tab w:val="clear" w:pos="0"/>
        </w:tabs>
        <w:spacing w:before="0" w:after="0"/>
        <w:ind w:left="432" w:hanging="432"/>
        <w:rPr/>
      </w:pPr>
      <w:bookmarkStart w:id="6" w:name="_Toc54646398"/>
      <w:bookmarkStart w:id="7" w:name="_Toc46743507"/>
      <w:r>
        <w:rPr>
          <w:lang w:val="ru-RU"/>
        </w:rPr>
        <w:t xml:space="preserve">1.3 </w:t>
      </w:r>
      <w:r>
        <w:rPr/>
        <w:t xml:space="preserve">Цель </w:t>
      </w:r>
      <w:bookmarkEnd w:id="7"/>
      <w:r>
        <w:rPr/>
        <w:t xml:space="preserve">оказания услуг </w:t>
      </w:r>
      <w:bookmarkEnd w:id="6"/>
    </w:p>
    <w:p>
      <w:pPr>
        <w:pStyle w:val="Normal"/>
        <w:jc w:val="both"/>
        <w:rPr>
          <w:rStyle w:val="Style8"/>
          <w:rFonts w:eastAsia="Calibri"/>
          <w:b w:val="false"/>
          <w:i w:val="false"/>
          <w:i w:val="false"/>
          <w:color w:val="000000"/>
          <w:sz w:val="26"/>
          <w:szCs w:val="26"/>
          <w:shd w:fill="auto" w:val="clear"/>
        </w:rPr>
      </w:pPr>
      <w:r>
        <w:rPr>
          <w:rStyle w:val="Style8"/>
          <w:rFonts w:eastAsia="Calibri"/>
          <w:b w:val="false"/>
          <w:i w:val="false"/>
          <w:color w:val="000000"/>
          <w:sz w:val="26"/>
          <w:szCs w:val="26"/>
          <w:shd w:fill="auto" w:val="clear"/>
        </w:rPr>
        <w:t xml:space="preserve"> </w:t>
      </w:r>
      <w:r>
        <w:rPr>
          <w:rStyle w:val="Style8"/>
          <w:rFonts w:eastAsia="Calibri"/>
          <w:b w:val="false"/>
          <w:i w:val="false"/>
          <w:color w:val="000000"/>
          <w:sz w:val="26"/>
          <w:szCs w:val="26"/>
          <w:shd w:fill="auto" w:val="clear"/>
        </w:rPr>
        <w:t xml:space="preserve">Во исполнение требований Приказа Министерства транспорта РФ от 28 октября 2020 г. № 440 “Об утверждении требований к тахографам, устанавливаемым на транспортные средства, категорий и видов транспортных средств, оснащаемых тахографами, правил использования, обслуживания и контроля работы тахографов, установленных на транспортные средства”, в </w:t>
      </w:r>
      <w:r>
        <w:rPr>
          <w:rStyle w:val="Style8"/>
          <w:rFonts w:eastAsia="Calibri" w:cs="Times New Roman"/>
          <w:b w:val="false"/>
          <w:i w:val="false"/>
          <w:color w:val="000000"/>
          <w:kern w:val="0"/>
          <w:sz w:val="26"/>
          <w:szCs w:val="26"/>
          <w:shd w:fill="auto" w:val="clear"/>
          <w:lang w:val="ru-RU" w:eastAsia="ru-RU" w:bidi="ar-SA"/>
        </w:rPr>
        <w:t>Дальневосточном филиале АО «ТК РусГидро» необходимо провести периодическую замену</w:t>
      </w:r>
      <w:r>
        <w:rPr>
          <w:rStyle w:val="Style8"/>
          <w:rFonts w:eastAsia="Calibri"/>
          <w:b w:val="false"/>
          <w:i w:val="false"/>
          <w:color w:val="000000"/>
          <w:sz w:val="26"/>
          <w:szCs w:val="26"/>
          <w:shd w:fill="auto" w:val="clear"/>
        </w:rPr>
        <w:t xml:space="preserve"> блоков СКЗИ и обслуживание тахографов.</w:t>
      </w:r>
    </w:p>
    <w:p>
      <w:pPr>
        <w:pStyle w:val="Normal"/>
        <w:jc w:val="both"/>
        <w:rPr/>
      </w:pPr>
      <w:r>
        <w:rPr/>
      </w:r>
    </w:p>
    <w:p>
      <w:pPr>
        <w:pStyle w:val="Heading4"/>
        <w:numPr>
          <w:ilvl w:val="1"/>
          <w:numId w:val="13"/>
        </w:numPr>
        <w:spacing w:before="0" w:after="60"/>
        <w:jc w:val="left"/>
        <w:rPr/>
      </w:pPr>
      <w:bookmarkStart w:id="8" w:name="_Toc46743508"/>
      <w:bookmarkStart w:id="9" w:name="_Toc54643698"/>
      <w:r>
        <w:rPr/>
        <w:t>Существующее положение</w:t>
      </w:r>
      <w:bookmarkEnd w:id="8"/>
      <w:bookmarkEnd w:id="9"/>
    </w:p>
    <w:p>
      <w:pPr>
        <w:pStyle w:val="Normal"/>
        <w:jc w:val="both"/>
        <w:rPr>
          <w:rStyle w:val="Style8"/>
          <w:rFonts w:eastAsia="Calibri"/>
          <w:b w:val="false"/>
          <w:i w:val="false"/>
          <w:i w:val="false"/>
          <w:color w:val="000000"/>
          <w:sz w:val="26"/>
          <w:szCs w:val="26"/>
          <w:shd w:fill="auto" w:val="clear"/>
        </w:rPr>
      </w:pPr>
      <w:r>
        <w:rPr>
          <w:rStyle w:val="Style8"/>
          <w:rFonts w:eastAsia="Calibri"/>
          <w:b w:val="false"/>
          <w:i w:val="false"/>
          <w:color w:val="000000"/>
          <w:sz w:val="26"/>
          <w:szCs w:val="26"/>
          <w:shd w:fill="auto" w:val="clear"/>
        </w:rPr>
        <w:t>Эксплуатация транспортных средств осуществляется в рамках исполнения обязательств по доходным договорам.</w:t>
      </w:r>
    </w:p>
    <w:p>
      <w:pPr>
        <w:pStyle w:val="Normal"/>
        <w:jc w:val="both"/>
        <w:rPr>
          <w:rStyle w:val="Style8"/>
          <w:rFonts w:eastAsia="Calibri"/>
          <w:color w:val="000000"/>
          <w:sz w:val="26"/>
          <w:szCs w:val="26"/>
          <w:shd w:fill="auto" w:val="clear"/>
        </w:rPr>
      </w:pPr>
      <w:r>
        <w:rPr>
          <w:rStyle w:val="Style8"/>
          <w:rFonts w:eastAsia="Calibri"/>
          <w:b w:val="false"/>
          <w:i w:val="false"/>
          <w:color w:val="000000"/>
          <w:sz w:val="26"/>
          <w:szCs w:val="26"/>
          <w:shd w:fill="auto" w:val="clear"/>
        </w:rPr>
        <w:t>Услуги по замене блоков СКЗИ оказываются в отношении транспортных средств указанных в перечне (Таблица 1 Перечень объектов заказчика).</w:t>
      </w:r>
    </w:p>
    <w:p>
      <w:pPr>
        <w:pStyle w:val="Normal"/>
        <w:jc w:val="both"/>
        <w:rPr/>
      </w:pPr>
      <w:r>
        <w:rPr/>
      </w:r>
    </w:p>
    <w:p>
      <w:pPr>
        <w:pStyle w:val="Heading1"/>
        <w:keepLines/>
        <w:tabs>
          <w:tab w:val="clear" w:pos="0"/>
        </w:tabs>
        <w:spacing w:before="0" w:after="60"/>
        <w:ind w:left="0" w:hanging="0"/>
        <w:rPr>
          <w:rStyle w:val="Style8"/>
          <w:b/>
          <w:i w:val="false"/>
          <w:i w:val="false"/>
          <w:sz w:val="24"/>
          <w:szCs w:val="24"/>
        </w:rPr>
      </w:pPr>
      <w:bookmarkStart w:id="10" w:name="_Toc54646400"/>
      <w:r>
        <w:rPr>
          <w:sz w:val="24"/>
          <w:szCs w:val="24"/>
        </w:rPr>
        <w:t>Таблица 1. Перечень объектов заказчика</w:t>
      </w:r>
      <w:bookmarkEnd w:id="10"/>
    </w:p>
    <w:tbl>
      <w:tblPr>
        <w:tblW w:w="9917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565"/>
        <w:gridCol w:w="2037"/>
        <w:gridCol w:w="1729"/>
        <w:gridCol w:w="2513"/>
        <w:gridCol w:w="3073"/>
      </w:tblGrid>
      <w:tr>
        <w:trPr/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</w:t>
            </w:r>
          </w:p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п/п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объекта</w:t>
            </w:r>
          </w:p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Расположение объекта </w:t>
              <w:br/>
            </w:r>
            <w:r>
              <w:rPr>
                <w:i/>
                <w:iCs/>
                <w:sz w:val="20"/>
                <w:szCs w:val="20"/>
              </w:rPr>
              <w:t>(место оказания услуг)</w:t>
            </w:r>
          </w:p>
        </w:tc>
        <w:tc>
          <w:tcPr>
            <w:tcW w:w="2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i/>
                <w:i/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Наименование основного средства </w:t>
            </w:r>
            <w:r>
              <w:rPr>
                <w:i/>
                <w:iCs/>
                <w:sz w:val="20"/>
                <w:szCs w:val="20"/>
              </w:rPr>
              <w:br/>
              <w:t>(в отношении которого оказываются услуги)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Примечания</w:t>
            </w:r>
          </w:p>
        </w:tc>
      </w:tr>
      <w:tr>
        <w:trPr/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2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>
        <w:trPr>
          <w:trHeight w:val="3867" w:hRule="atLeast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jc w:val="both"/>
              <w:rPr/>
            </w:pPr>
            <w:r>
              <w:rPr>
                <w:rStyle w:val="Style8"/>
                <w:rFonts w:eastAsia="Calibri"/>
                <w:b w:val="false"/>
                <w:i w:val="false"/>
                <w:color w:val="000000"/>
                <w:sz w:val="18"/>
                <w:szCs w:val="26"/>
                <w:shd w:fill="auto" w:val="clear"/>
              </w:rPr>
              <w:t>ОКПД 2: 29.32.30.163 Оказание услуг по замене блоков СКЗИ на тахографах, и обслуживанию тахографов для нужд Дальневосточного филиала АО «ТК РусГидро»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1980" w:leader="none"/>
              </w:tabs>
              <w:jc w:val="center"/>
              <w:rPr>
                <w:sz w:val="20"/>
                <w:szCs w:val="20"/>
                <w:highlight w:val="none"/>
                <w:shd w:fill="auto" w:val="clear"/>
              </w:rPr>
            </w:pPr>
            <w:r>
              <w:rPr>
                <w:sz w:val="20"/>
                <w:szCs w:val="20"/>
                <w:shd w:fill="auto" w:val="clear"/>
              </w:rPr>
              <w:t>р. Саха (Якутия) г. Нерюнгри,                 г. Якутск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1980" w:leader="none"/>
              </w:tabs>
              <w:jc w:val="center"/>
              <w:rPr>
                <w:sz w:val="20"/>
                <w:szCs w:val="20"/>
                <w:highlight w:val="none"/>
                <w:shd w:fill="auto" w:val="clear"/>
              </w:rPr>
            </w:pPr>
            <w:r>
              <w:rPr>
                <w:sz w:val="20"/>
                <w:szCs w:val="20"/>
                <w:shd w:fill="auto" w:val="clear"/>
              </w:rPr>
              <w:t>Магаданская обл. г. Магадан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1980" w:leader="none"/>
              </w:tabs>
              <w:jc w:val="center"/>
              <w:rPr>
                <w:rFonts w:ascii="Times New Roman" w:hAnsi="Times New Roman" w:eastAsia="Calibri" w:cs="Times New Roman"/>
                <w:color w:val="auto"/>
                <w:kern w:val="0"/>
                <w:sz w:val="20"/>
                <w:szCs w:val="20"/>
                <w:shd w:fill="auto" w:val="clear"/>
                <w:lang w:val="ru-RU" w:eastAsia="x-none" w:bidi="ar-SA"/>
              </w:rPr>
            </w:pPr>
            <w:r>
              <w:rPr>
                <w:rFonts w:eastAsia="Calibri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x-none" w:bidi="ar-SA"/>
              </w:rPr>
              <w:t xml:space="preserve">Приморский край,                           </w:t>
            </w:r>
            <w:r>
              <w:rPr>
                <w:rFonts w:eastAsia="Calibri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x-none" w:bidi="ar-SA"/>
              </w:rPr>
              <w:t xml:space="preserve">г. Владивосток,            </w:t>
            </w:r>
            <w:r>
              <w:rPr>
                <w:rFonts w:eastAsia="Calibri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x-none" w:bidi="ar-SA"/>
              </w:rPr>
              <w:t>г. Партизанск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1980" w:leader="none"/>
              </w:tabs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Calibri"/>
                <w:sz w:val="20"/>
                <w:szCs w:val="20"/>
                <w:shd w:fill="auto" w:val="clear"/>
                <w:lang w:eastAsia="x-none"/>
              </w:rPr>
              <w:t>Амурская область, г. Зея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1980" w:leader="none"/>
              </w:tabs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Calibri"/>
                <w:bCs/>
                <w:sz w:val="20"/>
                <w:szCs w:val="20"/>
                <w:shd w:fill="auto" w:val="clear"/>
                <w:lang w:eastAsia="x-none"/>
              </w:rPr>
              <w:t xml:space="preserve">Хабаровский край, г. Хабаровск 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1980" w:leader="none"/>
              </w:tabs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Calibri"/>
                <w:bCs/>
                <w:sz w:val="20"/>
                <w:szCs w:val="20"/>
                <w:shd w:fill="auto" w:val="clear"/>
                <w:lang w:eastAsia="x-none"/>
              </w:rPr>
              <w:t>Сахалинская обл.  г. Ю-Сахалинск</w:t>
            </w:r>
          </w:p>
        </w:tc>
        <w:tc>
          <w:tcPr>
            <w:tcW w:w="2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bCs/>
                <w:sz w:val="24"/>
                <w:shd w:fill="auto" w:val="clear"/>
              </w:rPr>
              <w:t>Грузовые ТС разрешенной массой свыше 3,5 тонн, N2,N3 и автобусы М2, М3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</w:rPr>
            </w:pPr>
            <w:r>
              <w:rPr>
                <w:bCs/>
                <w:sz w:val="24"/>
              </w:rPr>
              <w:t xml:space="preserve"> </w:t>
            </w:r>
            <w:r>
              <w:rPr>
                <w:bCs/>
                <w:sz w:val="24"/>
              </w:rPr>
              <w:t xml:space="preserve">замена блока СКЗИ </w:t>
            </w:r>
          </w:p>
          <w:p>
            <w:pPr>
              <w:pStyle w:val="Normal"/>
              <w:widowControl w:val="false"/>
              <w:jc w:val="center"/>
              <w:rPr>
                <w:sz w:val="24"/>
              </w:rPr>
            </w:pPr>
            <w:r>
              <w:rPr>
                <w:bCs/>
                <w:sz w:val="24"/>
              </w:rPr>
              <w:t xml:space="preserve">Замена </w:t>
            </w:r>
            <w:r>
              <w:rPr>
                <w:bCs/>
                <w:sz w:val="24"/>
              </w:rPr>
              <w:t>тахографа</w:t>
            </w:r>
          </w:p>
          <w:p>
            <w:pPr>
              <w:pStyle w:val="Normal"/>
              <w:widowControl w:val="false"/>
              <w:jc w:val="center"/>
              <w:rPr>
                <w:sz w:val="24"/>
              </w:rPr>
            </w:pPr>
            <w:r>
              <w:rPr>
                <w:bCs/>
                <w:sz w:val="24"/>
              </w:rPr>
              <w:t>Прочие работы, регламентированные при эксплуатации тахографов</w:t>
            </w:r>
          </w:p>
        </w:tc>
      </w:tr>
    </w:tbl>
    <w:p>
      <w:pPr>
        <w:pStyle w:val="Heading4"/>
        <w:tabs>
          <w:tab w:val="clear" w:pos="0"/>
        </w:tabs>
        <w:ind w:left="0" w:hanging="0"/>
        <w:rPr>
          <w:b w:val="false"/>
          <w:lang w:val="ru-RU"/>
        </w:rPr>
      </w:pPr>
      <w:r>
        <w:rPr>
          <w:b w:val="false"/>
          <w:lang w:val="ru-RU"/>
        </w:rPr>
      </w:r>
    </w:p>
    <w:p>
      <w:pPr>
        <w:pStyle w:val="Heading1"/>
        <w:keepLines/>
        <w:numPr>
          <w:ilvl w:val="0"/>
          <w:numId w:val="3"/>
        </w:numPr>
        <w:ind w:left="357" w:hanging="357"/>
        <w:jc w:val="center"/>
        <w:rPr>
          <w:iCs/>
        </w:rPr>
      </w:pPr>
      <w:bookmarkStart w:id="11" w:name="_Toc54643702"/>
      <w:bookmarkStart w:id="12" w:name="_Toc51339693"/>
      <w:r>
        <w:rPr>
          <w:iCs/>
          <w:lang w:val="ru-RU"/>
        </w:rPr>
        <w:t>Требования</w:t>
      </w:r>
      <w:r>
        <w:rPr>
          <w:iCs/>
        </w:rPr>
        <w:t xml:space="preserve"> к продукции</w:t>
      </w:r>
      <w:bookmarkEnd w:id="11"/>
      <w:bookmarkEnd w:id="12"/>
    </w:p>
    <w:p>
      <w:pPr>
        <w:pStyle w:val="ListParagraph"/>
        <w:numPr>
          <w:ilvl w:val="1"/>
          <w:numId w:val="3"/>
        </w:numPr>
        <w:rPr>
          <w:lang w:eastAsia="x-none"/>
        </w:rPr>
      </w:pPr>
      <w:r>
        <w:rPr>
          <w:lang w:eastAsia="x-none"/>
        </w:rPr>
        <w:t>Требования к объемам и срокам оказания услуг</w:t>
      </w:r>
    </w:p>
    <w:p>
      <w:pPr>
        <w:pStyle w:val="Heading1"/>
        <w:ind w:left="0" w:hanging="0"/>
        <w:rPr>
          <w:lang w:val="ru-RU"/>
        </w:rPr>
      </w:pPr>
      <w:r>
        <w:rPr>
          <w:lang w:val="ru-RU"/>
        </w:rPr>
        <w:t>2.1.1 Требования к перечню и объему услуг</w:t>
      </w:r>
    </w:p>
    <w:p>
      <w:pPr>
        <w:pStyle w:val="Heading1"/>
        <w:keepLines/>
        <w:tabs>
          <w:tab w:val="clear" w:pos="0"/>
        </w:tabs>
        <w:spacing w:before="240" w:after="60"/>
        <w:ind w:left="0" w:hanging="0"/>
        <w:rPr/>
      </w:pPr>
      <w:bookmarkStart w:id="13" w:name="_Toc54643705"/>
      <w:bookmarkStart w:id="14" w:name="_Toc51339695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2.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 xml:space="preserve">Перечень </w:t>
      </w:r>
      <w:bookmarkEnd w:id="14"/>
      <w:r>
        <w:rPr>
          <w:sz w:val="24"/>
          <w:szCs w:val="24"/>
          <w:lang w:val="ru-RU"/>
        </w:rPr>
        <w:t>и объем оказываемых услуг</w:t>
      </w:r>
      <w:bookmarkEnd w:id="13"/>
    </w:p>
    <w:tbl>
      <w:tblPr>
        <w:tblW w:w="9892" w:type="dxa"/>
        <w:jc w:val="left"/>
        <w:tblInd w:w="22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714"/>
        <w:gridCol w:w="4775"/>
        <w:gridCol w:w="1896"/>
        <w:gridCol w:w="2265"/>
        <w:gridCol w:w="18"/>
        <w:gridCol w:w="224"/>
      </w:tblGrid>
      <w:tr>
        <w:trPr/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4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услуг / этапа услуг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Количество*</w:t>
            </w:r>
          </w:p>
        </w:tc>
        <w:tc>
          <w:tcPr>
            <w:tcW w:w="242" w:type="dxa"/>
            <w:gridSpan w:val="2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42" w:type="dxa"/>
            <w:gridSpan w:val="2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tabs>
                <w:tab w:val="clear" w:pos="708"/>
                <w:tab w:val="left" w:pos="342" w:leader="none"/>
              </w:tabs>
              <w:rPr/>
            </w:pPr>
            <w:r>
              <w:rPr/>
            </w:r>
          </w:p>
        </w:tc>
        <w:tc>
          <w:tcPr>
            <w:tcW w:w="4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color w:val="000000"/>
                <w:sz w:val="24"/>
                <w:szCs w:val="24"/>
              </w:rPr>
              <w:t>Замена блока СКЗИ  тахографа и обслуживание тахографа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услуга</w:t>
            </w:r>
          </w:p>
        </w:tc>
        <w:tc>
          <w:tcPr>
            <w:tcW w:w="2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120</w:t>
            </w:r>
          </w:p>
        </w:tc>
        <w:tc>
          <w:tcPr>
            <w:tcW w:w="224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</w:tbl>
    <w:p>
      <w:pPr>
        <w:pStyle w:val="Heading3"/>
        <w:tabs>
          <w:tab w:val="clear" w:pos="0"/>
        </w:tabs>
        <w:ind w:left="0" w:hanging="0"/>
        <w:rPr>
          <w:b w:val="false"/>
          <w:bCs w:val="false"/>
          <w:lang w:val="ru-RU"/>
        </w:rPr>
      </w:pPr>
      <w:r>
        <w:rPr>
          <w:b w:val="false"/>
          <w:bCs w:val="false"/>
          <w:lang w:val="ru-RU"/>
        </w:rPr>
      </w:r>
    </w:p>
    <w:p>
      <w:pPr>
        <w:pStyle w:val="Normal"/>
        <w:jc w:val="both"/>
        <w:rPr/>
      </w:pPr>
      <w:r>
        <w:rPr>
          <w:rFonts w:eastAsia="Calibri"/>
          <w:sz w:val="24"/>
          <w:szCs w:val="24"/>
          <w:lang w:eastAsia="x-none"/>
        </w:rPr>
        <w:t>*Объем продукции является ориентировочным, Заказчик не несет ответственности за неполную выборку продукции на общую сумму договора</w:t>
      </w:r>
    </w:p>
    <w:p>
      <w:pPr>
        <w:pStyle w:val="Heading3"/>
        <w:tabs>
          <w:tab w:val="clear" w:pos="0"/>
        </w:tabs>
        <w:ind w:left="1224" w:hanging="0"/>
        <w:rPr>
          <w:lang w:val="ru-RU"/>
        </w:rPr>
      </w:pPr>
      <w:r>
        <w:rPr>
          <w:lang w:val="ru-RU"/>
        </w:rPr>
        <w:t>2.1.2. Требования к срокам оказания услуг:</w:t>
      </w:r>
    </w:p>
    <w:p>
      <w:pPr>
        <w:pStyle w:val="Heading1"/>
        <w:keepLines/>
        <w:tabs>
          <w:tab w:val="clear" w:pos="0"/>
        </w:tabs>
        <w:spacing w:before="240" w:after="60"/>
        <w:ind w:left="0" w:hanging="0"/>
        <w:rPr>
          <w:sz w:val="24"/>
          <w:szCs w:val="24"/>
          <w:lang w:val="ru-RU"/>
        </w:rPr>
      </w:pPr>
      <w:bookmarkStart w:id="15" w:name="_Toc54643707"/>
      <w:bookmarkStart w:id="16" w:name="_Toc51339697"/>
      <w:bookmarkStart w:id="17" w:name="_Toc50125127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3</w:t>
      </w:r>
      <w:r>
        <w:rPr>
          <w:sz w:val="24"/>
          <w:szCs w:val="24"/>
        </w:rPr>
        <w:t xml:space="preserve">. </w:t>
      </w:r>
      <w:bookmarkStart w:id="18" w:name="_Hlk50465284"/>
      <w:r>
        <w:rPr>
          <w:sz w:val="24"/>
          <w:szCs w:val="24"/>
        </w:rPr>
        <w:t xml:space="preserve">Требования </w:t>
      </w:r>
      <w:r>
        <w:rPr>
          <w:sz w:val="24"/>
          <w:szCs w:val="24"/>
          <w:lang w:val="ru-RU"/>
        </w:rPr>
        <w:t>к</w:t>
      </w:r>
      <w:r>
        <w:rPr>
          <w:sz w:val="24"/>
          <w:szCs w:val="24"/>
        </w:rPr>
        <w:t xml:space="preserve"> срокам </w:t>
      </w:r>
      <w:bookmarkEnd w:id="16"/>
      <w:bookmarkEnd w:id="17"/>
      <w:bookmarkEnd w:id="18"/>
      <w:r>
        <w:rPr>
          <w:sz w:val="24"/>
          <w:szCs w:val="24"/>
          <w:lang w:val="ru-RU"/>
        </w:rPr>
        <w:t>оказания услуг</w:t>
      </w:r>
      <w:bookmarkEnd w:id="15"/>
    </w:p>
    <w:tbl>
      <w:tblPr>
        <w:tblW w:w="9774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124"/>
        <w:gridCol w:w="2552"/>
        <w:gridCol w:w="2984"/>
        <w:gridCol w:w="3113"/>
      </w:tblGrid>
      <w:tr>
        <w:trPr/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услуг/ этапа услуг</w:t>
            </w:r>
          </w:p>
        </w:tc>
        <w:tc>
          <w:tcPr>
            <w:tcW w:w="2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началу срока оказания услуг/ этапа услуг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окончанию срока оказания услуг/этапа услуг</w:t>
            </w:r>
          </w:p>
        </w:tc>
      </w:tr>
      <w:tr>
        <w:trPr/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8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8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rPr/>
            </w:pPr>
            <w:r>
              <w:rPr/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color w:val="000000"/>
                <w:sz w:val="24"/>
                <w:szCs w:val="24"/>
              </w:rPr>
              <w:t>Замена блока СКЗИ  тахографа и обслуживание тахографа</w:t>
            </w:r>
          </w:p>
        </w:tc>
        <w:tc>
          <w:tcPr>
            <w:tcW w:w="2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даты подачи заявки и готовности предоставить ТС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  <w:lang w:eastAsia="x-none"/>
              </w:rPr>
              <w:t>В течение 14 рабочих дней</w:t>
            </w:r>
          </w:p>
        </w:tc>
      </w:tr>
    </w:tbl>
    <w:p>
      <w:pPr>
        <w:sectPr>
          <w:headerReference w:type="even" r:id="rId2"/>
          <w:headerReference w:type="default" r:id="rId3"/>
          <w:headerReference w:type="first" r:id="rId4"/>
          <w:type w:val="nextPage"/>
          <w:pgSz w:w="11906" w:h="16838"/>
          <w:pgMar w:left="1134" w:right="851" w:gutter="0" w:header="680" w:top="1134" w:footer="0" w:bottom="992"/>
          <w:pgNumType w:fmt="decimal"/>
          <w:formProt w:val="false"/>
          <w:titlePg/>
          <w:textDirection w:val="lrTb"/>
          <w:docGrid w:type="default" w:linePitch="360" w:charSpace="0"/>
        </w:sectPr>
      </w:pPr>
    </w:p>
    <w:p>
      <w:pPr>
        <w:pStyle w:val="Heading4"/>
        <w:tabs>
          <w:tab w:val="clear" w:pos="0"/>
        </w:tabs>
        <w:ind w:left="432" w:hanging="0"/>
        <w:rPr/>
      </w:pPr>
      <w:r>
        <w:rPr/>
        <w:t xml:space="preserve">2.2. </w:t>
      </w:r>
      <w:bookmarkStart w:id="19" w:name="_Toc54643709"/>
      <w:bookmarkStart w:id="20" w:name="_Toc51339698"/>
      <w:bookmarkStart w:id="21" w:name="_Toc54643708"/>
      <w:bookmarkStart w:id="22" w:name="_Toc46743511"/>
      <w:r>
        <w:rPr/>
        <w:t xml:space="preserve">Требования к </w:t>
      </w:r>
      <w:bookmarkEnd w:id="22"/>
      <w:r>
        <w:rPr>
          <w:lang w:val="ru-RU"/>
        </w:rPr>
        <w:t>качеству услуг</w:t>
      </w:r>
      <w:bookmarkEnd w:id="21"/>
    </w:p>
    <w:p>
      <w:pPr>
        <w:pStyle w:val="Heading1"/>
        <w:keepLines/>
        <w:tabs>
          <w:tab w:val="clear" w:pos="0"/>
        </w:tabs>
        <w:spacing w:before="240" w:after="60"/>
        <w:ind w:left="0" w:hanging="0"/>
        <w:rPr>
          <w:sz w:val="24"/>
          <w:szCs w:val="24"/>
        </w:rPr>
      </w:pPr>
      <w:r>
        <w:rPr>
          <w:sz w:val="24"/>
          <w:szCs w:val="24"/>
        </w:rPr>
        <w:t>Таблица </w:t>
      </w:r>
      <w:r>
        <w:rPr>
          <w:sz w:val="24"/>
          <w:szCs w:val="24"/>
          <w:lang w:val="ru-RU"/>
        </w:rPr>
        <w:t>4</w:t>
      </w:r>
      <w:r>
        <w:rPr>
          <w:sz w:val="24"/>
          <w:szCs w:val="24"/>
        </w:rPr>
        <w:t xml:space="preserve">. Требования к </w:t>
      </w:r>
      <w:bookmarkEnd w:id="20"/>
      <w:r>
        <w:rPr>
          <w:sz w:val="24"/>
          <w:szCs w:val="24"/>
          <w:lang w:val="ru-RU"/>
        </w:rPr>
        <w:t>качеству услуг</w:t>
      </w:r>
      <w:bookmarkEnd w:id="19"/>
      <w:r>
        <w:rPr>
          <w:sz w:val="24"/>
          <w:szCs w:val="24"/>
        </w:rPr>
        <w:t xml:space="preserve"> </w:t>
      </w:r>
    </w:p>
    <w:p>
      <w:pPr>
        <w:pStyle w:val="Normal"/>
        <w:rPr>
          <w:rStyle w:val="Style8"/>
          <w:b w:val="false"/>
        </w:rPr>
      </w:pPr>
      <w:r>
        <w:rPr>
          <w:b w:val="false"/>
        </w:rPr>
      </w:r>
    </w:p>
    <w:p>
      <w:pPr>
        <w:pStyle w:val="Normal"/>
        <w:jc w:val="both"/>
        <w:rPr>
          <w:i/>
          <w:i/>
          <w:iCs/>
          <w:shd w:fill="FFFF99" w:val="clear"/>
        </w:rPr>
      </w:pPr>
      <w:r>
        <w:rPr>
          <w:b/>
          <w:bCs/>
          <w:sz w:val="24"/>
          <w:szCs w:val="24"/>
        </w:rPr>
        <w:t xml:space="preserve">Наименование услуг/этапа услуг: </w:t>
      </w:r>
      <w:r>
        <w:rPr>
          <w:rStyle w:val="Style8"/>
          <w:rFonts w:eastAsia="Calibri"/>
          <w:b w:val="false"/>
          <w:i w:val="false"/>
          <w:color w:val="000000"/>
          <w:sz w:val="26"/>
          <w:szCs w:val="26"/>
          <w:shd w:fill="auto" w:val="clear"/>
        </w:rPr>
        <w:t>ОКПД 2: 29.32.30.163 Оказание услуг по замене блоков СКЗИ на тахографах и обслуживанию тахографов, для нужд Дальневосточного филиала АО «ТК РусГидро»</w:t>
      </w:r>
    </w:p>
    <w:p>
      <w:pPr>
        <w:pStyle w:val="Normal"/>
        <w:jc w:val="both"/>
        <w:rPr>
          <w:i/>
          <w:i/>
          <w:iCs/>
          <w:shd w:fill="FFFF99" w:val="clear"/>
        </w:rPr>
      </w:pPr>
      <w:r>
        <w:rPr>
          <w:i/>
          <w:iCs/>
          <w:shd w:fill="FFFF99" w:val="clear"/>
        </w:rPr>
      </w:r>
    </w:p>
    <w:tbl>
      <w:tblPr>
        <w:tblStyle w:val="affff8"/>
        <w:tblW w:w="15018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848"/>
        <w:gridCol w:w="3507"/>
        <w:gridCol w:w="6288"/>
        <w:gridCol w:w="2170"/>
        <w:gridCol w:w="2205"/>
      </w:tblGrid>
      <w:tr>
        <w:trPr/>
        <w:tc>
          <w:tcPr>
            <w:tcW w:w="848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п/п</w:t>
            </w:r>
          </w:p>
        </w:tc>
        <w:tc>
          <w:tcPr>
            <w:tcW w:w="3507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Наименование параметра</w:t>
            </w:r>
          </w:p>
        </w:tc>
        <w:tc>
          <w:tcPr>
            <w:tcW w:w="6288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Требование заказчика</w:t>
            </w:r>
          </w:p>
        </w:tc>
        <w:tc>
          <w:tcPr>
            <w:tcW w:w="4375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Способ подтверждения участником соответствия требованиям</w:t>
            </w:r>
          </w:p>
        </w:tc>
      </w:tr>
      <w:tr>
        <w:trPr/>
        <w:tc>
          <w:tcPr>
            <w:tcW w:w="848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3507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6288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2170" w:type="dxa"/>
            <w:tcBorders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Согласие с требованием/ указание характеристик</w:t>
            </w:r>
          </w:p>
        </w:tc>
        <w:tc>
          <w:tcPr>
            <w:tcW w:w="220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color w:val="auto"/>
                <w:kern w:val="0"/>
                <w:sz w:val="24"/>
                <w:szCs w:val="24"/>
                <w:lang w:val="ru-RU" w:eastAsia="ru-RU" w:bidi="ar-SA"/>
              </w:rPr>
              <w:t>Предоставление подтверждающего документа или иной способ подтверждения</w:t>
            </w:r>
          </w:p>
        </w:tc>
      </w:tr>
      <w:tr>
        <w:trPr/>
        <w:tc>
          <w:tcPr>
            <w:tcW w:w="84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bookmarkStart w:id="23" w:name="_Toc53499667"/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1</w:t>
            </w:r>
            <w:bookmarkEnd w:id="23"/>
          </w:p>
        </w:tc>
        <w:tc>
          <w:tcPr>
            <w:tcW w:w="350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628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3</w:t>
            </w:r>
          </w:p>
        </w:tc>
        <w:tc>
          <w:tcPr>
            <w:tcW w:w="2170" w:type="dxa"/>
            <w:tcBorders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4</w:t>
            </w:r>
          </w:p>
        </w:tc>
        <w:tc>
          <w:tcPr>
            <w:tcW w:w="220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</w:t>
            </w:r>
          </w:p>
        </w:tc>
      </w:tr>
      <w:tr>
        <w:trPr/>
        <w:tc>
          <w:tcPr>
            <w:tcW w:w="84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9795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оказанию услуг</w:t>
            </w:r>
          </w:p>
        </w:tc>
        <w:tc>
          <w:tcPr>
            <w:tcW w:w="2170" w:type="dxa"/>
            <w:vMerge w:val="restart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 w:val="false"/>
                <w:bCs w:val="false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205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-//-</w:t>
            </w:r>
          </w:p>
        </w:tc>
      </w:tr>
      <w:tr>
        <w:trPr>
          <w:trHeight w:val="227" w:hRule="atLeast"/>
        </w:trPr>
        <w:tc>
          <w:tcPr>
            <w:tcW w:w="84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9795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Общие требования к оказанию услуг</w:t>
            </w:r>
          </w:p>
        </w:tc>
        <w:tc>
          <w:tcPr>
            <w:tcW w:w="2170" w:type="dxa"/>
            <w:vMerge w:val="continue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2205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4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9795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Исполнитель обязуется на основании заявок Заказчика оказывать Заказчику услуги по замене блоков СКЗИ, обслуживанию тахографов. Работоспособность тахографа должна соответствовать требованиям 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x-none" w:eastAsia="ru-RU" w:bidi="ar-SA"/>
              </w:rPr>
              <w:t>Приказа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 М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x-none" w:eastAsia="ru-RU" w:bidi="ar-SA"/>
              </w:rPr>
              <w:t>инистерств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а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x-none" w:eastAsia="ru-RU" w:bidi="ar-SA"/>
              </w:rPr>
              <w:t xml:space="preserve"> транспорта российской федерации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x-none" w:eastAsia="ru-RU" w:bidi="ar-SA"/>
              </w:rPr>
              <w:t>от 28 октября 2020 г. N 440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 «О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x-none" w:eastAsia="ru-RU" w:bidi="ar-SA"/>
              </w:rPr>
              <w:t>б утверждении требований к тахографам, устанавливаемым на транспортные средства, категорий и видов транспортных средств, оснащаемых тахографами, правил использования, обслуживания и контроля работы тахографов, установленных на транспортные средства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»</w:t>
            </w:r>
          </w:p>
        </w:tc>
        <w:tc>
          <w:tcPr>
            <w:tcW w:w="2170" w:type="dxa"/>
            <w:vMerge w:val="continue"/>
            <w:tcBorders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05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4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9795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both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способам оказания услуг</w:t>
            </w:r>
          </w:p>
        </w:tc>
        <w:tc>
          <w:tcPr>
            <w:tcW w:w="2170" w:type="dxa"/>
            <w:vMerge w:val="continue"/>
            <w:tcBorders>
              <w:right w:val="nil"/>
            </w:tcBorders>
            <w:shd w:color="auto" w:fill="auto" w:val="clear"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2205" w:type="dxa"/>
            <w:tcBorders/>
            <w:shd w:color="auto" w:fill="auto" w:val="clear"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84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9795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Все услуги проводятся силами, средствами с использованием запасных частей и материалов Исполнителя на территории Исполнителя, </w:t>
            </w:r>
            <w:r>
              <w:rPr>
                <w:rFonts w:eastAsia="Times New Roman" w:cs="Times New Roman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либо по согласованию с Заказчиком на территории Заказчика.</w:t>
            </w:r>
          </w:p>
        </w:tc>
        <w:tc>
          <w:tcPr>
            <w:tcW w:w="2170" w:type="dxa"/>
            <w:vMerge w:val="continue"/>
            <w:tcBorders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05" w:type="dxa"/>
            <w:vMerge w:val="restart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4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9795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b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процедурам оказания услуг</w:t>
            </w:r>
          </w:p>
        </w:tc>
        <w:tc>
          <w:tcPr>
            <w:tcW w:w="2170" w:type="dxa"/>
            <w:vMerge w:val="continue"/>
            <w:tcBorders>
              <w:right w:val="nil"/>
            </w:tcBorders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2205" w:type="dxa"/>
            <w:vMerge w:val="continue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84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9795" w:type="dxa"/>
            <w:gridSpan w:val="2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Исполнитель обязан по требованию Заказчика допускать его представителей для контроля процесса выполнения технологических и ремонтных операций, качества и полноты оказания услуг и в целом выполнения договорных обязательств непосредственно к местам 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x-none" w:bidi="ar-SA"/>
              </w:rPr>
              <w:t>оказания услуг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. Заказчик оставляет за собой право проводить корректировки перечня и объемов услуг по техническому обслуживанию и ремонту по согласованию с Исполнителем, в рамках цены договора.</w:t>
            </w:r>
          </w:p>
        </w:tc>
        <w:tc>
          <w:tcPr>
            <w:tcW w:w="2170" w:type="dxa"/>
            <w:vMerge w:val="continue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05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4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9795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применяемым при оказании услуг оборудованию и материалам</w:t>
            </w:r>
          </w:p>
        </w:tc>
        <w:tc>
          <w:tcPr>
            <w:tcW w:w="2170" w:type="dxa"/>
            <w:vMerge w:val="continue"/>
            <w:tcBorders>
              <w:right w:val="nil"/>
            </w:tcBorders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2205" w:type="dxa"/>
            <w:vMerge w:val="continue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84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3507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Требования к используемым запасным частям и материалам</w:t>
            </w:r>
          </w:p>
        </w:tc>
        <w:tc>
          <w:tcPr>
            <w:tcW w:w="628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x-none" w:bidi="ar-SA"/>
              </w:rPr>
              <w:t>Запасные части, расходные материалы, при оказании услуг по замене блоков СКЗИ на тахографах должны быть новыми, не иметь дефектов и соответствовать государственным стандартам, техническим условиям, сертификатам качества, иной нормативно-технической документации, подтверждающей качество продукции.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170" w:type="dxa"/>
            <w:vMerge w:val="continue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0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4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9795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персоналу исполнителя</w:t>
            </w:r>
          </w:p>
        </w:tc>
        <w:tc>
          <w:tcPr>
            <w:tcW w:w="2170" w:type="dxa"/>
            <w:vMerge w:val="continue"/>
            <w:tcBorders>
              <w:right w:val="nil"/>
            </w:tcBorders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2205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84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9795" w:type="dxa"/>
            <w:gridSpan w:val="2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x-none" w:bidi="ar-SA"/>
              </w:rPr>
              <w:t>Оказание услуг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 должно выполняться квалифицированным и сертифицированным персоналом (оформленного в соответствии с Гражданским Кодексом Российской Федерации или привлекаемого по трудовым либо гражданско-правовым договорам).</w:t>
            </w:r>
          </w:p>
        </w:tc>
        <w:tc>
          <w:tcPr>
            <w:tcW w:w="2170" w:type="dxa"/>
            <w:vMerge w:val="continue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0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4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9795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Требования к результатам у</w:t>
            </w: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слуг</w:t>
            </w:r>
          </w:p>
        </w:tc>
        <w:tc>
          <w:tcPr>
            <w:tcW w:w="2170" w:type="dxa"/>
            <w:vMerge w:val="continue"/>
            <w:tcBorders>
              <w:right w:val="nil"/>
            </w:tcBorders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2205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84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9795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Общие требования к результатам услуг</w:t>
            </w:r>
          </w:p>
        </w:tc>
        <w:tc>
          <w:tcPr>
            <w:tcW w:w="2170" w:type="dxa"/>
            <w:vMerge w:val="continue"/>
            <w:tcBorders>
              <w:right w:val="nil"/>
            </w:tcBorders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2205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84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9795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bookmarkStart w:id="24" w:name="_GoBack"/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Согласование с Заказчиком списка запасных частей и агрегатов, приобретаемых </w:t>
            </w:r>
            <w:bookmarkEnd w:id="24"/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исполнителем для последующего устранения выявленных неисправностей. Выявление необходимых дополнительных услуг необходимость которых выявилась при 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x-none" w:bidi="ar-SA"/>
              </w:rPr>
              <w:t>оказании услуг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 по замене блоков СКЗИ на тахографах.</w:t>
            </w:r>
          </w:p>
        </w:tc>
        <w:tc>
          <w:tcPr>
            <w:tcW w:w="2170" w:type="dxa"/>
            <w:vMerge w:val="continue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0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4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9795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Требования к приемке результата оказания у</w:t>
            </w: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слуг</w:t>
            </w:r>
          </w:p>
        </w:tc>
        <w:tc>
          <w:tcPr>
            <w:tcW w:w="2170" w:type="dxa"/>
            <w:vMerge w:val="continue"/>
            <w:tcBorders>
              <w:right w:val="nil"/>
            </w:tcBorders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2205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84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9795" w:type="dxa"/>
            <w:gridSpan w:val="2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При оказании услуг по замене блоков СКЗИ на тахографах преимущественно применение оригинальных частей и расходных материалов, рекомендованных заводом изготовителем.</w:t>
            </w:r>
          </w:p>
        </w:tc>
        <w:tc>
          <w:tcPr>
            <w:tcW w:w="2170" w:type="dxa"/>
            <w:vMerge w:val="continue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05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4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9795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документации, описывающей результат оказания услуг</w:t>
            </w:r>
          </w:p>
        </w:tc>
        <w:tc>
          <w:tcPr>
            <w:tcW w:w="2170" w:type="dxa"/>
            <w:vMerge w:val="continue"/>
            <w:tcBorders>
              <w:right w:val="nil"/>
            </w:tcBorders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2205" w:type="dxa"/>
            <w:vMerge w:val="continue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84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9795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Устранение дополнительных неисправностей, выявленных специалистами Исполнителя при проведении технического обслуживания производится на основании дополнительного Заказ-наряда, предварительно согласованного с представителями Заказчика. Выдача ТС Заказчику, с составлением Акта оказания услуг с указанием списка запасных частей и материалов, установленных и израсходованных в ходе ремонта. После выполнения оказанных услуг Исполнитель информирует Заказчика о готовности ТС  и передает его по приемо-сдаточному Акту.</w:t>
            </w:r>
          </w:p>
        </w:tc>
        <w:tc>
          <w:tcPr>
            <w:tcW w:w="2170" w:type="dxa"/>
            <w:vMerge w:val="continue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05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4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9795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40" w:after="0"/>
              <w:jc w:val="both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соблюдению положений нормативной и иной обязательной для исполнителя документации, определяемой видами услуг (помимо указанных в других разделах ТТ)</w:t>
            </w:r>
          </w:p>
        </w:tc>
        <w:tc>
          <w:tcPr>
            <w:tcW w:w="2170" w:type="dxa"/>
            <w:vMerge w:val="continue"/>
            <w:tcBorders>
              <w:right w:val="nil"/>
            </w:tcBorders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2205" w:type="dxa"/>
            <w:vMerge w:val="continue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>
          <w:trHeight w:val="337" w:hRule="atLeast"/>
        </w:trPr>
        <w:tc>
          <w:tcPr>
            <w:tcW w:w="84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9795" w:type="dxa"/>
            <w:gridSpan w:val="2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both"/>
              <w:rPr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 xml:space="preserve">При 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оказании услуг</w:t>
            </w: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 xml:space="preserve"> руководствоваться нормативно-правовыми и нормативно-техническими документами Российской Федерации. Услуга по замене блоков СКЗИ тахографа должна осуществляется в соответствие с нормативной технической документацией ПАО «РусГидро».</w:t>
            </w:r>
          </w:p>
        </w:tc>
        <w:tc>
          <w:tcPr>
            <w:tcW w:w="2170" w:type="dxa"/>
            <w:vMerge w:val="continue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05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4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9795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both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ответственности и гарантиям исполнителя</w:t>
            </w:r>
          </w:p>
        </w:tc>
        <w:tc>
          <w:tcPr>
            <w:tcW w:w="2170" w:type="dxa"/>
            <w:vMerge w:val="continue"/>
            <w:tcBorders>
              <w:right w:val="nil"/>
            </w:tcBorders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2205" w:type="dxa"/>
            <w:vMerge w:val="continue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84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9795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Исполнитель обязан предоставить гарантии на установленные агрегаты и запасные части согласно срокам, установленных заводом-изготовителем, а на оказанные услуги по текущему ремонту не менее 12 месяцев с даты подписания приёма-сдаточного акта, при условии эксплуатации транспортного средства согласно руководству по эксплуатации.</w:t>
            </w:r>
          </w:p>
        </w:tc>
        <w:tc>
          <w:tcPr>
            <w:tcW w:w="2170" w:type="dxa"/>
            <w:vMerge w:val="continue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0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4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9795" w:type="dxa"/>
            <w:gridSpan w:val="2"/>
            <w:tcBorders/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исполнителю (и соисполнителям) и его обязательствам, влияющим на исполнение договора</w:t>
            </w:r>
          </w:p>
        </w:tc>
        <w:tc>
          <w:tcPr>
            <w:tcW w:w="2170" w:type="dxa"/>
            <w:vMerge w:val="continue"/>
            <w:tcBorders>
              <w:right w:val="nil"/>
            </w:tcBorders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2205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84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9795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При оказании услуг по замене блоков СКЗИ на тахографах срок оказания услуг может увеличиться по согласованию с Заказчиком.</w:t>
            </w:r>
          </w:p>
        </w:tc>
        <w:tc>
          <w:tcPr>
            <w:tcW w:w="2170" w:type="dxa"/>
            <w:vMerge w:val="continue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0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4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9795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Прочие требования к оказанию услуг</w:t>
            </w:r>
          </w:p>
        </w:tc>
        <w:tc>
          <w:tcPr>
            <w:tcW w:w="2170" w:type="dxa"/>
            <w:vMerge w:val="continue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2205" w:type="dxa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84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9795" w:type="dxa"/>
            <w:gridSpan w:val="2"/>
            <w:tcBorders/>
            <w:vAlign w:val="center"/>
          </w:tcPr>
          <w:p>
            <w:pPr>
              <w:pStyle w:val="Style27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both"/>
              <w:outlineLvl w:val="2"/>
              <w:rPr>
                <w:rFonts w:ascii="Times New Roman" w:hAnsi="Times New Roman" w:cs="Times New Roman"/>
                <w:kern w:val="0"/>
                <w:sz w:val="20"/>
                <w:szCs w:val="20"/>
                <w:lang w:bidi="ar-SA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  <w:t>Стоимость услуг технического обслуживания, поставки ЗИП  и расходных материалов, должна включать в себя стоимость услуг, командировочные расходы, транспортные расходы, погрузочно-разгрузочные работы, страхование, уплату таможенных пошлин, сборов и других обязательных платежей и быть выражена в рублях Российской Федерации</w:t>
            </w:r>
          </w:p>
        </w:tc>
        <w:tc>
          <w:tcPr>
            <w:tcW w:w="2170" w:type="dxa"/>
            <w:vMerge w:val="continue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0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</w:tbl>
    <w:p>
      <w:pPr>
        <w:sectPr>
          <w:headerReference w:type="even" r:id="rId5"/>
          <w:headerReference w:type="default" r:id="rId6"/>
          <w:headerReference w:type="first" r:id="rId7"/>
          <w:type w:val="nextPage"/>
          <w:pgSz w:orient="landscape" w:w="16838" w:h="11906"/>
          <w:pgMar w:left="1134" w:right="851" w:gutter="0" w:header="680" w:top="992" w:footer="0" w:bottom="992"/>
          <w:pgNumType w:fmt="decimal"/>
          <w:formProt w:val="false"/>
          <w:titlePg/>
          <w:textDirection w:val="lrTb"/>
          <w:docGrid w:type="default" w:linePitch="381" w:charSpace="0"/>
        </w:sectPr>
      </w:pPr>
    </w:p>
    <w:p>
      <w:pPr>
        <w:pStyle w:val="Heading1"/>
        <w:keepLines/>
        <w:numPr>
          <w:ilvl w:val="0"/>
          <w:numId w:val="3"/>
        </w:numPr>
        <w:ind w:left="357" w:hanging="357"/>
        <w:jc w:val="center"/>
        <w:rPr>
          <w:lang w:val="ru-RU"/>
        </w:rPr>
      </w:pPr>
      <w:bookmarkStart w:id="25" w:name="_Toc54643710"/>
      <w:bookmarkStart w:id="26" w:name="_Toc53395937"/>
      <w:bookmarkStart w:id="27" w:name="_Toc53393312"/>
      <w:bookmarkStart w:id="28" w:name="_Toc51339699"/>
      <w:bookmarkStart w:id="29" w:name="_Toc46743519"/>
      <w:bookmarkEnd w:id="28"/>
      <w:bookmarkEnd w:id="29"/>
      <w:r>
        <w:rPr>
          <w:lang w:val="ru-RU"/>
        </w:rPr>
        <w:t>Требования к документации по ценообразованию</w:t>
      </w:r>
      <w:bookmarkEnd w:id="26"/>
      <w:bookmarkEnd w:id="27"/>
      <w:r>
        <w:rPr>
          <w:lang w:val="ru-RU"/>
        </w:rPr>
        <w:t xml:space="preserve"> на этапе закупки</w:t>
      </w:r>
      <w:bookmarkEnd w:id="25"/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60" w:after="0"/>
        <w:jc w:val="both"/>
        <w:rPr>
          <w:rStyle w:val="Style8"/>
          <w:b w:val="false"/>
          <w:bCs/>
          <w:iCs/>
          <w:sz w:val="24"/>
          <w:szCs w:val="24"/>
        </w:rPr>
      </w:pPr>
      <w:r>
        <w:rPr>
          <w:b w:val="false"/>
          <w:bCs/>
          <w:iCs/>
          <w:sz w:val="24"/>
          <w:szCs w:val="24"/>
        </w:rPr>
      </w:r>
    </w:p>
    <w:p>
      <w:pPr>
        <w:pStyle w:val="Heading4"/>
        <w:numPr>
          <w:ilvl w:val="1"/>
          <w:numId w:val="14"/>
        </w:numPr>
        <w:ind w:left="0" w:hanging="0"/>
        <w:rPr>
          <w:b w:val="false"/>
          <w:sz w:val="26"/>
          <w:szCs w:val="26"/>
        </w:rPr>
      </w:pPr>
      <w:r>
        <w:rPr>
          <w:b w:val="false"/>
          <w:sz w:val="26"/>
          <w:szCs w:val="26"/>
          <w:lang w:val="ru-RU"/>
        </w:rPr>
        <w:t>В обоснование стоимости своей заявки Участник предоставляет Коммерческое предложение.</w:t>
      </w:r>
    </w:p>
    <w:p>
      <w:pPr>
        <w:pStyle w:val="Normal"/>
        <w:jc w:val="both"/>
        <w:rPr/>
      </w:pPr>
      <w:r>
        <w:rPr>
          <w:rFonts w:eastAsia="Calibri"/>
          <w:sz w:val="26"/>
          <w:szCs w:val="26"/>
          <w:lang w:val="x-none" w:eastAsia="x-none"/>
        </w:rPr>
        <w:t>3.2. Дополнительные документы по ценообразованию в состав заявки не включаются.</w:t>
      </w:r>
    </w:p>
    <w:p>
      <w:pPr>
        <w:pStyle w:val="Heading1"/>
        <w:keepLines/>
        <w:tabs>
          <w:tab w:val="clear" w:pos="0"/>
        </w:tabs>
        <w:ind w:left="357" w:hanging="0"/>
        <w:rPr>
          <w:iCs/>
          <w:caps/>
        </w:rPr>
      </w:pPr>
      <w:r>
        <w:rPr>
          <w:iCs/>
          <w:caps/>
        </w:rPr>
      </w:r>
    </w:p>
    <w:p>
      <w:pPr>
        <w:pStyle w:val="Normal"/>
        <w:ind w:left="357" w:hanging="0"/>
        <w:rPr>
          <w:iCs/>
          <w:caps/>
        </w:rPr>
      </w:pPr>
      <w:r>
        <w:rPr>
          <w:iCs/>
          <w:caps/>
        </w:rPr>
      </w:r>
    </w:p>
    <w:p>
      <w:pPr>
        <w:pStyle w:val="Normal"/>
        <w:rPr>
          <w:iCs/>
          <w:sz w:val="24"/>
          <w:szCs w:val="24"/>
        </w:rPr>
      </w:pPr>
      <w:r>
        <w:rPr>
          <w:iCs/>
          <w:sz w:val="24"/>
          <w:szCs w:val="24"/>
        </w:rPr>
      </w:r>
    </w:p>
    <w:p>
      <w:pPr>
        <w:pStyle w:val="Normal"/>
        <w:rPr>
          <w:bCs/>
          <w:sz w:val="24"/>
          <w:szCs w:val="24"/>
        </w:rPr>
      </w:pPr>
      <w:r>
        <w:rPr>
          <w:bCs/>
          <w:sz w:val="24"/>
          <w:szCs w:val="24"/>
        </w:rPr>
      </w:r>
    </w:p>
    <w:p>
      <w:pPr>
        <w:pStyle w:val="Normal"/>
        <w:rPr>
          <w:rFonts w:eastAsia="Calibri"/>
          <w:b/>
          <w:iCs/>
          <w:caps/>
          <w:lang w:val="x-none" w:eastAsia="x-none"/>
        </w:rPr>
      </w:pPr>
      <w:r>
        <w:rPr>
          <w:rFonts w:eastAsia="Calibri"/>
          <w:b/>
          <w:iCs/>
          <w:caps/>
          <w:lang w:val="x-none" w:eastAsia="x-none"/>
        </w:rPr>
      </w:r>
    </w:p>
    <w:p>
      <w:pPr>
        <w:pStyle w:val="Normal"/>
        <w:rPr>
          <w:rFonts w:eastAsia="Calibri"/>
          <w:b/>
          <w:iCs/>
          <w:caps/>
          <w:lang w:val="x-none" w:eastAsia="x-none"/>
        </w:rPr>
      </w:pPr>
      <w:r>
        <w:rPr>
          <w:rFonts w:eastAsia="Calibri"/>
          <w:b/>
          <w:iCs/>
          <w:caps/>
          <w:lang w:val="x-none" w:eastAsia="x-none"/>
        </w:rPr>
      </w:r>
    </w:p>
    <w:p>
      <w:pPr>
        <w:pStyle w:val="Normal"/>
        <w:rPr>
          <w:rFonts w:eastAsia="Calibri"/>
          <w:b/>
          <w:iCs/>
          <w:caps/>
          <w:lang w:val="x-none" w:eastAsia="x-none"/>
        </w:rPr>
      </w:pPr>
      <w:r>
        <w:rPr>
          <w:rFonts w:eastAsia="Calibri"/>
          <w:b/>
          <w:iCs/>
          <w:caps/>
          <w:lang w:val="x-none" w:eastAsia="x-none"/>
        </w:rPr>
      </w:r>
    </w:p>
    <w:p>
      <w:pPr>
        <w:pStyle w:val="Normal"/>
        <w:rPr>
          <w:rFonts w:eastAsia="Calibri"/>
          <w:b/>
          <w:iCs/>
          <w:caps/>
          <w:lang w:val="x-none" w:eastAsia="x-none"/>
        </w:rPr>
      </w:pPr>
      <w:r>
        <w:rPr>
          <w:rFonts w:eastAsia="Calibri"/>
          <w:b/>
          <w:iCs/>
          <w:caps/>
          <w:lang w:val="x-none" w:eastAsia="x-none"/>
        </w:rPr>
      </w:r>
    </w:p>
    <w:p>
      <w:pPr>
        <w:pStyle w:val="Normal"/>
        <w:rPr>
          <w:rFonts w:eastAsia="Calibri"/>
          <w:b/>
          <w:iCs/>
          <w:caps/>
          <w:lang w:val="x-none" w:eastAsia="x-none"/>
        </w:rPr>
      </w:pPr>
      <w:r>
        <w:rPr>
          <w:rFonts w:eastAsia="Calibri"/>
          <w:b/>
          <w:iCs/>
          <w:caps/>
          <w:lang w:val="x-none" w:eastAsia="x-none"/>
        </w:rPr>
      </w:r>
    </w:p>
    <w:p>
      <w:pPr>
        <w:pStyle w:val="Normal"/>
        <w:rPr>
          <w:rFonts w:eastAsia="Calibri"/>
          <w:b/>
          <w:iCs/>
          <w:caps/>
          <w:lang w:val="x-none" w:eastAsia="x-none"/>
        </w:rPr>
      </w:pPr>
      <w:r>
        <w:rPr>
          <w:rFonts w:eastAsia="Calibri"/>
          <w:b/>
          <w:iCs/>
          <w:caps/>
          <w:lang w:val="x-none" w:eastAsia="x-none"/>
        </w:rPr>
      </w:r>
    </w:p>
    <w:p>
      <w:pPr>
        <w:pStyle w:val="Normal"/>
        <w:rPr>
          <w:rFonts w:eastAsia="Calibri"/>
          <w:b/>
          <w:iCs/>
          <w:caps/>
          <w:lang w:val="x-none" w:eastAsia="x-none"/>
        </w:rPr>
      </w:pPr>
      <w:r>
        <w:rPr>
          <w:rFonts w:eastAsia="Calibri"/>
          <w:b/>
          <w:iCs/>
          <w:caps/>
          <w:lang w:val="x-none" w:eastAsia="x-none"/>
        </w:rPr>
      </w:r>
    </w:p>
    <w:p>
      <w:pPr>
        <w:pStyle w:val="Normal"/>
        <w:rPr>
          <w:rFonts w:eastAsia="Calibri"/>
          <w:b/>
          <w:iCs/>
          <w:caps/>
          <w:lang w:val="x-none" w:eastAsia="x-none"/>
        </w:rPr>
      </w:pPr>
      <w:r>
        <w:rPr>
          <w:rFonts w:eastAsia="Calibri"/>
          <w:b/>
          <w:iCs/>
          <w:caps/>
          <w:lang w:val="x-none" w:eastAsia="x-none"/>
        </w:rPr>
      </w:r>
    </w:p>
    <w:p>
      <w:pPr>
        <w:pStyle w:val="Normal"/>
        <w:rPr>
          <w:rFonts w:eastAsia="Calibri"/>
          <w:b/>
          <w:iCs/>
          <w:caps/>
          <w:lang w:val="x-none" w:eastAsia="x-none"/>
        </w:rPr>
      </w:pPr>
      <w:r>
        <w:rPr>
          <w:rFonts w:eastAsia="Calibri"/>
          <w:b/>
          <w:iCs/>
          <w:caps/>
          <w:lang w:val="x-none" w:eastAsia="x-none"/>
        </w:rPr>
      </w:r>
    </w:p>
    <w:p>
      <w:pPr>
        <w:pStyle w:val="Normal"/>
        <w:rPr>
          <w:rFonts w:eastAsia="Calibri"/>
          <w:b/>
          <w:iCs/>
          <w:caps/>
          <w:lang w:val="x-none" w:eastAsia="x-none"/>
        </w:rPr>
      </w:pPr>
      <w:r>
        <w:rPr>
          <w:rFonts w:eastAsia="Calibri"/>
          <w:b/>
          <w:iCs/>
          <w:caps/>
          <w:lang w:val="x-none" w:eastAsia="x-none"/>
        </w:rPr>
      </w:r>
    </w:p>
    <w:p>
      <w:pPr>
        <w:pStyle w:val="Normal"/>
        <w:rPr>
          <w:rFonts w:eastAsia="Calibri"/>
          <w:b/>
          <w:iCs/>
          <w:caps/>
          <w:lang w:val="x-none" w:eastAsia="x-none"/>
        </w:rPr>
      </w:pPr>
      <w:r>
        <w:rPr>
          <w:rFonts w:eastAsia="Calibri"/>
          <w:b/>
          <w:iCs/>
          <w:caps/>
          <w:lang w:val="x-none" w:eastAsia="x-none"/>
        </w:rPr>
      </w:r>
    </w:p>
    <w:p>
      <w:pPr>
        <w:pStyle w:val="Normal"/>
        <w:rPr>
          <w:rFonts w:eastAsia="Calibri"/>
          <w:b/>
          <w:iCs/>
          <w:caps/>
          <w:lang w:val="x-none" w:eastAsia="x-none"/>
        </w:rPr>
      </w:pPr>
      <w:r>
        <w:rPr/>
      </w:r>
    </w:p>
    <w:sectPr>
      <w:headerReference w:type="default" r:id="rId8"/>
      <w:headerReference w:type="first" r:id="rId9"/>
      <w:type w:val="nextPage"/>
      <w:pgSz w:w="11906" w:h="16838"/>
      <w:pgMar w:left="1134" w:right="851" w:gutter="0" w:header="680" w:top="992" w:footer="0" w:bottom="992"/>
      <w:pgNumType w:fmt="decimal"/>
      <w:formProt w:val="false"/>
      <w:titlePg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ahoma"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3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2</w:t>
    </w:r>
    <w:r>
      <w:rPr/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3" name="Врезка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2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Normal"/>
      <w:rPr/>
    </w:pPr>
    <w:r>
      <w:rPr/>
    </w:r>
  </w:p>
  <w:p>
    <w:pPr>
      <w:pStyle w:val="Normal"/>
      <w:rPr/>
    </w:pPr>
    <w:r>
      <w:rPr/>
    </w:r>
  </w:p>
  <w:p>
    <w:pPr>
      <w:pStyle w:val="Normal"/>
      <w:rPr/>
    </w:pPr>
    <w:r>
      <w:rPr/>
    </w:r>
  </w:p>
  <w:p>
    <w:pPr>
      <w:pStyle w:val="Normal"/>
      <w:rPr/>
    </w:pPr>
    <w:r>
      <w:rPr/>
    </w:r>
  </w:p>
  <w:p>
    <w:pPr>
      <w:pStyle w:val="Normal"/>
      <w:rPr/>
    </w:pPr>
    <w:r>
      <w:rPr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7</w:t>
    </w:r>
    <w:r>
      <w:rPr/>
      <w:fldChar w:fldCharType="end"/>
    </w:r>
  </w:p>
  <w:p>
    <w:pPr>
      <w:pStyle w:val="Normal"/>
      <w:rPr/>
    </w:pPr>
    <w:r>
      <w:rPr/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t>5</w:t>
    </w:r>
  </w:p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9</w:t>
    </w:r>
    <w:r>
      <w:rPr/>
      <w:fldChar w:fldCharType="end"/>
    </w:r>
  </w:p>
  <w:p>
    <w:pPr>
      <w:pStyle w:val="Normal"/>
      <w:rPr/>
    </w:pPr>
    <w:r>
      <w:rPr/>
    </w:r>
  </w:p>
</w:hdr>
</file>

<file path=word/header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t>8</w: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  <w:rPr/>
    </w:lvl>
  </w:abstractNum>
  <w:abstractNum w:abstractNumId="2">
    <w:lvl w:ilvl="0">
      <w:start w:val="4"/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  <w:rPr/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  <w:rPr/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701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</w:abstractNum>
  <w:abstractNum w:abstractNumId="5">
    <w:lvl w:ilvl="0">
      <w:start w:val="1"/>
      <w:numFmt w:val="decimal"/>
      <w:lvlText w:val="1.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4"/>
        <w:b/>
        <w:szCs w:val="24"/>
        <w:bCs w:val="fals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sz w:val="24"/>
        <w:b w:val="false"/>
        <w:szCs w:val="24"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9">
    <w:lvl w:ilvl="0">
      <w:start w:val="1"/>
      <w:numFmt w:val="decimal"/>
      <w:lvlText w:val="%1."/>
      <w:lvlJc w:val="center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0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11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1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3"/>
    <w:lvlOverride w:ilvl="0">
      <w:startOverride w:val="1"/>
    </w:lvlOverride>
    <w:lvlOverride w:ilvl="1">
      <w:startOverride w:val="4"/>
    </w:lvlOverride>
  </w:num>
  <w:num w:numId="14">
    <w:abstractNumId w:val="3"/>
  </w:num>
</w:numbering>
</file>

<file path=word/settings.xml><?xml version="1.0" encoding="utf-8"?>
<w:settings xmlns:w="http://schemas.openxmlformats.org/wordprocessingml/2006/main">
  <w:zoom w:percent="83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uiPriority="99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721543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Heading1">
    <w:name w:val="Heading 1"/>
    <w:basedOn w:val="Heading3"/>
    <w:next w:val="Normal"/>
    <w:link w:val="1"/>
    <w:qFormat/>
    <w:rsid w:val="00353a27"/>
    <w:pPr>
      <w:outlineLvl w:val="0"/>
    </w:pPr>
    <w:rPr>
      <w:sz w:val="28"/>
      <w:szCs w:val="28"/>
    </w:rPr>
  </w:style>
  <w:style w:type="paragraph" w:styleId="Heading2">
    <w:name w:val="Heading 2"/>
    <w:basedOn w:val="Heading4"/>
    <w:next w:val="Normal"/>
    <w:link w:val="2"/>
    <w:qFormat/>
    <w:rsid w:val="00ea61a8"/>
    <w:pPr>
      <w:outlineLvl w:val="1"/>
    </w:pPr>
    <w:rPr/>
  </w:style>
  <w:style w:type="paragraph" w:styleId="Heading3">
    <w:name w:val="Heading 3"/>
    <w:basedOn w:val="Normal"/>
    <w:next w:val="Normal"/>
    <w:link w:val="3"/>
    <w:autoRedefine/>
    <w:qFormat/>
    <w:rsid w:val="00035e96"/>
    <w:pPr>
      <w:keepNext w:val="true"/>
      <w:tabs>
        <w:tab w:val="clear" w:pos="708"/>
        <w:tab w:val="left" w:pos="0" w:leader="none"/>
      </w:tabs>
      <w:spacing w:before="120" w:after="60"/>
      <w:ind w:left="1224" w:hanging="504"/>
      <w:jc w:val="both"/>
      <w:outlineLvl w:val="2"/>
    </w:pPr>
    <w:rPr>
      <w:rFonts w:eastAsia="Calibri"/>
      <w:b/>
      <w:bCs/>
      <w:sz w:val="24"/>
      <w:szCs w:val="24"/>
      <w:lang w:val="x-none" w:eastAsia="x-none"/>
    </w:rPr>
  </w:style>
  <w:style w:type="paragraph" w:styleId="Heading4">
    <w:name w:val="Heading 4"/>
    <w:basedOn w:val="Heading3"/>
    <w:next w:val="Normal"/>
    <w:link w:val="4"/>
    <w:qFormat/>
    <w:rsid w:val="006629c9"/>
    <w:pPr>
      <w:outlineLvl w:val="3"/>
    </w:pPr>
    <w:rPr/>
  </w:style>
  <w:style w:type="paragraph" w:styleId="Heading5">
    <w:name w:val="Heading 5"/>
    <w:basedOn w:val="Normal"/>
    <w:next w:val="Normal"/>
    <w:link w:val="5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6"/>
    <w:uiPriority w:val="9"/>
    <w:qFormat/>
    <w:rsid w:val="00d22f6d"/>
    <w:pPr>
      <w:keepNext w:val="true"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7"/>
    <w:uiPriority w:val="9"/>
    <w:qFormat/>
    <w:rsid w:val="00d22f6d"/>
    <w:pPr>
      <w:keepNext w:val="true"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8"/>
    <w:uiPriority w:val="9"/>
    <w:qFormat/>
    <w:rsid w:val="00d22f6d"/>
    <w:pPr>
      <w:keepNext w:val="true"/>
      <w:keepLines/>
      <w:spacing w:before="200" w:after="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link w:val="9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" w:customStyle="1">
    <w:name w:val="Символ сноски"/>
    <w:qFormat/>
    <w:rsid w:val="00d561d9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Pagenumber">
    <w:name w:val="page number"/>
    <w:basedOn w:val="DefaultParagraphFont"/>
    <w:qFormat/>
    <w:rsid w:val="006c2f3f"/>
    <w:rPr/>
  </w:style>
  <w:style w:type="character" w:styleId="Hyperlink">
    <w:name w:val="Hyperlink"/>
    <w:uiPriority w:val="99"/>
    <w:rsid w:val="006c2f3f"/>
    <w:rPr>
      <w:color w:val="0000FF"/>
      <w:u w:val="single"/>
    </w:rPr>
  </w:style>
  <w:style w:type="character" w:styleId="Annotationreference">
    <w:name w:val="annotation reference"/>
    <w:semiHidden/>
    <w:qFormat/>
    <w:rsid w:val="00b714b0"/>
    <w:rPr>
      <w:sz w:val="16"/>
      <w:szCs w:val="16"/>
    </w:rPr>
  </w:style>
  <w:style w:type="character" w:styleId="Strong">
    <w:name w:val="Strong"/>
    <w:uiPriority w:val="22"/>
    <w:qFormat/>
    <w:rsid w:val="00165965"/>
    <w:rPr>
      <w:b/>
      <w:bCs/>
    </w:rPr>
  </w:style>
  <w:style w:type="character" w:styleId="6" w:customStyle="1">
    <w:name w:val="Заголовок 6 Знак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styleId="7" w:customStyle="1">
    <w:name w:val="Заголовок 7 Знак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styleId="8" w:customStyle="1">
    <w:name w:val="Заголовок 8 Знак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styleId="1" w:customStyle="1">
    <w:name w:val="Заголовок 1 Знак"/>
    <w:qFormat/>
    <w:rsid w:val="00353a27"/>
    <w:rPr>
      <w:rFonts w:eastAsia="Calibri"/>
      <w:b/>
      <w:sz w:val="28"/>
      <w:szCs w:val="28"/>
      <w:lang w:val="x-none" w:eastAsia="x-none"/>
    </w:rPr>
  </w:style>
  <w:style w:type="character" w:styleId="2" w:customStyle="1">
    <w:name w:val="Заголовок 2 Знак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styleId="3" w:customStyle="1">
    <w:name w:val="Заголовок 3 Знак"/>
    <w:qFormat/>
    <w:rsid w:val="00035e96"/>
    <w:rPr>
      <w:rFonts w:eastAsia="Calibri"/>
      <w:b/>
      <w:bCs/>
      <w:sz w:val="24"/>
      <w:szCs w:val="24"/>
      <w:lang w:val="x-none" w:eastAsia="x-none"/>
    </w:rPr>
  </w:style>
  <w:style w:type="character" w:styleId="4" w:customStyle="1">
    <w:name w:val="Заголовок 4 Знак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styleId="5" w:customStyle="1">
    <w:name w:val="Заголовок 5 Знак"/>
    <w:uiPriority w:val="9"/>
    <w:qFormat/>
    <w:rsid w:val="00d22f6d"/>
    <w:rPr>
      <w:b/>
      <w:bCs/>
      <w:i/>
      <w:iCs/>
      <w:sz w:val="26"/>
      <w:szCs w:val="26"/>
    </w:rPr>
  </w:style>
  <w:style w:type="character" w:styleId="9" w:customStyle="1">
    <w:name w:val="Заголовок 9 Знак"/>
    <w:uiPriority w:val="9"/>
    <w:qFormat/>
    <w:rsid w:val="00d22f6d"/>
    <w:rPr>
      <w:rFonts w:ascii="Arial" w:hAnsi="Arial" w:cs="Arial"/>
      <w:sz w:val="22"/>
      <w:szCs w:val="22"/>
    </w:rPr>
  </w:style>
  <w:style w:type="character" w:styleId="Style1" w:customStyle="1">
    <w:name w:val="Название Знак"/>
    <w:link w:val="14"/>
    <w:uiPriority w:val="10"/>
    <w:qFormat/>
    <w:rsid w:val="00d22f6d"/>
    <w:rPr>
      <w:sz w:val="28"/>
    </w:rPr>
  </w:style>
  <w:style w:type="character" w:styleId="Style2" w:customStyle="1">
    <w:name w:val="Подзаголовок Знак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Emphasis">
    <w:name w:val="Emphasis"/>
    <w:uiPriority w:val="20"/>
    <w:qFormat/>
    <w:rsid w:val="00d22f6d"/>
    <w:rPr>
      <w:i/>
      <w:iCs/>
    </w:rPr>
  </w:style>
  <w:style w:type="character" w:styleId="21" w:customStyle="1">
    <w:name w:val="Цитата 2 Знак"/>
    <w:link w:val="Quote"/>
    <w:uiPriority w:val="29"/>
    <w:qFormat/>
    <w:rsid w:val="00d22f6d"/>
    <w:rPr>
      <w:rFonts w:ascii="Calibri" w:hAnsi="Calibri" w:eastAsia="Calibri"/>
      <w:i/>
      <w:iCs/>
      <w:color w:val="000000"/>
      <w:lang w:val="x-none" w:eastAsia="x-none"/>
    </w:rPr>
  </w:style>
  <w:style w:type="character" w:styleId="Style3" w:customStyle="1">
    <w:name w:val="Выделенная цитата Знак"/>
    <w:link w:val="IntenseQuote"/>
    <w:uiPriority w:val="30"/>
    <w:qFormat/>
    <w:rsid w:val="00d22f6d"/>
    <w:rPr>
      <w:rFonts w:ascii="Calibri" w:hAnsi="Calibri" w:eastAsia="Calibri"/>
      <w:b/>
      <w:bCs/>
      <w:i/>
      <w:iCs/>
      <w:color w:val="4F81BD"/>
      <w:lang w:val="x-none" w:eastAsia="x-none"/>
    </w:rPr>
  </w:style>
  <w:style w:type="character" w:styleId="SubtleEmphasis">
    <w:name w:val="Subtle Emphasis"/>
    <w:uiPriority w:val="19"/>
    <w:qFormat/>
    <w:rsid w:val="00d22f6d"/>
    <w:rPr>
      <w:i/>
      <w:iCs/>
      <w:color w:val="808080"/>
    </w:rPr>
  </w:style>
  <w:style w:type="character" w:styleId="IntenseEmphasis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d22f6d"/>
    <w:rPr>
      <w:b/>
      <w:bCs/>
      <w:smallCaps/>
      <w:spacing w:val="5"/>
    </w:rPr>
  </w:style>
  <w:style w:type="character" w:styleId="Style4" w:customStyle="1">
    <w:name w:val="Электронная подпись Знак"/>
    <w:link w:val="E-mailSignature"/>
    <w:uiPriority w:val="99"/>
    <w:qFormat/>
    <w:rsid w:val="00d22f6d"/>
    <w:rPr>
      <w:rFonts w:eastAsia="Calibri"/>
      <w:sz w:val="24"/>
      <w:szCs w:val="24"/>
    </w:rPr>
  </w:style>
  <w:style w:type="character" w:styleId="11" w:customStyle="1">
    <w:name w:val="Подпункт Знак1"/>
    <w:link w:val="Style21"/>
    <w:qFormat/>
    <w:locked/>
    <w:rsid w:val="00d22f6d"/>
    <w:rPr>
      <w:sz w:val="28"/>
    </w:rPr>
  </w:style>
  <w:style w:type="character" w:styleId="Style5" w:customStyle="1">
    <w:name w:val="Текст сноски Знак"/>
    <w:qFormat/>
    <w:rsid w:val="00d22f6d"/>
    <w:rPr/>
  </w:style>
  <w:style w:type="character" w:styleId="Style6" w:customStyle="1">
    <w:name w:val="Основной текст Знак"/>
    <w:qFormat/>
    <w:rsid w:val="004459a5"/>
    <w:rPr>
      <w:sz w:val="28"/>
      <w:szCs w:val="28"/>
    </w:rPr>
  </w:style>
  <w:style w:type="character" w:styleId="Blk" w:customStyle="1">
    <w:name w:val="blk"/>
    <w:qFormat/>
    <w:rsid w:val="00431ace"/>
    <w:rPr/>
  </w:style>
  <w:style w:type="character" w:styleId="Style7" w:customStyle="1">
    <w:name w:val="Абзац списка Знак"/>
    <w:link w:val="ListParagraph"/>
    <w:uiPriority w:val="34"/>
    <w:qFormat/>
    <w:locked/>
    <w:rsid w:val="00310eb4"/>
    <w:rPr>
      <w:rFonts w:eastAsia="Calibri"/>
      <w:sz w:val="24"/>
      <w:szCs w:val="24"/>
    </w:rPr>
  </w:style>
  <w:style w:type="character" w:styleId="Style8" w:customStyle="1">
    <w:name w:val="комментарий"/>
    <w:qFormat/>
    <w:rsid w:val="0025139e"/>
    <w:rPr>
      <w:b/>
      <w:i/>
      <w:shd w:fill="FFFF99" w:val="clear"/>
    </w:rPr>
  </w:style>
  <w:style w:type="character" w:styleId="Style9" w:customStyle="1">
    <w:name w:val="Подподпункт Знак"/>
    <w:link w:val="Style29"/>
    <w:qFormat/>
    <w:locked/>
    <w:rsid w:val="0025139e"/>
    <w:rPr>
      <w:sz w:val="26"/>
      <w:szCs w:val="26"/>
    </w:rPr>
  </w:style>
  <w:style w:type="character" w:styleId="31" w:customStyle="1">
    <w:name w:val="УРОВЕНЬ_Абзац_тип3 Знак"/>
    <w:link w:val="35"/>
    <w:qFormat/>
    <w:rsid w:val="00b56f46"/>
    <w:rPr>
      <w:rFonts w:eastAsia="Calibri"/>
      <w:sz w:val="26"/>
      <w:szCs w:val="28"/>
      <w:lang w:eastAsia="en-US"/>
    </w:rPr>
  </w:style>
  <w:style w:type="character" w:styleId="Style10" w:customStyle="1">
    <w:name w:val="Верхний колонтитул Знак"/>
    <w:uiPriority w:val="99"/>
    <w:qFormat/>
    <w:rsid w:val="002f31af"/>
    <w:rPr>
      <w:sz w:val="24"/>
      <w:szCs w:val="24"/>
    </w:rPr>
  </w:style>
  <w:style w:type="character" w:styleId="Style11" w:customStyle="1">
    <w:name w:val="Текст примечания Знак"/>
    <w:link w:val="Annotationtext"/>
    <w:semiHidden/>
    <w:qFormat/>
    <w:rsid w:val="00dc0f7d"/>
    <w:rPr/>
  </w:style>
  <w:style w:type="character" w:styleId="Style12" w:customStyle="1">
    <w:name w:val="Текст концевой сноски Знак"/>
    <w:basedOn w:val="DefaultParagraphFont"/>
    <w:qFormat/>
    <w:rsid w:val="003879d4"/>
    <w:rPr/>
  </w:style>
  <w:style w:type="character" w:styleId="Style13" w:customStyle="1">
    <w:name w:val="Символ концевой сноски"/>
    <w:qFormat/>
    <w:rsid w:val="003879d4"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22" w:customStyle="1">
    <w:name w:val="Пункт2 Знак"/>
    <w:link w:val="24"/>
    <w:qFormat/>
    <w:rsid w:val="00de52bc"/>
    <w:rPr>
      <w:b/>
      <w:sz w:val="28"/>
    </w:rPr>
  </w:style>
  <w:style w:type="character" w:styleId="12" w:customStyle="1">
    <w:name w:val="УРОВЕНЬ_1. Знак"/>
    <w:link w:val="18"/>
    <w:qFormat/>
    <w:rsid w:val="004a17ae"/>
    <w:rPr>
      <w:rFonts w:eastAsia="Calibri"/>
      <w:caps/>
      <w:sz w:val="28"/>
      <w:szCs w:val="28"/>
      <w:lang w:eastAsia="en-US"/>
    </w:rPr>
  </w:style>
  <w:style w:type="character" w:styleId="Style14" w:customStyle="1">
    <w:name w:val="Ссылка указателя"/>
    <w:qFormat/>
    <w:rPr/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Arial Unicode MS"/>
      <w:sz w:val="28"/>
      <w:szCs w:val="28"/>
    </w:rPr>
  </w:style>
  <w:style w:type="paragraph" w:styleId="BodyText">
    <w:name w:val="Body Text"/>
    <w:basedOn w:val="Normal"/>
    <w:link w:val="Style6"/>
    <w:rsid w:val="0076353a"/>
    <w:pPr>
      <w:spacing w:before="0" w:after="12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Arial Unicode MS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Indexheading1">
    <w:name w:val="index heading1"/>
    <w:basedOn w:val="Title"/>
    <w:qFormat/>
    <w:pPr/>
    <w:rPr/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" w:customStyle="1">
    <w:name w:val="index heading11"/>
    <w:basedOn w:val="Title"/>
    <w:qFormat/>
    <w:pPr/>
    <w:rPr/>
  </w:style>
  <w:style w:type="paragraph" w:styleId="Style17" w:customStyle="1">
    <w:name w:val="Название раздела инструкции"/>
    <w:basedOn w:val="Normal"/>
    <w:autoRedefine/>
    <w:qFormat/>
    <w:rsid w:val="00275328"/>
    <w:pPr>
      <w:jc w:val="center"/>
    </w:pPr>
    <w:rPr>
      <w:b/>
    </w:rPr>
  </w:style>
  <w:style w:type="paragraph" w:styleId="Style18" w:customStyle="1">
    <w:name w:val="Раздел положения"/>
    <w:basedOn w:val="Normal"/>
    <w:autoRedefine/>
    <w:qFormat/>
    <w:rsid w:val="007475ee"/>
    <w:pPr>
      <w:numPr>
        <w:ilvl w:val="0"/>
        <w:numId w:val="1"/>
      </w:numPr>
      <w:spacing w:before="80" w:after="80"/>
      <w:jc w:val="center"/>
    </w:pPr>
    <w:rPr>
      <w:b/>
      <w:sz w:val="32"/>
      <w:szCs w:val="32"/>
    </w:rPr>
  </w:style>
  <w:style w:type="paragraph" w:styleId="Style19" w:customStyle="1">
    <w:name w:val="Подраздел раздела положения"/>
    <w:basedOn w:val="Normal"/>
    <w:autoRedefine/>
    <w:qFormat/>
    <w:rsid w:val="007475ee"/>
    <w:pPr>
      <w:numPr>
        <w:ilvl w:val="1"/>
        <w:numId w:val="1"/>
      </w:numPr>
      <w:spacing w:before="80" w:after="80"/>
      <w:jc w:val="both"/>
    </w:pPr>
    <w:rPr/>
  </w:style>
  <w:style w:type="paragraph" w:styleId="FootnoteText">
    <w:name w:val="Footnote Text"/>
    <w:basedOn w:val="Normal"/>
    <w:link w:val="Style5"/>
    <w:rsid w:val="00d561d9"/>
    <w:pPr/>
    <w:rPr>
      <w:sz w:val="20"/>
      <w:szCs w:val="20"/>
    </w:rPr>
  </w:style>
  <w:style w:type="paragraph" w:styleId="13" w:customStyle="1">
    <w:name w:val="Шапка 1"/>
    <w:basedOn w:val="Normal"/>
    <w:qFormat/>
    <w:rsid w:val="00d561d9"/>
    <w:pPr>
      <w:pBdr>
        <w:bottom w:val="thickThinSmallGap" w:sz="24" w:space="1" w:color="000000"/>
      </w:pBdr>
      <w:spacing w:before="0" w:after="240"/>
      <w:jc w:val="center"/>
    </w:pPr>
    <w:rPr>
      <w:sz w:val="22"/>
      <w:szCs w:val="22"/>
    </w:rPr>
  </w:style>
  <w:style w:type="paragraph" w:styleId="23" w:customStyle="1">
    <w:name w:val="Шапка 2"/>
    <w:basedOn w:val="Normal"/>
    <w:qFormat/>
    <w:rsid w:val="00d561d9"/>
    <w:pPr>
      <w:pBdr>
        <w:bottom w:val="thickThinSmallGap" w:sz="24" w:space="1" w:color="000000"/>
      </w:pBdr>
      <w:spacing w:before="0" w:after="120"/>
      <w:jc w:val="center"/>
    </w:pPr>
    <w:rPr>
      <w:b/>
      <w:sz w:val="22"/>
      <w:szCs w:val="22"/>
    </w:rPr>
  </w:style>
  <w:style w:type="paragraph" w:styleId="32" w:customStyle="1">
    <w:name w:val="Шапка 3"/>
    <w:basedOn w:val="Normal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styleId="14" w:customStyle="1">
    <w:name w:val="Название1"/>
    <w:basedOn w:val="Normal"/>
    <w:link w:val="Style1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Style20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10"/>
    <w:uiPriority w:val="99"/>
    <w:rsid w:val="0076353a"/>
    <w:pPr>
      <w:tabs>
        <w:tab w:val="clear" w:pos="708"/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BodyTextIndent">
    <w:name w:val="Body Text Indent"/>
    <w:basedOn w:val="Normal"/>
    <w:rsid w:val="0076353a"/>
    <w:pPr>
      <w:ind w:left="360" w:hanging="0"/>
    </w:pPr>
    <w:rPr>
      <w:sz w:val="24"/>
      <w:szCs w:val="24"/>
    </w:rPr>
  </w:style>
  <w:style w:type="paragraph" w:styleId="Footer">
    <w:name w:val="Footer"/>
    <w:basedOn w:val="Normal"/>
    <w:rsid w:val="0076353a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qFormat/>
    <w:rsid w:val="0076353a"/>
    <w:pPr>
      <w:spacing w:lineRule="auto" w:line="480" w:before="0" w:after="120"/>
      <w:ind w:left="283" w:hanging="0"/>
    </w:pPr>
    <w:rPr/>
  </w:style>
  <w:style w:type="paragraph" w:styleId="BodyText3">
    <w:name w:val="Body Text 3"/>
    <w:basedOn w:val="Normal"/>
    <w:qFormat/>
    <w:rsid w:val="0076353a"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Normal"/>
    <w:qFormat/>
    <w:rsid w:val="0076353a"/>
    <w:pPr>
      <w:spacing w:before="0" w:after="120"/>
      <w:ind w:left="283" w:hanging="0"/>
    </w:pPr>
    <w:rPr>
      <w:sz w:val="16"/>
      <w:szCs w:val="16"/>
    </w:rPr>
  </w:style>
  <w:style w:type="paragraph" w:styleId="BodyText2">
    <w:name w:val="Body Text 2"/>
    <w:basedOn w:val="Normal"/>
    <w:qFormat/>
    <w:rsid w:val="0076353a"/>
    <w:pPr>
      <w:spacing w:lineRule="auto" w:line="480" w:before="0" w:after="120"/>
    </w:pPr>
    <w:rPr/>
  </w:style>
  <w:style w:type="paragraph" w:styleId="BlockText">
    <w:name w:val="Block Text"/>
    <w:basedOn w:val="Normal"/>
    <w:qFormat/>
    <w:rsid w:val="0076353a"/>
    <w:pPr>
      <w:ind w:left="-567" w:right="-766" w:hanging="0"/>
      <w:jc w:val="center"/>
    </w:pPr>
    <w:rPr>
      <w:b/>
      <w:bCs/>
      <w:sz w:val="24"/>
      <w:szCs w:val="20"/>
    </w:rPr>
  </w:style>
  <w:style w:type="paragraph" w:styleId="Style21" w:customStyle="1">
    <w:name w:val="Подпункт"/>
    <w:basedOn w:val="Normal"/>
    <w:link w:val="11"/>
    <w:qFormat/>
    <w:rsid w:val="0076353a"/>
    <w:pPr>
      <w:tabs>
        <w:tab w:val="clear" w:pos="708"/>
        <w:tab w:val="left" w:pos="1134" w:leader="none"/>
      </w:tabs>
      <w:snapToGrid w:val="false"/>
      <w:spacing w:lineRule="auto" w:line="360"/>
      <w:ind w:left="1134" w:hanging="1134"/>
      <w:jc w:val="both"/>
    </w:pPr>
    <w:rPr>
      <w:szCs w:val="20"/>
      <w:lang w:val="x-none" w:eastAsia="x-none"/>
    </w:rPr>
  </w:style>
  <w:style w:type="paragraph" w:styleId="24" w:customStyle="1">
    <w:name w:val="Пункт2"/>
    <w:basedOn w:val="Normal"/>
    <w:link w:val="22"/>
    <w:qFormat/>
    <w:rsid w:val="0076353a"/>
    <w:pPr>
      <w:keepNext w:val="true"/>
      <w:tabs>
        <w:tab w:val="clear" w:pos="708"/>
        <w:tab w:val="left" w:pos="1134" w:leader="none"/>
      </w:tabs>
      <w:snapToGrid w:val="false"/>
      <w:spacing w:before="240" w:after="120"/>
      <w:ind w:left="1134" w:hanging="1134"/>
      <w:outlineLvl w:val="2"/>
    </w:pPr>
    <w:rPr>
      <w:b/>
      <w:szCs w:val="20"/>
    </w:rPr>
  </w:style>
  <w:style w:type="paragraph" w:styleId="TOC1">
    <w:name w:val="TOC 1"/>
    <w:basedOn w:val="Normal"/>
    <w:next w:val="Normal"/>
    <w:autoRedefine/>
    <w:uiPriority w:val="39"/>
    <w:rsid w:val="0064033a"/>
    <w:pPr>
      <w:spacing w:before="120" w:after="0"/>
      <w:ind w:firstLine="567"/>
    </w:pPr>
    <w:rPr>
      <w:rFonts w:cs="Calibri Light (Заголовки)"/>
      <w:b/>
      <w:bCs/>
      <w:sz w:val="24"/>
      <w:szCs w:val="24"/>
    </w:rPr>
  </w:style>
  <w:style w:type="paragraph" w:styleId="TOC3">
    <w:name w:val="TOC 3"/>
    <w:basedOn w:val="Normal"/>
    <w:next w:val="Normal"/>
    <w:autoRedefine/>
    <w:uiPriority w:val="39"/>
    <w:rsid w:val="0064033a"/>
    <w:pPr>
      <w:tabs>
        <w:tab w:val="clear" w:pos="708"/>
        <w:tab w:val="left" w:pos="1400" w:leader="none"/>
        <w:tab w:val="right" w:pos="9911" w:leader="dot"/>
      </w:tabs>
      <w:ind w:left="280" w:firstLine="287"/>
    </w:pPr>
    <w:rPr>
      <w:rFonts w:cs="Calibri" w:cstheme="minorHAnsi"/>
      <w:sz w:val="20"/>
      <w:szCs w:val="20"/>
    </w:rPr>
  </w:style>
  <w:style w:type="paragraph" w:styleId="Style22" w:customStyle="1">
    <w:name w:val="Раздел регламента"/>
    <w:basedOn w:val="Normal"/>
    <w:qFormat/>
    <w:rsid w:val="00e228fa"/>
    <w:pPr/>
    <w:rPr/>
  </w:style>
  <w:style w:type="paragraph" w:styleId="Style23" w:customStyle="1">
    <w:name w:val="Приложение к регламенту"/>
    <w:basedOn w:val="Normal"/>
    <w:qFormat/>
    <w:rsid w:val="00e228fa"/>
    <w:pPr>
      <w:jc w:val="right"/>
    </w:pPr>
    <w:rPr/>
  </w:style>
  <w:style w:type="paragraph" w:styleId="TOC2">
    <w:name w:val="TOC 2"/>
    <w:basedOn w:val="Normal"/>
    <w:next w:val="Normal"/>
    <w:autoRedefine/>
    <w:uiPriority w:val="39"/>
    <w:rsid w:val="00693883"/>
    <w:pPr>
      <w:spacing w:before="240" w:after="0"/>
    </w:pPr>
    <w:rPr>
      <w:rFonts w:cs="Calibri" w:cstheme="minorHAnsi"/>
      <w:bCs/>
      <w:sz w:val="20"/>
      <w:szCs w:val="20"/>
    </w:rPr>
  </w:style>
  <w:style w:type="paragraph" w:styleId="BalloonText">
    <w:name w:val="Balloon Text"/>
    <w:basedOn w:val="Normal"/>
    <w:semiHidden/>
    <w:qFormat/>
    <w:rsid w:val="00197c91"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Style11"/>
    <w:semiHidden/>
    <w:qFormat/>
    <w:rsid w:val="00b714b0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semiHidden/>
    <w:qFormat/>
    <w:rsid w:val="00b714b0"/>
    <w:pPr/>
    <w:rPr>
      <w:b/>
      <w:bCs/>
    </w:rPr>
  </w:style>
  <w:style w:type="paragraph" w:styleId="15" w:customStyle="1">
    <w:name w:val="Обычный (веб)1"/>
    <w:basedOn w:val="Normal"/>
    <w:uiPriority w:val="99"/>
    <w:qFormat/>
    <w:rsid w:val="002f559a"/>
    <w:pPr>
      <w:spacing w:beforeAutospacing="1" w:afterAutospacing="1"/>
    </w:pPr>
    <w:rPr>
      <w:rFonts w:ascii="Arial Unicode MS" w:hAnsi="Arial Unicode MS" w:eastAsia="Arial Unicode MS" w:cs="Arial Unicode MS"/>
      <w:sz w:val="24"/>
      <w:szCs w:val="24"/>
    </w:rPr>
  </w:style>
  <w:style w:type="paragraph" w:styleId="TOC9">
    <w:name w:val="TOC 9"/>
    <w:basedOn w:val="Normal"/>
    <w:next w:val="Normal"/>
    <w:autoRedefine/>
    <w:semiHidden/>
    <w:rsid w:val="00f57628"/>
    <w:pPr>
      <w:ind w:left="196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semiHidden/>
    <w:rsid w:val="00f57628"/>
    <w:pPr>
      <w:ind w:left="84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rsid w:val="006b6b70"/>
    <w:pPr>
      <w:tabs>
        <w:tab w:val="clear" w:pos="708"/>
        <w:tab w:val="left" w:pos="1120" w:leader="none"/>
        <w:tab w:val="right" w:pos="9911" w:leader="none"/>
      </w:tabs>
      <w:ind w:left="560" w:hanging="0"/>
    </w:pPr>
    <w:rPr>
      <w:rFonts w:cs="Calibri" w:cstheme="minorHAnsi"/>
      <w:sz w:val="20"/>
      <w:szCs w:val="20"/>
    </w:rPr>
  </w:style>
  <w:style w:type="paragraph" w:styleId="25" w:customStyle="1">
    <w:name w:val="Раздел положения 2"/>
    <w:basedOn w:val="Normal"/>
    <w:qFormat/>
    <w:rsid w:val="002c1e0e"/>
    <w:pPr>
      <w:pageBreakBefore/>
      <w:jc w:val="both"/>
      <w:outlineLvl w:val="0"/>
    </w:pPr>
    <w:rPr>
      <w:b/>
    </w:rPr>
  </w:style>
  <w:style w:type="paragraph" w:styleId="Style24" w:customStyle="1">
    <w:name w:val="Знак Знак Знак Знак Знак Знак Знак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NoSpacing">
    <w:name w:val="No Spacing"/>
    <w:basedOn w:val="Normal"/>
    <w:uiPriority w:val="1"/>
    <w:qFormat/>
    <w:rsid w:val="00d22f6d"/>
    <w:pPr>
      <w:spacing w:lineRule="auto" w:line="360"/>
    </w:pPr>
    <w:rPr>
      <w:rFonts w:eastAsia="Calibri"/>
      <w:sz w:val="24"/>
      <w:szCs w:val="24"/>
    </w:rPr>
  </w:style>
  <w:style w:type="paragraph" w:styleId="Caption111" w:customStyle="1">
    <w:name w:val="caption111"/>
    <w:basedOn w:val="Normal"/>
    <w:next w:val="Normal"/>
    <w:uiPriority w:val="35"/>
    <w:qFormat/>
    <w:rsid w:val="00d22f6d"/>
    <w:pPr/>
    <w:rPr>
      <w:rFonts w:eastAsia="Calibri"/>
      <w:b/>
      <w:bCs/>
      <w:color w:val="4F81BD"/>
      <w:sz w:val="18"/>
      <w:szCs w:val="18"/>
    </w:rPr>
  </w:style>
  <w:style w:type="paragraph" w:styleId="Subtitle">
    <w:name w:val="Subtitle"/>
    <w:basedOn w:val="Normal"/>
    <w:next w:val="Normal"/>
    <w:link w:val="Style2"/>
    <w:uiPriority w:val="11"/>
    <w:qFormat/>
    <w:rsid w:val="00d22f6d"/>
    <w:p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ListParagraph">
    <w:name w:val="List Paragraph"/>
    <w:basedOn w:val="Normal"/>
    <w:link w:val="Style7"/>
    <w:uiPriority w:val="34"/>
    <w:qFormat/>
    <w:rsid w:val="00d22f6d"/>
    <w:pPr>
      <w:spacing w:before="0" w:after="0"/>
      <w:ind w:left="720" w:hanging="0"/>
      <w:contextualSpacing/>
    </w:pPr>
    <w:rPr>
      <w:rFonts w:eastAsia="Calibri"/>
      <w:sz w:val="24"/>
      <w:szCs w:val="24"/>
    </w:rPr>
  </w:style>
  <w:style w:type="paragraph" w:styleId="Quote">
    <w:name w:val="Quote"/>
    <w:basedOn w:val="Normal"/>
    <w:next w:val="Normal"/>
    <w:link w:val="21"/>
    <w:uiPriority w:val="29"/>
    <w:qFormat/>
    <w:rsid w:val="00d22f6d"/>
    <w:pPr/>
    <w:rPr>
      <w:rFonts w:ascii="Calibri" w:hAnsi="Calibri" w:eastAsia="Calibri"/>
      <w:i/>
      <w:iCs/>
      <w:color w:val="000000"/>
      <w:sz w:val="20"/>
      <w:szCs w:val="20"/>
      <w:lang w:val="x-none" w:eastAsia="x-none"/>
    </w:rPr>
  </w:style>
  <w:style w:type="paragraph" w:styleId="IntenseQuote">
    <w:name w:val="Intense Quote"/>
    <w:basedOn w:val="Normal"/>
    <w:next w:val="Normal"/>
    <w:link w:val="Style3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eastAsia="Calibri"/>
      <w:b/>
      <w:bCs/>
      <w:i/>
      <w:iCs/>
      <w:color w:val="4F81BD"/>
      <w:sz w:val="20"/>
      <w:szCs w:val="20"/>
      <w:lang w:val="x-none" w:eastAsia="x-none"/>
    </w:rPr>
  </w:style>
  <w:style w:type="paragraph" w:styleId="IndexHeading">
    <w:name w:val="Index Heading"/>
    <w:basedOn w:val="Style15"/>
    <w:pPr/>
    <w:rPr/>
  </w:style>
  <w:style w:type="paragraph" w:styleId="TOCHeading">
    <w:name w:val="TOC Heading"/>
    <w:basedOn w:val="Heading1"/>
    <w:next w:val="Normal"/>
    <w:uiPriority w:val="39"/>
    <w:qFormat/>
    <w:rsid w:val="00d22f6d"/>
    <w:pPr>
      <w:keepLines/>
      <w:spacing w:before="480" w:after="60"/>
      <w:outlineLvl w:val="9"/>
    </w:pPr>
    <w:rPr>
      <w:rFonts w:ascii="Cambria" w:hAnsi="Cambria"/>
      <w:color w:val="365F91"/>
    </w:rPr>
  </w:style>
  <w:style w:type="paragraph" w:styleId="E-mailSignature">
    <w:name w:val="E-mail Signature"/>
    <w:basedOn w:val="Normal"/>
    <w:link w:val="Style4"/>
    <w:uiPriority w:val="99"/>
    <w:unhideWhenUsed/>
    <w:qFormat/>
    <w:rsid w:val="00d22f6d"/>
    <w:pPr/>
    <w:rPr>
      <w:rFonts w:eastAsia="Calibri"/>
      <w:sz w:val="24"/>
      <w:szCs w:val="24"/>
      <w:lang w:val="x-none" w:eastAsia="x-none"/>
    </w:rPr>
  </w:style>
  <w:style w:type="paragraph" w:styleId="Style25" w:customStyle="1">
    <w:name w:val="Знак"/>
    <w:basedOn w:val="Normal"/>
    <w:qFormat/>
    <w:rsid w:val="00d22f6d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33" w:customStyle="1">
    <w:name w:val="Нумерованный список ур3"/>
    <w:basedOn w:val="Normal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styleId="41" w:customStyle="1">
    <w:name w:val="Маркированный список 41"/>
    <w:basedOn w:val="Normal"/>
    <w:qFormat/>
    <w:rsid w:val="00d22f6d"/>
    <w:pPr>
      <w:numPr>
        <w:ilvl w:val="0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26" w:customStyle="1">
    <w:name w:val="Нумерованный список ур2"/>
    <w:basedOn w:val="Normal"/>
    <w:qFormat/>
    <w:rsid w:val="00d22f6d"/>
    <w:pPr>
      <w:numPr>
        <w:ilvl w:val="1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Revision">
    <w:name w:val="Revision"/>
    <w:uiPriority w:val="99"/>
    <w:semiHidden/>
    <w:qFormat/>
    <w:rsid w:val="00d22f6d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auto"/>
      <w:kern w:val="0"/>
      <w:sz w:val="24"/>
      <w:szCs w:val="24"/>
      <w:lang w:val="ru-RU" w:eastAsia="ru-RU" w:bidi="ar-SA"/>
    </w:rPr>
  </w:style>
  <w:style w:type="paragraph" w:styleId="ConsPlusNormal" w:customStyle="1">
    <w:name w:val="ConsPlusNormal"/>
    <w:qFormat/>
    <w:rsid w:val="00d22f6d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34" w:customStyle="1">
    <w:name w:val="Знак Знак3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Style26" w:customStyle="1">
    <w:name w:val="Пункт"/>
    <w:basedOn w:val="Normal"/>
    <w:qFormat/>
    <w:rsid w:val="00d22f6d"/>
    <w:pPr>
      <w:widowControl w:val="false"/>
      <w:tabs>
        <w:tab w:val="clear" w:pos="708"/>
        <w:tab w:val="left" w:pos="1134" w:leader="none"/>
      </w:tabs>
      <w:spacing w:lineRule="auto" w:line="360" w:before="120" w:after="0"/>
      <w:ind w:left="1134" w:right="800" w:hanging="1134"/>
      <w:jc w:val="both"/>
    </w:pPr>
    <w:rPr>
      <w:rFonts w:ascii="Arial" w:hAnsi="Arial"/>
      <w:b/>
      <w:i/>
      <w:szCs w:val="20"/>
    </w:rPr>
  </w:style>
  <w:style w:type="paragraph" w:styleId="16" w:customStyle="1">
    <w:name w:val="Абзац списка1"/>
    <w:basedOn w:val="Normal"/>
    <w:qFormat/>
    <w:rsid w:val="00d22f6d"/>
    <w:pPr>
      <w:spacing w:lineRule="auto" w:line="276" w:before="0" w:after="200"/>
      <w:ind w:left="720" w:hanging="0"/>
      <w:contextualSpacing/>
    </w:pPr>
    <w:rPr>
      <w:rFonts w:ascii="Calibri" w:hAnsi="Calibri"/>
      <w:sz w:val="22"/>
      <w:szCs w:val="22"/>
      <w:lang w:eastAsia="en-US"/>
    </w:rPr>
  </w:style>
  <w:style w:type="paragraph" w:styleId="Style27" w:customStyle="1">
    <w:name w:val="Таблица"/>
    <w:basedOn w:val="Normal"/>
    <w:qFormat/>
    <w:rsid w:val="0041356c"/>
    <w:pPr>
      <w:keepNext w:val="true"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styleId="Style28" w:customStyle="1">
    <w:name w:val="Таблица шапка"/>
    <w:basedOn w:val="Normal"/>
    <w:qFormat/>
    <w:rsid w:val="00f64089"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Style29" w:customStyle="1">
    <w:name w:val="Подподпункт"/>
    <w:basedOn w:val="Style21"/>
    <w:link w:val="Style9"/>
    <w:qFormat/>
    <w:rsid w:val="0025139e"/>
    <w:pPr>
      <w:tabs>
        <w:tab w:val="clear" w:pos="1134"/>
        <w:tab w:val="left" w:pos="5104" w:leader="none"/>
      </w:tabs>
      <w:snapToGrid w:val="true"/>
      <w:spacing w:lineRule="auto" w:line="240" w:before="120" w:after="0"/>
      <w:ind w:left="5104" w:hanging="567"/>
    </w:pPr>
    <w:rPr>
      <w:sz w:val="26"/>
      <w:szCs w:val="26"/>
      <w:lang w:val="ru-RU" w:eastAsia="ru-RU"/>
    </w:rPr>
  </w:style>
  <w:style w:type="paragraph" w:styleId="Style30" w:customStyle="1">
    <w:name w:val="УРОВЕНЬ_(а)"/>
    <w:basedOn w:val="ListParagraph"/>
    <w:qFormat/>
    <w:rsid w:val="00b56f46"/>
    <w:pPr>
      <w:numPr>
        <w:ilvl w:val="3"/>
        <w:numId w:val="4"/>
      </w:numPr>
      <w:spacing w:lineRule="exact" w:line="360" w:before="120" w:after="0"/>
      <w:contextualSpacing w:val="false"/>
      <w:jc w:val="both"/>
      <w:outlineLvl w:val="3"/>
    </w:pPr>
    <w:rPr>
      <w:sz w:val="26"/>
      <w:szCs w:val="28"/>
      <w:lang w:eastAsia="en-US"/>
    </w:rPr>
  </w:style>
  <w:style w:type="paragraph" w:styleId="-" w:customStyle="1">
    <w:name w:val="УРОВЕНЬ_-"/>
    <w:basedOn w:val="ListParagraph"/>
    <w:qFormat/>
    <w:rsid w:val="00b56f46"/>
    <w:pPr>
      <w:numPr>
        <w:ilvl w:val="4"/>
        <w:numId w:val="4"/>
      </w:numPr>
      <w:spacing w:lineRule="exact" w:line="360" w:before="120" w:after="0"/>
      <w:contextualSpacing w:val="false"/>
      <w:jc w:val="both"/>
      <w:outlineLvl w:val="4"/>
    </w:pPr>
    <w:rPr>
      <w:sz w:val="26"/>
      <w:szCs w:val="28"/>
      <w:lang w:eastAsia="en-US"/>
    </w:rPr>
  </w:style>
  <w:style w:type="paragraph" w:styleId="27" w:customStyle="1">
    <w:name w:val="УРОВЕНЬ_Абзац_тип2"/>
    <w:basedOn w:val="ListParagraph"/>
    <w:qFormat/>
    <w:rsid w:val="00b56f46"/>
    <w:pPr>
      <w:numPr>
        <w:ilvl w:val="6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35" w:customStyle="1">
    <w:name w:val="УРОВЕНЬ_Абзац_тип3"/>
    <w:basedOn w:val="ListParagraph"/>
    <w:link w:val="31"/>
    <w:qFormat/>
    <w:rsid w:val="00b56f46"/>
    <w:pPr>
      <w:numPr>
        <w:ilvl w:val="7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Style31" w:customStyle="1">
    <w:name w:val="УРОВЕНЬ_Подпись"/>
    <w:basedOn w:val="ListParagraph"/>
    <w:qFormat/>
    <w:rsid w:val="00b56f46"/>
    <w:pPr>
      <w:keepNext w:val="true"/>
      <w:numPr>
        <w:ilvl w:val="5"/>
        <w:numId w:val="4"/>
      </w:numPr>
      <w:spacing w:lineRule="exact" w:line="360" w:before="120" w:after="120"/>
      <w:contextualSpacing w:val="false"/>
      <w:jc w:val="right"/>
      <w:outlineLvl w:val="3"/>
    </w:pPr>
    <w:rPr>
      <w:sz w:val="26"/>
      <w:szCs w:val="28"/>
      <w:lang w:eastAsia="en-US"/>
    </w:rPr>
  </w:style>
  <w:style w:type="paragraph" w:styleId="17" w:customStyle="1">
    <w:name w:val="Стиль Заголовок 1 + по ширине"/>
    <w:basedOn w:val="Heading1"/>
    <w:qFormat/>
    <w:rsid w:val="005773b2"/>
    <w:pPr>
      <w:keepLines/>
      <w:tabs>
        <w:tab w:val="clear" w:pos="0"/>
        <w:tab w:val="left" w:pos="567" w:leader="none"/>
      </w:tabs>
      <w:spacing w:before="480" w:after="240"/>
      <w:ind w:left="567" w:hanging="567"/>
    </w:pPr>
    <w:rPr>
      <w:rFonts w:ascii="Arial" w:hAnsi="Arial" w:eastAsia="Times New Roman"/>
      <w:kern w:val="2"/>
      <w:sz w:val="40"/>
      <w:szCs w:val="20"/>
      <w:lang w:val="ru-RU" w:eastAsia="ru-RU"/>
    </w:rPr>
  </w:style>
  <w:style w:type="paragraph" w:styleId="EndnoteText">
    <w:name w:val="Endnote Text"/>
    <w:basedOn w:val="Normal"/>
    <w:link w:val="Style12"/>
    <w:rsid w:val="003879d4"/>
    <w:pPr/>
    <w:rPr>
      <w:sz w:val="20"/>
      <w:szCs w:val="20"/>
    </w:rPr>
  </w:style>
  <w:style w:type="paragraph" w:styleId="28" w:customStyle="1">
    <w:name w:val="Заголовок 2 КВВ"/>
    <w:basedOn w:val="Normal"/>
    <w:qFormat/>
    <w:rsid w:val="00cb35e8"/>
    <w:pPr>
      <w:keepNext w:val="true"/>
      <w:numPr>
        <w:ilvl w:val="0"/>
        <w:numId w:val="5"/>
      </w:numPr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styleId="Style32" w:customStyle="1">
    <w:name w:val="Таблица текст"/>
    <w:basedOn w:val="Normal"/>
    <w:qFormat/>
    <w:rsid w:val="00343e95"/>
    <w:pPr>
      <w:spacing w:before="40" w:after="40"/>
      <w:ind w:left="57" w:right="57" w:hanging="0"/>
    </w:pPr>
    <w:rPr>
      <w:sz w:val="24"/>
      <w:szCs w:val="26"/>
    </w:rPr>
  </w:style>
  <w:style w:type="paragraph" w:styleId="NormalWeb">
    <w:name w:val="Normal (Web)"/>
    <w:basedOn w:val="Normal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styleId="18" w:customStyle="1">
    <w:name w:val="УРОВЕНЬ_1."/>
    <w:basedOn w:val="ListParagraph"/>
    <w:link w:val="12"/>
    <w:qFormat/>
    <w:rsid w:val="004a17ae"/>
    <w:pPr>
      <w:keepNext w:val="true"/>
      <w:keepLines/>
      <w:spacing w:lineRule="auto" w:line="276" w:before="240" w:after="120"/>
      <w:ind w:left="0" w:hanging="0"/>
      <w:contextualSpacing w:val="false"/>
      <w:jc w:val="both"/>
      <w:outlineLvl w:val="0"/>
    </w:pPr>
    <w:rPr>
      <w:caps/>
      <w:sz w:val="28"/>
      <w:szCs w:val="28"/>
      <w:lang w:eastAsia="en-US"/>
    </w:rPr>
  </w:style>
  <w:style w:type="paragraph" w:styleId="TOC6">
    <w:name w:val="TOC 6"/>
    <w:basedOn w:val="Normal"/>
    <w:next w:val="Normal"/>
    <w:autoRedefine/>
    <w:unhideWhenUsed/>
    <w:rsid w:val="00d849aa"/>
    <w:pPr>
      <w:ind w:left="112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nhideWhenUsed/>
    <w:rsid w:val="00d849aa"/>
    <w:pPr>
      <w:ind w:left="140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nhideWhenUsed/>
    <w:rsid w:val="00d849aa"/>
    <w:pPr>
      <w:ind w:left="168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Style33" w:customStyle="1">
    <w:name w:val="[РГ] Текст"/>
    <w:basedOn w:val="Normal"/>
    <w:qFormat/>
    <w:rsid w:val="001d0d22"/>
    <w:pPr>
      <w:spacing w:before="120" w:after="0"/>
      <w:jc w:val="both"/>
    </w:pPr>
    <w:rPr>
      <w:rFonts w:eastAsia="Calibri" w:eastAsiaTheme="minorHAnsi"/>
      <w:color w:val="000000"/>
      <w:sz w:val="26"/>
      <w:szCs w:val="26"/>
      <w:lang w:eastAsia="en-US"/>
    </w:rPr>
  </w:style>
  <w:style w:type="paragraph" w:styleId="Style34" w:customStyle="1">
    <w:name w:val="Содержимое врезки"/>
    <w:basedOn w:val="Normal"/>
    <w:qFormat/>
    <w:pPr/>
    <w:rPr/>
  </w:style>
  <w:style w:type="paragraph" w:styleId="Style35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36" w:customStyle="1">
    <w:name w:val="Заголовок таблицы"/>
    <w:basedOn w:val="Style35"/>
    <w:qFormat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numbering" w:styleId="19" w:customStyle="1">
    <w:name w:val="Стиль1"/>
    <w:uiPriority w:val="99"/>
    <w:qFormat/>
    <w:rsid w:val="00f001e4"/>
  </w:style>
  <w:style w:type="numbering" w:styleId="29" w:customStyle="1">
    <w:name w:val="Стиль2"/>
    <w:uiPriority w:val="99"/>
    <w:qFormat/>
    <w:rsid w:val="006629c9"/>
  </w:style>
  <w:style w:type="table" w:default="1" w:styleId="a5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ff8">
    <w:name w:val="Table Grid"/>
    <w:basedOn w:val="a5"/>
    <w:uiPriority w:val="39"/>
    <w:rsid w:val="0076353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b">
    <w:name w:val="Сетка таблицы1"/>
    <w:basedOn w:val="a5"/>
    <w:uiPriority w:val="39"/>
    <w:rsid w:val="00214b9f"/>
    <w:rPr>
      <w:rFonts w:asciiTheme="minorHAnsi" w:hAnsiTheme="minorHAnsi" w:eastAsiaTheme="minorHAnsi" w:cstheme="minorBidi"/>
      <w:lang w:eastAsia="en-US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header" Target="header4.xml"/><Relationship Id="rId6" Type="http://schemas.openxmlformats.org/officeDocument/2006/relationships/header" Target="header5.xml"/><Relationship Id="rId7" Type="http://schemas.openxmlformats.org/officeDocument/2006/relationships/header" Target="header6.xml"/><Relationship Id="rId8" Type="http://schemas.openxmlformats.org/officeDocument/2006/relationships/header" Target="header7.xml"/><Relationship Id="rId9" Type="http://schemas.openxmlformats.org/officeDocument/2006/relationships/header" Target="header8.xml"/><Relationship Id="rId10" Type="http://schemas.openxmlformats.org/officeDocument/2006/relationships/numbering" Target="numbering.xml"/><Relationship Id="rId11" Type="http://schemas.openxmlformats.org/officeDocument/2006/relationships/fontTable" Target="fontTable.xml"/><Relationship Id="rId12" Type="http://schemas.openxmlformats.org/officeDocument/2006/relationships/settings" Target="settings.xml"/><Relationship Id="rId13" Type="http://schemas.openxmlformats.org/officeDocument/2006/relationships/theme" Target="theme/theme1.xml"/><Relationship Id="rId14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4B4815-3D05-4F11-84CD-935C7C8C31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6246</TotalTime>
  <Application>AlterOffice/3.4.0.9$Linux_X86_64 LibreOffice_project/b8daf9e823b1a5463a2f48435ddc2e8696e7d4fc</Application>
  <AppVersion>15.0000</AppVersion>
  <Pages>8</Pages>
  <Words>1133</Words>
  <Characters>7845</Characters>
  <CharactersWithSpaces>9216</CharactersWithSpaces>
  <Paragraphs>166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2023-05-15T06:58:00Z</dcterms:created>
  <dc:creator>Быстров Олег Геннадьевич</dc:creator>
  <dc:description/>
  <dc:language>ru-RU</dc:language>
  <cp:lastModifiedBy>khizhnyakvn@corp.gidroogk.com</cp:lastModifiedBy>
  <cp:lastPrinted>2025-09-11T17:52:00Z</cp:lastPrinted>
  <dcterms:modified xsi:type="dcterms:W3CDTF">2026-09-07T17:26:09Z</dcterms:modified>
  <cp:revision>53</cp:revision>
  <dc:subject/>
  <dc:title>Российское открытое акционерное общество энергетики и электрификации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