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_rels/document.xml.rels" ContentType="application/vnd.openxmlformats-package.relationships+xml"/>
  <Override PartName="/word/header1.xml" ContentType="application/vnd.openxmlformats-officedocument.wordprocessingml.header+xml"/>
  <Override PartName="/word/numbering.xml" ContentType="application/vnd.openxmlformats-officedocument.wordprocessingml.numbering+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footer3.xml" ContentType="application/vnd.openxmlformats-officedocument.wordprocessingml.footer+xml"/>
  <Override PartName="/word/settings.xml" ContentType="application/vnd.openxmlformats-officedocument.wordprocessingml.settings+xml"/>
  <Override PartName="/word/footer6.xml" ContentType="application/vnd.openxmlformats-officedocument.wordprocessingml.footer+xml"/>
  <Override PartName="/word/fontTable.xml" ContentType="application/vnd.openxmlformats-officedocument.wordprocessingml.fontTable+xml"/>
  <Override PartName="/word/footer4.xml" ContentType="application/vnd.openxmlformats-officedocument.wordprocessingml.footer+xml"/>
  <Override PartName="/word/theme/theme1.xml" ContentType="application/vnd.openxmlformats-officedocument.theme+xml"/>
  <Override PartName="/word/footer5.xml" ContentType="application/vnd.openxmlformats-officedocument.wordprocessingml.footer+xml"/>
  <Override PartName="/word/styles.xml" ContentType="application/vnd.openxmlformats-officedocument.wordprocessingml.style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numPr>
          <w:ilvl w:val="0"/>
          <w:numId w:val="0"/>
        </w:numPr>
        <w:spacing w:before="0" w:after="120"/>
        <w:ind w:left="0" w:hanging="0"/>
        <w:outlineLvl w:val="0"/>
        <w:rPr>
          <w:sz w:val="24"/>
        </w:rPr>
      </w:pPr>
      <w:r>
        <w:rPr>
          <w:sz w:val="24"/>
        </w:rPr>
        <w:t xml:space="preserve"> </w:t>
      </w:r>
      <w:r>
        <w:rPr>
          <w:sz w:val="24"/>
        </w:rPr>
        <w:t>Договор поставки №____-Вот/инвест/пос</w:t>
      </w:r>
    </w:p>
    <w:p>
      <w:pPr>
        <w:pStyle w:val="Normal"/>
        <w:shd w:val="clear" w:color="auto" w:fill="FFFFFF"/>
        <w:spacing w:before="0" w:after="120"/>
        <w:jc w:val="both"/>
        <w:rPr>
          <w:sz w:val="24"/>
          <w:szCs w:val="24"/>
          <w:highlight w:val="yellow"/>
        </w:rPr>
      </w:pPr>
      <w:r>
        <w:rPr>
          <w:sz w:val="24"/>
          <w:szCs w:val="24"/>
        </w:rPr>
        <w:t>г. Пермь</w:t>
        <w:tab/>
        <w:tab/>
        <w:tab/>
        <w:tab/>
        <w:t xml:space="preserve">     </w:t>
        <w:tab/>
        <w:t xml:space="preserve"> </w:t>
        <w:tab/>
        <w:t xml:space="preserve">                                 « ___»                 202</w:t>
      </w:r>
      <w:r>
        <w:rPr>
          <w:sz w:val="24"/>
          <w:szCs w:val="24"/>
          <w:u w:val="single"/>
        </w:rPr>
        <w:t xml:space="preserve">  </w:t>
      </w:r>
      <w:r>
        <w:rPr>
          <w:sz w:val="24"/>
          <w:szCs w:val="24"/>
        </w:rPr>
        <w:t>г.</w:t>
      </w:r>
    </w:p>
    <w:p>
      <w:pPr>
        <w:pStyle w:val="Normal"/>
        <w:shd w:val="clear" w:color="auto" w:fill="FFFFFF"/>
        <w:spacing w:before="0" w:after="120"/>
        <w:ind w:firstLine="567"/>
        <w:jc w:val="both"/>
        <w:rPr>
          <w:sz w:val="24"/>
          <w:szCs w:val="24"/>
        </w:rPr>
      </w:pPr>
      <w:r>
        <w:rPr>
          <w:sz w:val="24"/>
          <w:szCs w:val="24"/>
        </w:rPr>
      </w:r>
    </w:p>
    <w:p>
      <w:pPr>
        <w:pStyle w:val="Normal"/>
        <w:spacing w:before="0" w:after="120"/>
        <w:ind w:firstLine="567"/>
        <w:jc w:val="both"/>
        <w:rPr>
          <w:sz w:val="24"/>
          <w:szCs w:val="24"/>
        </w:rPr>
      </w:pPr>
      <w:r>
        <w:rPr>
          <w:b/>
          <w:sz w:val="24"/>
          <w:szCs w:val="24"/>
        </w:rPr>
        <w:t xml:space="preserve">Акционерное общество «Гидроремонт-ВКК» (АО «Гидроремонт-ВКК»), </w:t>
      </w:r>
      <w:r>
        <w:rPr>
          <w:sz w:val="24"/>
          <w:szCs w:val="24"/>
        </w:rPr>
        <w:t>именуемое в дальнейшем «</w:t>
      </w:r>
      <w:r>
        <w:rPr>
          <w:b/>
          <w:sz w:val="24"/>
          <w:szCs w:val="24"/>
        </w:rPr>
        <w:t>Покупатель</w:t>
      </w:r>
      <w:r>
        <w:rPr>
          <w:sz w:val="24"/>
          <w:szCs w:val="24"/>
        </w:rPr>
        <w:t>», в лице Директора Воткинского филиала АО «Гидроремонт-ВКК» в г. Чайковский Глазырина Николая Васильевича, действующего на основании Доверенности № от           года, с одной стороны, и</w:t>
      </w:r>
    </w:p>
    <w:p>
      <w:pPr>
        <w:pStyle w:val="Normal"/>
        <w:spacing w:before="0" w:after="120"/>
        <w:ind w:firstLine="567"/>
        <w:jc w:val="both"/>
        <w:rPr>
          <w:b/>
          <w:sz w:val="24"/>
          <w:szCs w:val="24"/>
        </w:rPr>
      </w:pPr>
      <w:r>
        <w:rPr>
          <w:sz w:val="24"/>
          <w:szCs w:val="24"/>
          <w:u w:val="single"/>
        </w:rPr>
        <w:t xml:space="preserve">                              </w:t>
      </w:r>
      <w:r>
        <w:rPr>
          <w:b/>
          <w:sz w:val="24"/>
          <w:szCs w:val="24"/>
        </w:rPr>
        <w:t xml:space="preserve">  </w:t>
      </w:r>
      <w:r>
        <w:rPr>
          <w:b/>
          <w:sz w:val="24"/>
          <w:szCs w:val="24"/>
        </w:rPr>
        <w:t>«» («</w:t>
      </w:r>
      <w:r>
        <w:rPr>
          <w:sz w:val="24"/>
          <w:szCs w:val="24"/>
          <w:u w:val="single"/>
        </w:rPr>
        <w:t xml:space="preserve">       </w:t>
      </w:r>
      <w:r>
        <w:rPr>
          <w:b/>
          <w:sz w:val="24"/>
          <w:szCs w:val="24"/>
        </w:rPr>
        <w:t xml:space="preserve">»), </w:t>
      </w:r>
      <w:r>
        <w:rPr>
          <w:sz w:val="24"/>
          <w:szCs w:val="24"/>
        </w:rPr>
        <w:t>именуемое в дальнейшем</w:t>
      </w:r>
      <w:r>
        <w:rPr>
          <w:b/>
          <w:sz w:val="24"/>
          <w:szCs w:val="24"/>
        </w:rPr>
        <w:t xml:space="preserve"> «Поставщик», </w:t>
      </w:r>
      <w:r>
        <w:rPr>
          <w:sz w:val="24"/>
          <w:szCs w:val="24"/>
        </w:rPr>
        <w:t xml:space="preserve">в лице __________, действующего на основании Устава, с другой стороны, совместно в дальнейшем именуемые «Стороны», а по отдельности – «Сторона», </w:t>
      </w:r>
    </w:p>
    <w:p>
      <w:pPr>
        <w:pStyle w:val="Normal"/>
        <w:spacing w:before="0" w:after="120"/>
        <w:ind w:firstLine="567"/>
        <w:jc w:val="both"/>
        <w:rPr>
          <w:sz w:val="24"/>
          <w:szCs w:val="24"/>
        </w:rPr>
      </w:pPr>
      <w:r>
        <w:rPr>
          <w:sz w:val="24"/>
          <w:szCs w:val="24"/>
        </w:rPr>
        <w:t>по результатам проведенного запроса котировок в электронной форме, лот №</w:t>
      </w:r>
      <w:r>
        <w:rPr/>
        <w:t xml:space="preserve"> </w:t>
      </w:r>
      <w:r>
        <w:rPr>
          <w:sz w:val="24"/>
          <w:szCs w:val="24"/>
        </w:rPr>
        <w:t>004</w:t>
      </w:r>
      <w:r>
        <w:rPr>
          <w:sz w:val="24"/>
          <w:szCs w:val="24"/>
        </w:rPr>
        <w:t>5</w:t>
      </w:r>
      <w:r>
        <w:rPr>
          <w:sz w:val="24"/>
          <w:szCs w:val="24"/>
        </w:rPr>
        <w:t xml:space="preserve">-ТПИР ОНМ-2027-ГРВКК-ВотФ, что подтверждается Протоколом №____ от </w:t>
      </w:r>
      <w:r>
        <w:rPr>
          <w:bCs/>
          <w:sz w:val="24"/>
          <w:szCs w:val="24"/>
        </w:rPr>
        <w:t>«_____» _________ 20 __ г.,</w:t>
      </w:r>
      <w:r>
        <w:rPr>
          <w:sz w:val="24"/>
          <w:szCs w:val="24"/>
        </w:rPr>
        <w:t xml:space="preserve">       </w:t>
      </w:r>
    </w:p>
    <w:p>
      <w:pPr>
        <w:pStyle w:val="Normal"/>
        <w:spacing w:before="0" w:after="120"/>
        <w:ind w:firstLine="567"/>
        <w:jc w:val="both"/>
        <w:rPr>
          <w:sz w:val="24"/>
          <w:szCs w:val="24"/>
        </w:rPr>
      </w:pPr>
      <w:r>
        <w:rPr>
          <w:sz w:val="24"/>
          <w:szCs w:val="24"/>
        </w:rPr>
        <w:t xml:space="preserve"> </w:t>
      </w:r>
      <w:r>
        <w:rPr>
          <w:sz w:val="24"/>
          <w:szCs w:val="24"/>
        </w:rPr>
        <w:t>заключили настоящий Договор (далее – «Договор») о нижеследующем:</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Предмет Договора</w:t>
      </w:r>
    </w:p>
    <w:p>
      <w:pPr>
        <w:pStyle w:val="Title"/>
        <w:numPr>
          <w:ilvl w:val="1"/>
          <w:numId w:val="6"/>
        </w:numPr>
        <w:shd w:val="clear" w:color="auto" w:fill="FFFFFF"/>
        <w:tabs>
          <w:tab w:val="clear" w:pos="720"/>
          <w:tab w:val="left" w:pos="142" w:leader="none"/>
          <w:tab w:val="left" w:pos="540" w:leader="none"/>
        </w:tabs>
        <w:spacing w:before="120" w:after="120"/>
        <w:ind w:left="0" w:firstLine="567"/>
        <w:jc w:val="both"/>
        <w:rPr>
          <w:b w:val="false"/>
          <w:sz w:val="24"/>
        </w:rPr>
      </w:pPr>
      <w:r>
        <w:rPr>
          <w:b w:val="false"/>
          <w:sz w:val="24"/>
        </w:rPr>
        <w:t xml:space="preserve">Поставщик обязуется передать Покупателю </w:t>
      </w:r>
      <w:r>
        <w:rPr>
          <w:b/>
          <w:bCs/>
          <w:sz w:val="24"/>
        </w:rPr>
        <w:t>штабелер электрический самоходный</w:t>
      </w:r>
      <w:r>
        <w:rPr>
          <w:b/>
          <w:bCs/>
          <w:sz w:val="24"/>
        </w:rPr>
        <w:t xml:space="preserve"> </w:t>
      </w:r>
      <w:r>
        <w:rPr>
          <w:sz w:val="24"/>
        </w:rPr>
        <w:t xml:space="preserve"> </w:t>
      </w:r>
      <w:r>
        <w:rPr>
          <w:b w:val="false"/>
          <w:sz w:val="24"/>
        </w:rPr>
        <w:t>(далее – «Продукция») на условиях, согласованных Сторонами в Договоре, в соответствии со Спецификацией (Приложение № 1) и техническими требованиями (Приложение № 2), а Покупатель обязуется принять и оплатить Продукцию в установленном Договором порядке.</w:t>
      </w:r>
    </w:p>
    <w:p>
      <w:pPr>
        <w:pStyle w:val="Title"/>
        <w:numPr>
          <w:ilvl w:val="1"/>
          <w:numId w:val="6"/>
        </w:numPr>
        <w:shd w:val="clear" w:color="auto" w:fill="FFFFFF"/>
        <w:tabs>
          <w:tab w:val="clear" w:pos="720"/>
          <w:tab w:val="left" w:pos="142" w:leader="none"/>
          <w:tab w:val="left" w:pos="540" w:leader="none"/>
          <w:tab w:val="left" w:pos="574" w:leader="none"/>
        </w:tabs>
        <w:spacing w:before="0" w:after="120"/>
        <w:ind w:left="0" w:firstLine="567"/>
        <w:jc w:val="both"/>
        <w:rPr>
          <w:b w:val="false"/>
          <w:sz w:val="24"/>
        </w:rPr>
      </w:pPr>
      <w:r>
        <w:rPr>
          <w:b w:val="false"/>
          <w:sz w:val="24"/>
        </w:rPr>
        <w:t>Поставка осуществляется одной партией.</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0" w:firstLine="567"/>
        <w:contextualSpacing w:val="false"/>
        <w:jc w:val="both"/>
        <w:rPr>
          <w:sz w:val="24"/>
          <w:szCs w:val="24"/>
        </w:rPr>
      </w:pPr>
      <w:r>
        <w:rPr>
          <w:sz w:val="24"/>
          <w:szCs w:val="24"/>
        </w:rPr>
        <w:t>Поставка по Договору выполняется для нужд Воткинского филиала АО «Гидроремонт-ВКК» г. Чайковский.</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0" w:firstLine="567"/>
        <w:contextualSpacing w:val="false"/>
        <w:jc w:val="both"/>
        <w:rPr>
          <w:sz w:val="24"/>
          <w:szCs w:val="24"/>
        </w:rPr>
      </w:pPr>
      <w:r>
        <w:rPr>
          <w:sz w:val="24"/>
          <w:szCs w:val="24"/>
        </w:rPr>
        <w:t>Место поставки: Воткинский филиал АО «Гидроремонт-ВКК» ПУ в г. Пермь 614030, Пермский край, г. Пермь, территория филиала ПАО «РусГидро» - «Камская ГЭС».</w:t>
      </w:r>
    </w:p>
    <w:p>
      <w:pPr>
        <w:pStyle w:val="ListParagraph"/>
        <w:numPr>
          <w:ilvl w:val="1"/>
          <w:numId w:val="6"/>
        </w:numPr>
        <w:shd w:val="clear" w:color="auto" w:fill="FFFFFF"/>
        <w:tabs>
          <w:tab w:val="clear" w:pos="720"/>
          <w:tab w:val="left" w:pos="142" w:leader="none"/>
          <w:tab w:val="left" w:pos="540" w:leader="none"/>
          <w:tab w:val="left" w:pos="574" w:leader="none"/>
        </w:tabs>
        <w:spacing w:before="0" w:after="120"/>
        <w:ind w:left="720" w:firstLine="135"/>
        <w:contextualSpacing w:val="false"/>
        <w:jc w:val="both"/>
        <w:rPr>
          <w:sz w:val="24"/>
          <w:szCs w:val="24"/>
        </w:rPr>
      </w:pPr>
      <w:r>
        <w:rPr>
          <w:sz w:val="24"/>
          <w:szCs w:val="24"/>
        </w:rPr>
        <w:t>Срок поставки Продукции по договору: Не позднее 45 календарных дней c даты подписания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Цена Договора и порядок оплаты</w:t>
      </w:r>
    </w:p>
    <w:p>
      <w:pPr>
        <w:pStyle w:val="Normal"/>
        <w:shd w:val="clear" w:color="auto" w:fill="FFFFFF"/>
        <w:tabs>
          <w:tab w:val="clear" w:pos="720"/>
          <w:tab w:val="left" w:pos="0" w:leader="none"/>
          <w:tab w:val="left" w:pos="851" w:leader="none"/>
        </w:tabs>
        <w:spacing w:before="0" w:after="120"/>
        <w:jc w:val="both"/>
        <w:rPr>
          <w:sz w:val="24"/>
          <w:szCs w:val="24"/>
        </w:rPr>
      </w:pPr>
      <w:r>
        <w:rPr>
          <w:sz w:val="24"/>
          <w:szCs w:val="24"/>
        </w:rPr>
        <w:t xml:space="preserve">2.1.     Общая стоимость Продукции (далее – «Цена Договора») по Договору составляет </w:t>
      </w:r>
      <w:r>
        <w:rPr>
          <w:b/>
          <w:sz w:val="24"/>
          <w:szCs w:val="24"/>
        </w:rPr>
        <w:t>____</w:t>
      </w:r>
      <w:r>
        <w:rPr>
          <w:sz w:val="24"/>
          <w:szCs w:val="24"/>
        </w:rPr>
        <w:t xml:space="preserve"> (_____) рубля </w:t>
      </w:r>
      <w:r>
        <w:rPr>
          <w:b/>
          <w:sz w:val="24"/>
          <w:szCs w:val="24"/>
        </w:rPr>
        <w:t xml:space="preserve">00 </w:t>
      </w:r>
      <w:r>
        <w:rPr>
          <w:sz w:val="24"/>
          <w:szCs w:val="24"/>
        </w:rPr>
        <w:t xml:space="preserve">копейки,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bCs/>
          <w:szCs w:val="28"/>
          <w:vertAlign w:val="superscript"/>
        </w:rPr>
        <w:t xml:space="preserve"> </w:t>
      </w:r>
      <w:r>
        <w:rPr>
          <w:rStyle w:val="FootnoteReference"/>
          <w:bCs/>
          <w:szCs w:val="28"/>
        </w:rPr>
        <w:footnoteReference w:id="2"/>
      </w:r>
    </w:p>
    <w:p>
      <w:pPr>
        <w:pStyle w:val="Normal"/>
        <w:shd w:val="clear" w:color="auto" w:fill="FFFFFF"/>
        <w:tabs>
          <w:tab w:val="clear" w:pos="720"/>
          <w:tab w:val="left" w:pos="142" w:leader="none"/>
          <w:tab w:val="left" w:pos="540" w:leader="none"/>
        </w:tabs>
        <w:spacing w:lineRule="auto" w:line="288"/>
        <w:jc w:val="both"/>
        <w:rPr>
          <w:sz w:val="24"/>
          <w:szCs w:val="24"/>
        </w:rPr>
      </w:pPr>
      <w:r>
        <w:rPr>
          <w:sz w:val="24"/>
          <w:szCs w:val="24"/>
        </w:rPr>
        <w:tab/>
        <w:tab/>
        <w:t xml:space="preserve">2.2.     Цена Договора включает в себя: </w:t>
      </w:r>
    </w:p>
    <w:p>
      <w:pPr>
        <w:pStyle w:val="Normal"/>
        <w:shd w:val="clear" w:color="auto" w:fill="FFFFFF"/>
        <w:tabs>
          <w:tab w:val="clear" w:pos="720"/>
          <w:tab w:val="left" w:pos="540" w:leader="none"/>
        </w:tabs>
        <w:spacing w:lineRule="auto" w:line="288"/>
        <w:ind w:left="720" w:hanging="0"/>
        <w:jc w:val="both"/>
        <w:rPr>
          <w:sz w:val="24"/>
          <w:szCs w:val="24"/>
        </w:rPr>
      </w:pPr>
      <w:r>
        <w:rPr>
          <w:sz w:val="24"/>
          <w:szCs w:val="24"/>
        </w:rPr>
        <w:t>2.2.1.   Стоимость Продукции;</w:t>
      </w:r>
    </w:p>
    <w:p>
      <w:pPr>
        <w:pStyle w:val="Normal"/>
        <w:shd w:val="clear" w:color="auto" w:fill="FFFFFF"/>
        <w:tabs>
          <w:tab w:val="clear" w:pos="720"/>
          <w:tab w:val="left" w:pos="540" w:leader="none"/>
        </w:tabs>
        <w:spacing w:lineRule="auto" w:line="288"/>
        <w:ind w:left="720" w:hanging="0"/>
        <w:jc w:val="both"/>
        <w:rPr>
          <w:sz w:val="24"/>
          <w:szCs w:val="24"/>
        </w:rPr>
      </w:pPr>
      <w:r>
        <w:rPr>
          <w:sz w:val="24"/>
          <w:szCs w:val="24"/>
        </w:rPr>
        <w:t>2.2.2.   Транспортные расходы по доставке Продукции в Место поставки.</w:t>
      </w:r>
    </w:p>
    <w:p>
      <w:pPr>
        <w:pStyle w:val="Normal"/>
        <w:tabs>
          <w:tab w:val="clear" w:pos="720"/>
          <w:tab w:val="left" w:pos="0" w:leader="none"/>
          <w:tab w:val="left" w:pos="851" w:leader="none"/>
        </w:tabs>
        <w:spacing w:before="0" w:after="120"/>
        <w:ind w:firstLine="567"/>
        <w:jc w:val="both"/>
        <w:rPr>
          <w:sz w:val="24"/>
          <w:szCs w:val="24"/>
        </w:rPr>
      </w:pPr>
      <w:r>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сертификации, паспортизации, испытаний, необходимых для использования Продукции (если применимо), </w:t>
      </w:r>
      <w:r>
        <w:rPr>
          <w:sz w:val="24"/>
          <w:szCs w:val="24"/>
        </w:rPr>
        <w:t xml:space="preserve">подлежащие уплате налоги, сборы и пошлины (в т.ч. по таможенному оформлению, если применимо), </w:t>
      </w:r>
      <w:r>
        <w:rPr>
          <w:bCs/>
          <w:sz w:val="24"/>
          <w:szCs w:val="24"/>
        </w:rPr>
        <w:t xml:space="preserve">а также </w:t>
      </w:r>
      <w:r>
        <w:rPr>
          <w:sz w:val="24"/>
          <w:szCs w:val="24"/>
        </w:rPr>
        <w:t xml:space="preserve">все прочие затраты и расходы Поставщика, в том числе страхование груза, получение разрешений и другие сборы связанные с поставкой Продукции и исполнением иных обязательств по Договору. </w:t>
      </w:r>
    </w:p>
    <w:p>
      <w:pPr>
        <w:pStyle w:val="Normal"/>
        <w:shd w:val="clear" w:color="auto" w:fill="FFFFFF"/>
        <w:tabs>
          <w:tab w:val="clear" w:pos="720"/>
          <w:tab w:val="left" w:pos="0" w:leader="none"/>
          <w:tab w:val="left" w:pos="851" w:leader="none"/>
        </w:tabs>
        <w:spacing w:before="0" w:after="120"/>
        <w:jc w:val="both"/>
        <w:rPr>
          <w:sz w:val="24"/>
          <w:szCs w:val="24"/>
        </w:rPr>
      </w:pPr>
      <w:r>
        <w:rPr>
          <w:sz w:val="24"/>
          <w:szCs w:val="24"/>
        </w:rPr>
        <w:tab/>
        <w:t>2.3.    Стоимость Продукции является фиксированной и не подлежит изменению.</w:t>
      </w:r>
    </w:p>
    <w:p>
      <w:pPr>
        <w:pStyle w:val="Normal"/>
        <w:shd w:val="clear" w:color="auto" w:fill="FFFFFF"/>
        <w:tabs>
          <w:tab w:val="clear" w:pos="720"/>
          <w:tab w:val="left" w:pos="0" w:leader="none"/>
          <w:tab w:val="left" w:pos="851" w:leader="none"/>
        </w:tabs>
        <w:spacing w:before="0" w:after="120"/>
        <w:jc w:val="both"/>
        <w:rPr>
          <w:sz w:val="24"/>
          <w:szCs w:val="24"/>
        </w:rPr>
      </w:pPr>
      <w:r>
        <w:rPr>
          <w:sz w:val="24"/>
          <w:szCs w:val="24"/>
        </w:rPr>
        <w:t xml:space="preserve">         </w:t>
      </w:r>
      <w:r>
        <w:rPr>
          <w:sz w:val="24"/>
          <w:szCs w:val="24"/>
        </w:rPr>
        <w:t xml:space="preserve">2.4.  Стоимость единицы Продукции определяется Спецификацией (Приложение № 1). </w:t>
      </w:r>
    </w:p>
    <w:p>
      <w:pPr>
        <w:pStyle w:val="Normal"/>
        <w:shd w:val="clear" w:color="auto" w:fill="FFFFFF"/>
        <w:tabs>
          <w:tab w:val="clear" w:pos="720"/>
          <w:tab w:val="left" w:pos="0" w:leader="none"/>
          <w:tab w:val="left" w:pos="851" w:leader="none"/>
        </w:tabs>
        <w:spacing w:before="0" w:after="120"/>
        <w:jc w:val="both"/>
        <w:rPr>
          <w:sz w:val="24"/>
          <w:szCs w:val="24"/>
        </w:rPr>
      </w:pPr>
      <w:r>
        <w:rPr>
          <w:sz w:val="24"/>
          <w:szCs w:val="24"/>
        </w:rPr>
        <w:t xml:space="preserve">          </w:t>
      </w:r>
      <w:r>
        <w:rPr>
          <w:sz w:val="24"/>
          <w:szCs w:val="24"/>
        </w:rPr>
        <w:t>2.5. Оплата в соответствии с договором осуществляется следующим образом: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2.5.1. Платеж в размере 100 (Сто) % от стоимости поставленной Продукции, согласно Спецификации, производится Покупателем в течение 30 (тридцати) календарных дней / 7 (семи) рабочих дней</w:t>
      </w:r>
      <w:r>
        <w:rPr>
          <w:rStyle w:val="FootnoteReference"/>
          <w:sz w:val="24"/>
          <w:szCs w:val="24"/>
        </w:rPr>
        <w:footnoteReference w:id="3"/>
      </w:r>
      <w:r>
        <w:rPr>
          <w:sz w:val="24"/>
          <w:szCs w:val="24"/>
        </w:rPr>
        <w:t xml:space="preserve"> с даты подписания Товарной накладной по форме ТОРГ-12 или Универсального передаточного документа (УПД) на поставленную Продукцию, при условии получения счета, выставленного Поставщиком с учетом п. 2.6 Договора.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2.6.</w:t>
        <w:tab/>
        <w:t>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В случае получения Покупателем счета Поставщика позднее чем за 10 (Десять) календарных дней до истечения определенного в Договоре срока на оплату, оплата по счету Поставщика осуществляется в течение 10 (Десяти) календарных дней с даты его получения Покупателем.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2.7.</w:t>
        <w:tab/>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2.8.</w:t>
        <w:tab/>
        <w:t>По соглашению сторон возможны иные формы расчетов, не противоречащие законодательству Российской Федерации.</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2.9.</w:t>
        <w:tab/>
        <w:t>Поставщик обязан представить Покупателю счет-фактуру (УПД), выставленный в сроки и оформленный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(УПД),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Обществом, и суммой соответствующего авансового платежа, взятого без учета НДС.</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2.10.</w:t>
        <w:tab/>
        <w:t xml:space="preserve">Если имеются нарушения со стороны Поставщика и Покупатель выставил ему счет на оплату неустойки, то Покупатель вправе удержать платеж в части или полностью, не доплатить Поставщику на сумму неустойки.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2.11.</w:t>
        <w:tab/>
        <w:t xml:space="preserve">Любые и все дополнительные расходы, и издержки, понесенные Поставщиком в результате задержки со стороны Покупателя на единовременный период до 30 (Тридцати) дней или совокупной длительностью до 90 (Девяноста)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до 30 (Тридцати) дней или совокупной длительностью до 90 (Девяноста) дней не предоставляет Поставщику право на соразмерное продление срока исполнения своих обязательств по настоящему Договору. </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срок задержки составляет единовременно 31 (Тридцать один) день или в совокупности 91 (Девяносто один) день и более;</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такие задержки происходят по вине Покупателя;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исполнение Поставщиком своего обязательства обусловлено исполнением обязательств Покупателем согласно Договору (встречное обязательство);</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w:t>
        <w:tab/>
        <w:t>обязательство Покупателя, по которому произошла задержка, не является денежным.</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2.12.</w:t>
        <w:tab/>
        <w:t>Индексация Цены Договора не допускается.</w:t>
      </w:r>
    </w:p>
    <w:p>
      <w:pPr>
        <w:pStyle w:val="Normal"/>
        <w:shd w:val="clear" w:color="auto" w:fill="FFFFFF"/>
        <w:tabs>
          <w:tab w:val="clear" w:pos="720"/>
          <w:tab w:val="left" w:pos="567" w:leader="none"/>
          <w:tab w:val="left" w:pos="1440" w:leader="none"/>
        </w:tabs>
        <w:spacing w:before="0" w:after="120"/>
        <w:jc w:val="both"/>
        <w:rPr>
          <w:sz w:val="24"/>
          <w:szCs w:val="24"/>
        </w:rPr>
      </w:pPr>
      <w:r>
        <w:rPr>
          <w:sz w:val="24"/>
          <w:szCs w:val="24"/>
        </w:rPr>
        <w:tab/>
        <w:t>2.13.</w:t>
        <w:tab/>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 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Товара, поставленного Поставщиком. Покупатель направляет Поставщику уведомление о проведении сальдо взаимных обязательств Сторон по Договору.</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Качество, количество и комплектность</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Продукция должна быть новой, не бывшей в употреблении, пригодной для использования по своему назначению. Поставщик гарантирует, что Продукция принадлежит ему на законном основании, в споре, залоге или под арестом не состоит, правами третьих лиц не обременена.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Качество, комплектность, количество и ассортимент поставляемой Продукции должны соответствовать требованиям Покупателя, Договора, Спецификации, государственным стандартам (техническим регламентам), техническим условиям и другой нормативно-технической документации.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Паспорт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Гарантийный талон или другой документ, выполнение требований которого является условием выполнения гарантийных обязательств производителя или поставщика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Декларация о соответствии техническому регламенту Таможенного союза ТР ТС 010/2011 "О безопасности машин и оборудования". на русском языке в 1 экз.;</w:t>
      </w:r>
    </w:p>
    <w:p>
      <w:pPr>
        <w:pStyle w:val="Normal"/>
        <w:widowControl w:val="false"/>
        <w:numPr>
          <w:ilvl w:val="0"/>
          <w:numId w:val="3"/>
        </w:numPr>
        <w:shd w:val="clear" w:color="auto" w:fill="FFFFFF"/>
        <w:tabs>
          <w:tab w:val="clear" w:pos="720"/>
          <w:tab w:val="left" w:pos="0" w:leader="none"/>
          <w:tab w:val="left" w:pos="900" w:leader="none"/>
          <w:tab w:val="left" w:pos="1134" w:leader="none"/>
          <w:tab w:val="left" w:pos="1276" w:leader="none"/>
        </w:tabs>
        <w:spacing w:before="0" w:after="120"/>
        <w:ind w:left="0" w:firstLine="567"/>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Сертификат о происхождении товара и т.п.) в зависимости от номенклатуры поставляемой Продукции;</w:t>
      </w:r>
    </w:p>
    <w:p>
      <w:pPr>
        <w:pStyle w:val="Normal"/>
        <w:widowControl w:val="false"/>
        <w:numPr>
          <w:ilvl w:val="0"/>
          <w:numId w:val="3"/>
        </w:numPr>
        <w:shd w:val="clear" w:color="auto" w:fill="FFFFFF"/>
        <w:tabs>
          <w:tab w:val="clear" w:pos="720"/>
          <w:tab w:val="left" w:pos="851" w:leader="none"/>
          <w:tab w:val="left" w:pos="900" w:leader="none"/>
          <w:tab w:val="left" w:pos="1134" w:leader="none"/>
          <w:tab w:val="left" w:pos="1276" w:leader="none"/>
        </w:tabs>
        <w:spacing w:before="0" w:after="120"/>
        <w:ind w:left="0" w:firstLine="567"/>
        <w:jc w:val="both"/>
        <w:rPr>
          <w:sz w:val="24"/>
          <w:szCs w:val="24"/>
        </w:rPr>
      </w:pPr>
      <w:r>
        <w:rPr>
          <w:sz w:val="24"/>
          <w:szCs w:val="24"/>
        </w:rPr>
        <w:t>Обязательные первичные документы:</w:t>
      </w:r>
    </w:p>
    <w:p>
      <w:pPr>
        <w:pStyle w:val="Normal"/>
        <w:shd w:val="clear" w:color="auto" w:fill="FFFFFF"/>
        <w:spacing w:before="0" w:after="120"/>
        <w:ind w:firstLine="567"/>
        <w:jc w:val="both"/>
        <w:rPr>
          <w:sz w:val="24"/>
          <w:szCs w:val="24"/>
        </w:rPr>
      </w:pPr>
      <w:r>
        <w:rPr>
          <w:rFonts w:ascii="Symbol" w:hAnsi="Symbol"/>
          <w:sz w:val="24"/>
          <w:szCs w:val="24"/>
        </w:rPr>
        <w:t></w:t>
      </w:r>
      <w:r>
        <w:rPr>
          <w:sz w:val="14"/>
          <w:szCs w:val="14"/>
        </w:rPr>
        <w:t xml:space="preserve"> </w:t>
      </w:r>
      <w:r>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p>
    <w:p>
      <w:pPr>
        <w:pStyle w:val="Normal"/>
        <w:widowControl w:val="false"/>
        <w:numPr>
          <w:ilvl w:val="0"/>
          <w:numId w:val="5"/>
        </w:numPr>
        <w:shd w:val="clear" w:color="auto" w:fill="FFFFFF"/>
        <w:tabs>
          <w:tab w:val="left" w:pos="720" w:leader="none"/>
          <w:tab w:val="left" w:pos="1134" w:leader="none"/>
          <w:tab w:val="left" w:pos="1276" w:leader="none"/>
        </w:tabs>
        <w:spacing w:before="0" w:after="120"/>
        <w:ind w:left="0" w:firstLine="567"/>
        <w:jc w:val="both"/>
        <w:rPr>
          <w:sz w:val="24"/>
          <w:szCs w:val="24"/>
        </w:rPr>
      </w:pPr>
      <w:r>
        <w:rPr>
          <w:sz w:val="14"/>
          <w:szCs w:val="14"/>
        </w:rPr>
        <w:t xml:space="preserve"> </w:t>
      </w:r>
      <w:r>
        <w:rPr>
          <w:sz w:val="24"/>
          <w:szCs w:val="24"/>
        </w:rPr>
        <w:t>Товарную накладную по форме ТОРГ-12 или Универсальный передаточный документ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В случае отсутствия указанных в п.3.3 Договора документов, Покупатель уведомляет об этом Поставщика и прекращает приемку Продукции до предоставления недостающих документов. Поставщик обязан в течение 3 (трех)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Приемка Товара по количеству тар и упаковок, в которых осуществлялась его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Pr>
          <w:color w:val="000000"/>
          <w:sz w:val="24"/>
          <w:szCs w:val="24"/>
        </w:rPr>
        <w:t>товарно-транспортную накладную формы №1-Т.</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некомплектности, недопоставке, отсутствии необходимых принадлежностей, относящихся к Товару, Покупатель вправе с одновременным направлением письменного уведомления Продавцу прекратить приемку Товара 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 В случае отсутствия замечаний Покупатель подписывает товарную накладную унифицированной формы ТОРГ-12 или УПД.</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Продукции,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Продукции). 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невыполнении Поставщиком требований пункта 3.8.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10 (десяти) 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На Продукцию устанавливается гарантийный срок, не менее 12 (двенадцати) месяцам, исчисляемый с даты подписания Сторонами соответствующей товарной накладной по форме ТОРГ-12 или Универсального передаточного документа (УПД), </w:t>
      </w:r>
      <w:r>
        <w:rPr>
          <w:sz w:val="24"/>
          <w:szCs w:val="28"/>
        </w:rPr>
        <w:t>но не менее гарантийного срока изготовителя (производителя) продукции</w:t>
      </w:r>
      <w:r>
        <w:rPr>
          <w:sz w:val="24"/>
          <w:szCs w:val="24"/>
        </w:rPr>
        <w:t>.</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В течение Гарантийного срока Поставщик гарантирует соответствие качества 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 xml:space="preserve">Устранение недостатков осуществляется Поставщиком своими силами, за свой счет и в срок, указанный </w:t>
      </w:r>
      <w:bookmarkStart w:id="0" w:name="OLE_LINK6"/>
      <w:bookmarkStart w:id="1" w:name="OLE_LINK5"/>
      <w:r>
        <w:rPr>
          <w:sz w:val="24"/>
          <w:szCs w:val="24"/>
        </w:rPr>
        <w:t>Покупателем в соответствии с п. 3.14. Договора</w:t>
      </w:r>
      <w:bookmarkEnd w:id="0"/>
      <w:bookmarkEnd w:id="1"/>
      <w:r>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p>
    <w:p>
      <w:pPr>
        <w:pStyle w:val="Normal"/>
        <w:widowControl w:val="false"/>
        <w:numPr>
          <w:ilvl w:val="1"/>
          <w:numId w:val="4"/>
        </w:numPr>
        <w:shd w:val="clear" w:color="auto" w:fill="FFFFFF"/>
        <w:tabs>
          <w:tab w:val="clear" w:pos="720"/>
          <w:tab w:val="left" w:pos="1134" w:leader="none"/>
          <w:tab w:val="left" w:pos="1276" w:leader="none"/>
        </w:tabs>
        <w:spacing w:before="0" w:after="120"/>
        <w:ind w:left="0" w:firstLine="567"/>
        <w:jc w:val="both"/>
        <w:rPr>
          <w:sz w:val="24"/>
          <w:szCs w:val="24"/>
        </w:rPr>
      </w:pPr>
      <w:r>
        <w:rPr>
          <w:sz w:val="24"/>
          <w:szCs w:val="24"/>
        </w:rPr>
        <w:t>Устранение недостатков Продукции или возврат ее стоимости, в том числе в рамках срока, установленного в соответствии с п. 3.10. Договора, не освобождает Поставщика от ответственности за убытки, причиненные Покупателю вследствие наличия таких недостатков.</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Тара, упаковка, маркировка</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Продукция, упаковка, тара должны быть надлежащим образом промаркированы. На таре и упаковке должны быть указаны:</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и адрес грузоотправителя и грузополучателя;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 Товарной накладной и/или Товарно-транспортной накладной;</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 брутто/нетто каждого места;</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наименование Продукции;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номера мест и их общее количество;</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весогабаритные характеристики мест;</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центр тяжести;</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условия хранения;</w:t>
      </w:r>
    </w:p>
    <w:p>
      <w:pPr>
        <w:pStyle w:val="Normal"/>
        <w:widowControl w:val="false"/>
        <w:numPr>
          <w:ilvl w:val="0"/>
          <w:numId w:val="5"/>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обозначения типа «не бросать» и другие обычно используемые обозначения.</w:t>
      </w:r>
    </w:p>
    <w:p>
      <w:pPr>
        <w:pStyle w:val="Normal"/>
        <w:widowControl w:val="false"/>
        <w:numPr>
          <w:ilvl w:val="1"/>
          <w:numId w:val="6"/>
        </w:numPr>
        <w:shd w:val="clear" w:color="auto" w:fill="FFFFFF"/>
        <w:tabs>
          <w:tab w:val="clear" w:pos="720"/>
          <w:tab w:val="left" w:pos="1276" w:leader="none"/>
          <w:tab w:val="left" w:pos="1418" w:leader="none"/>
        </w:tabs>
        <w:spacing w:before="0" w:after="120"/>
        <w:ind w:left="0" w:firstLine="567"/>
        <w:jc w:val="both"/>
        <w:rPr>
          <w:sz w:val="24"/>
          <w:szCs w:val="24"/>
        </w:rPr>
      </w:pPr>
      <w:r>
        <w:rPr>
          <w:sz w:val="24"/>
          <w:szCs w:val="24"/>
        </w:rPr>
        <w:t>Стоимость тары и упаковки включена в Цену Договора; тара и упаковка возврату не подлежат.</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Сроки, порядок и условия поставки, переход права собственности</w:t>
      </w:r>
    </w:p>
    <w:p>
      <w:pPr>
        <w:pStyle w:val="ListParagraph"/>
        <w:numPr>
          <w:ilvl w:val="1"/>
          <w:numId w:val="6"/>
        </w:numPr>
        <w:tabs>
          <w:tab w:val="clear" w:pos="720"/>
          <w:tab w:val="left" w:pos="0" w:leader="none"/>
          <w:tab w:val="left" w:pos="1276" w:leader="none"/>
        </w:tabs>
        <w:spacing w:before="0" w:after="120"/>
        <w:ind w:left="0" w:firstLine="567"/>
        <w:contextualSpacing w:val="false"/>
        <w:jc w:val="both"/>
        <w:rPr>
          <w:sz w:val="24"/>
          <w:szCs w:val="24"/>
        </w:rPr>
      </w:pPr>
      <w:r>
        <w:rPr>
          <w:sz w:val="24"/>
          <w:szCs w:val="24"/>
        </w:rPr>
        <w:t xml:space="preserve">Поставка Продукции по Договору осуществляется Поставщиком одной партией в Место поставки согласно п.1.4. Доставка и разгрузка Продукции осуществляется Поставщиком.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Поставщик обязан уведомить Покупателя о дате поставки Продукции не позднее, чем за 3 (три) календарных дня до даты поставки.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по форме ТОРГ-12 или Универсального передаточного документа (УПД). Датой поставки Продукции считается дата подписания товарной накладной по форме ТОРГ-12 или Универсального передаточного документа (УПД) Покупателем.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и иных необходимых документов.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Ответственность по Договору</w:t>
      </w:r>
    </w:p>
    <w:p>
      <w:pPr>
        <w:pStyle w:val="Normal"/>
        <w:widowControl w:val="false"/>
        <w:numPr>
          <w:ilvl w:val="1"/>
          <w:numId w:val="6"/>
        </w:numPr>
        <w:shd w:val="clear" w:color="auto" w:fill="FFFFFF"/>
        <w:tabs>
          <w:tab w:val="clear" w:pos="720"/>
          <w:tab w:val="left" w:pos="1142" w:leader="none"/>
          <w:tab w:val="left" w:pos="1276" w:leader="none"/>
        </w:tabs>
        <w:spacing w:before="0" w:after="120"/>
        <w:ind w:left="0" w:firstLine="567"/>
        <w:jc w:val="both"/>
        <w:rPr>
          <w:sz w:val="24"/>
          <w:szCs w:val="24"/>
        </w:rPr>
      </w:pPr>
      <w:r>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Неустойка и/или иные штрафные санкции за ненадлежащее исполнение (неисполнение) Покупателем обязательств по внесению предварительной оплаты (аванса) не устанавливается, если иное не предусмотрено законодательством Российской Федерации.</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Покупателем сроков оплаты поставленной Продукции, Поставщик вправе потребовать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 При этом такая неустойка является единственным возмещением объективно оцененных Сторонами возможных убытков Поставщика (исключительная неустойка).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(ноль целых и одна десятая) процента от Цены договора за каждый день просрочки</w:t>
      </w:r>
    </w:p>
    <w:p>
      <w:pPr>
        <w:pStyle w:val="Normal"/>
        <w:widowControl w:val="false"/>
        <w:shd w:val="clear" w:color="auto" w:fill="FFFFFF"/>
        <w:tabs>
          <w:tab w:val="clear" w:pos="720"/>
          <w:tab w:val="left" w:pos="1276" w:leader="none"/>
        </w:tabs>
        <w:spacing w:before="0" w:after="120"/>
        <w:ind w:firstLine="1134"/>
        <w:jc w:val="both"/>
        <w:rPr>
          <w:sz w:val="24"/>
          <w:szCs w:val="24"/>
        </w:rPr>
      </w:pPr>
      <w:r>
        <w:rPr>
          <w:sz w:val="24"/>
          <w:szCs w:val="24"/>
        </w:rPr>
        <w:t xml:space="preserve"> </w:t>
      </w:r>
      <w:r>
        <w:rPr>
          <w:sz w:val="24"/>
          <w:szCs w:val="24"/>
        </w:rPr>
        <w:t>В случае несвоевременного устранения Поставщиком выявленных недостатков Продукции, Покупатель вправе потребовать уплаты Поставщиком: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Продукции,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ind w:firstLine="567"/>
        <w:jc w:val="both"/>
        <w:rPr>
          <w:sz w:val="24"/>
          <w:szCs w:val="24"/>
        </w:rPr>
      </w:pPr>
      <w:r>
        <w:rPr>
          <w:sz w:val="24"/>
          <w:szCs w:val="24"/>
        </w:rPr>
        <w:t>-     неустойки в размере 0,1 (ноль целых и одна десятая) процента от стоимости некачественной Продукции за каждый день просрочки – в случае несвоевременного устранения выявленных недостатков Продукции, не влияющих на возможность эксплуатации (использования) Продукции в целом.</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нарушения Поставщиком обязательств по поставке Продукции на срок свыше 15 (пятнадцати)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Продукции, Покупатель вправе передать ее в депозит нотариуса с отнесением расходов на счет Поставщика.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если в результате составления и выставления Поставщиком счетов-фактур (УПД)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НДС,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В случае нарушения Поставщиком срока замены счета-фактуры, предусмотренного Договором, Покупатель имеет право требовать от Поставщика уплаты штрафа в размере 50 000 (Пятидесяти тысяч) рублей за каждый случай нарушения.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 а также штрафов и неустоек, предъявленных Покупателю третьими лицами и связанных с неисполнением (ненадлежащим исполнением) Поставщиком обязательств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Поставщик обязуется в течение 3 (трех) рабочих дней уведомить о таких изменениях Покупателя в порядке, установленном п.14.7 Договора, представив заверенные копии документов, подтверждающие такие изменения, а именно:</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всех юридических лиц, созданных и действующих в соответствии с законодательством Российской Федерации: </w:t>
      </w:r>
    </w:p>
    <w:p>
      <w:pPr>
        <w:pStyle w:val="Normal"/>
        <w:numPr>
          <w:ilvl w:val="0"/>
          <w:numId w:val="8"/>
        </w:numPr>
        <w:tabs>
          <w:tab w:val="clear" w:pos="720"/>
          <w:tab w:val="left" w:pos="0" w:leader="none"/>
        </w:tabs>
        <w:spacing w:before="0" w:after="120"/>
        <w:ind w:left="0" w:firstLine="567"/>
        <w:jc w:val="both"/>
        <w:outlineLvl w:val="0"/>
        <w:rPr>
          <w:sz w:val="24"/>
          <w:szCs w:val="24"/>
        </w:rPr>
      </w:pPr>
      <w:r>
        <w:rPr>
          <w:sz w:val="24"/>
          <w:szCs w:val="24"/>
        </w:rPr>
        <w:t>выписка из Единого государственного реестра юридических лиц, после изменений, указанных в п. 7.10 Договора, а также:</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акционерных обществ:</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владельцев ценных бумаг;</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список аффилированных лиц на последнюю отчетную дату;</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ежеквартальный отчет на последнюю отчетную дату.</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обществ с ограниченной ответственностью:</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учредительный договор/договор об учреждении (создании)/решение единственного учредителя о создании;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(протокол) о приеме новых участников;</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устав.</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общественных или религиозных организаций (объединений):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учредительный договор или положение;</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юридических лиц, зарегистрированных в форме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 xml:space="preserve">документ о выборе (назначении) попечительского совета фонда; </w:t>
      </w:r>
    </w:p>
    <w:p>
      <w:pPr>
        <w:pStyle w:val="Normal"/>
        <w:numPr>
          <w:ilvl w:val="0"/>
          <w:numId w:val="8"/>
        </w:numPr>
        <w:tabs>
          <w:tab w:val="clear" w:pos="720"/>
          <w:tab w:val="left" w:pos="567" w:leader="none"/>
        </w:tabs>
        <w:spacing w:before="0" w:after="120"/>
        <w:ind w:left="0" w:firstLine="567"/>
        <w:jc w:val="both"/>
        <w:outlineLvl w:val="0"/>
        <w:rPr>
          <w:sz w:val="24"/>
          <w:szCs w:val="24"/>
        </w:rPr>
      </w:pPr>
      <w:r>
        <w:rPr>
          <w:sz w:val="24"/>
          <w:szCs w:val="24"/>
        </w:rPr>
        <w:t>решение о создании.</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юридических лиц, зарегистрированных в форме некоммерческого партнерства:</w:t>
      </w:r>
    </w:p>
    <w:p>
      <w:pPr>
        <w:pStyle w:val="Normal"/>
        <w:numPr>
          <w:ilvl w:val="0"/>
          <w:numId w:val="8"/>
        </w:numPr>
        <w:tabs>
          <w:tab w:val="clear" w:pos="720"/>
          <w:tab w:val="left" w:pos="567" w:leader="none"/>
        </w:tabs>
        <w:spacing w:before="0" w:after="120"/>
        <w:ind w:left="0" w:firstLine="567"/>
        <w:outlineLvl w:val="0"/>
        <w:rPr>
          <w:sz w:val="24"/>
          <w:szCs w:val="24"/>
        </w:rPr>
      </w:pPr>
      <w:r>
        <w:rPr>
          <w:sz w:val="24"/>
          <w:szCs w:val="24"/>
        </w:rPr>
        <w:t xml:space="preserve">решение и договор о создании.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 xml:space="preserve">для иных организационно-правовых форм юридических лиц –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способных прямо или косвенно контролировать деятельность юридического лица. </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созданных и действующих в соответствии с законодательством иностранных государств:</w:t>
      </w:r>
    </w:p>
    <w:p>
      <w:pPr>
        <w:pStyle w:val="Normal"/>
        <w:numPr>
          <w:ilvl w:val="0"/>
          <w:numId w:val="8"/>
        </w:numPr>
        <w:spacing w:before="0" w:after="120"/>
        <w:ind w:left="709" w:hanging="283"/>
        <w:outlineLvl w:val="0"/>
        <w:rPr>
          <w:sz w:val="24"/>
          <w:szCs w:val="24"/>
        </w:rPr>
      </w:pPr>
      <w:r>
        <w:rPr>
          <w:sz w:val="24"/>
          <w:szCs w:val="24"/>
        </w:rPr>
        <w:t>выписка из торгового реестра страны инкорпорации;</w:t>
      </w:r>
    </w:p>
    <w:p>
      <w:pPr>
        <w:pStyle w:val="Normal"/>
        <w:numPr>
          <w:ilvl w:val="0"/>
          <w:numId w:val="8"/>
        </w:numPr>
        <w:spacing w:before="0" w:after="120"/>
        <w:ind w:left="709" w:hanging="283"/>
        <w:outlineLvl w:val="0"/>
        <w:rPr>
          <w:sz w:val="24"/>
          <w:szCs w:val="24"/>
        </w:rPr>
      </w:pPr>
      <w:r>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pPr>
        <w:pStyle w:val="ListParagraph"/>
        <w:numPr>
          <w:ilvl w:val="2"/>
          <w:numId w:val="6"/>
        </w:numPr>
        <w:tabs>
          <w:tab w:val="clear" w:pos="720"/>
          <w:tab w:val="left" w:pos="567" w:leader="none"/>
        </w:tabs>
        <w:spacing w:before="0" w:after="120"/>
        <w:ind w:left="0" w:firstLine="567"/>
        <w:contextualSpacing w:val="false"/>
        <w:jc w:val="both"/>
        <w:outlineLvl w:val="0"/>
        <w:rPr>
          <w:sz w:val="24"/>
          <w:szCs w:val="24"/>
        </w:rPr>
      </w:pPr>
      <w:r>
        <w:rPr>
          <w:sz w:val="24"/>
          <w:szCs w:val="24"/>
        </w:rPr>
        <w:t>Для физических лиц, являющихся налоговыми резидентами Российской Федерации – оригинал Согласия на передачу персональных и охраняемых законом данных по утверждённой форме.</w:t>
      </w:r>
    </w:p>
    <w:p>
      <w:pPr>
        <w:pStyle w:val="Normal"/>
        <w:shd w:val="clear" w:color="auto" w:fill="FFFFFF"/>
        <w:jc w:val="both"/>
        <w:rPr>
          <w:bCs/>
          <w:color w:val="000000"/>
          <w:sz w:val="24"/>
          <w:szCs w:val="24"/>
        </w:rPr>
      </w:pPr>
      <w:r>
        <w:rPr>
          <w:sz w:val="24"/>
          <w:szCs w:val="24"/>
        </w:rPr>
        <w:t xml:space="preserve">           </w:t>
      </w:r>
      <w:r>
        <w:rPr>
          <w:sz w:val="24"/>
          <w:szCs w:val="24"/>
        </w:rPr>
        <w:t xml:space="preserve">6.12  </w:t>
      </w: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pPr>
        <w:pStyle w:val="Normal"/>
        <w:shd w:val="clear" w:color="auto" w:fill="FFFFFF"/>
        <w:jc w:val="both"/>
        <w:rPr>
          <w:bCs/>
          <w:color w:val="000000"/>
          <w:sz w:val="24"/>
          <w:szCs w:val="24"/>
        </w:rPr>
      </w:pPr>
      <w:r>
        <w:rPr>
          <w:bCs/>
          <w:color w:val="000000"/>
          <w:sz w:val="24"/>
          <w:szCs w:val="24"/>
        </w:rPr>
        <w:tab/>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pPr>
        <w:pStyle w:val="Normal"/>
        <w:shd w:val="clear" w:color="auto" w:fill="FFFFFF"/>
        <w:jc w:val="both"/>
        <w:rPr>
          <w:bCs/>
          <w:color w:val="000000"/>
          <w:sz w:val="24"/>
          <w:szCs w:val="24"/>
        </w:rPr>
      </w:pPr>
      <w:r>
        <w:rPr>
          <w:bCs/>
          <w:color w:val="000000"/>
          <w:sz w:val="24"/>
          <w:szCs w:val="24"/>
        </w:rPr>
        <w:tab/>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jc w:val="both"/>
        <w:rPr>
          <w:bCs/>
          <w:color w:val="000000"/>
          <w:sz w:val="24"/>
          <w:szCs w:val="24"/>
        </w:rPr>
      </w:pPr>
      <w:r>
        <w:rPr>
          <w:bCs/>
          <w:color w:val="000000"/>
          <w:sz w:val="24"/>
          <w:szCs w:val="24"/>
        </w:rPr>
        <w:tab/>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pPr>
        <w:pStyle w:val="Normal"/>
        <w:shd w:val="clear" w:color="auto" w:fill="FFFFFF"/>
        <w:jc w:val="both"/>
        <w:rPr>
          <w:bCs/>
          <w:color w:val="000000"/>
          <w:sz w:val="24"/>
          <w:szCs w:val="24"/>
        </w:rPr>
      </w:pPr>
      <w:r>
        <w:rPr>
          <w:bCs/>
          <w:color w:val="000000"/>
          <w:sz w:val="24"/>
          <w:szCs w:val="24"/>
        </w:rPr>
        <w:tab/>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jc w:val="both"/>
        <w:rPr>
          <w:bCs/>
          <w:color w:val="000000"/>
          <w:sz w:val="24"/>
          <w:szCs w:val="24"/>
        </w:rPr>
      </w:pPr>
      <w:r>
        <w:rPr>
          <w:bCs/>
          <w:color w:val="000000"/>
          <w:sz w:val="24"/>
          <w:szCs w:val="24"/>
        </w:rPr>
        <w:tab/>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pPr>
        <w:pStyle w:val="Normal"/>
        <w:shd w:val="clear" w:color="auto" w:fill="FFFFFF"/>
        <w:tabs>
          <w:tab w:val="clear" w:pos="720"/>
          <w:tab w:val="left" w:pos="567" w:leader="none"/>
        </w:tabs>
        <w:jc w:val="both"/>
        <w:rPr>
          <w:color w:val="000000"/>
          <w:sz w:val="24"/>
          <w:szCs w:val="24"/>
        </w:rPr>
      </w:pPr>
      <w:r>
        <w:rPr>
          <w:color w:val="000000"/>
          <w:sz w:val="24"/>
          <w:szCs w:val="24"/>
        </w:rPr>
        <w:tab/>
        <w:t xml:space="preserve">Каналы связи Линия доверия Группы РусГидро: </w:t>
      </w:r>
    </w:p>
    <w:p>
      <w:pPr>
        <w:pStyle w:val="Normal"/>
        <w:shd w:val="clear" w:color="auto" w:fill="FFFFFF"/>
        <w:tabs>
          <w:tab w:val="clear" w:pos="720"/>
          <w:tab w:val="left" w:pos="567" w:leader="none"/>
        </w:tabs>
        <w:jc w:val="both"/>
        <w:rPr>
          <w:sz w:val="24"/>
          <w:szCs w:val="24"/>
        </w:rPr>
      </w:pPr>
      <w:r>
        <w:rPr>
          <w:sz w:val="24"/>
          <w:szCs w:val="24"/>
        </w:rPr>
        <w:tab/>
        <w:t>Электронная почта: ld@rushydro.ru.</w:t>
      </w:r>
    </w:p>
    <w:p>
      <w:pPr>
        <w:pStyle w:val="Normal"/>
        <w:shd w:val="clear" w:color="auto" w:fill="FFFFFF"/>
        <w:tabs>
          <w:tab w:val="clear" w:pos="720"/>
          <w:tab w:val="left" w:pos="567" w:leader="none"/>
        </w:tabs>
        <w:jc w:val="both"/>
        <w:rPr>
          <w:sz w:val="24"/>
          <w:szCs w:val="24"/>
        </w:rPr>
      </w:pPr>
      <w:r>
        <w:rPr>
          <w:sz w:val="24"/>
          <w:szCs w:val="24"/>
        </w:rPr>
        <w:tab/>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pPr>
        <w:pStyle w:val="Normal"/>
        <w:spacing w:lineRule="auto" w:line="259" w:before="0" w:after="160"/>
        <w:ind w:firstLine="720"/>
        <w:jc w:val="both"/>
        <w:rPr>
          <w:sz w:val="24"/>
          <w:szCs w:val="24"/>
        </w:rPr>
      </w:pPr>
      <w:r>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Normal"/>
        <w:widowControl w:val="false"/>
        <w:numPr>
          <w:ilvl w:val="0"/>
          <w:numId w:val="6"/>
        </w:numPr>
        <w:shd w:val="clear" w:color="auto" w:fill="FFFFFF"/>
        <w:tabs>
          <w:tab w:val="clear" w:pos="720"/>
          <w:tab w:val="left" w:pos="426" w:leader="none"/>
          <w:tab w:val="left" w:pos="1276" w:leader="none"/>
        </w:tabs>
        <w:spacing w:before="0" w:after="120"/>
        <w:ind w:left="0" w:hanging="0"/>
        <w:jc w:val="center"/>
        <w:rPr>
          <w:b/>
          <w:bCs/>
          <w:sz w:val="24"/>
          <w:szCs w:val="24"/>
        </w:rPr>
      </w:pPr>
      <w:r>
        <w:rPr>
          <w:b/>
          <w:bCs/>
          <w:sz w:val="24"/>
          <w:szCs w:val="24"/>
        </w:rPr>
        <w:t>Особые положения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sz w:val="24"/>
            <w:szCs w:val="24"/>
          </w:rPr>
          <w:t>№ 18162/09</w:t>
        </w:r>
      </w:hyperlink>
      <w:r>
        <w:rPr>
          <w:sz w:val="24"/>
          <w:szCs w:val="24"/>
        </w:rPr>
        <w:t xml:space="preserve"> и от 25.05.2010 </w:t>
      </w:r>
      <w:hyperlink r:id="rId3">
        <w:r>
          <w:rPr>
            <w:sz w:val="24"/>
            <w:szCs w:val="24"/>
          </w:rPr>
          <w:t>№ 15658/09</w:t>
        </w:r>
      </w:hyperlink>
      <w:r>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sz w:val="24"/>
            <w:szCs w:val="24"/>
          </w:rPr>
          <w:t>Критери</w:t>
        </w:r>
      </w:hyperlink>
      <w:r>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Приказом ФНС России от 30.05.2007 № ММ-3-06/333@ или заменяющий его документ).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7.1 Договора, а также обеспечить прекращение участия таких организаций в исполнении Договора. </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В случае нарушения Поставщиком обязательств, установленных в п. п. 7.1, 7.2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 </w:t>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ab/>
        <w:t>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п. п. 7.1, 7.2 Договора, сверх суммы штрафа.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Штраф, предусмотренный п. 7.4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7.3 Договора.</w:t>
      </w:r>
    </w:p>
    <w:p>
      <w:pPr>
        <w:pStyle w:val="Normal"/>
        <w:widowControl w:val="false"/>
        <w:numPr>
          <w:ilvl w:val="1"/>
          <w:numId w:val="6"/>
        </w:numPr>
        <w:shd w:val="clear" w:color="auto" w:fill="FFFFFF"/>
        <w:tabs>
          <w:tab w:val="clear" w:pos="720"/>
          <w:tab w:val="left" w:pos="1276" w:leader="none"/>
        </w:tabs>
        <w:spacing w:before="0" w:after="120"/>
        <w:ind w:left="0" w:firstLine="567"/>
        <w:jc w:val="both"/>
        <w:rPr>
          <w:sz w:val="24"/>
          <w:szCs w:val="24"/>
        </w:rPr>
      </w:pPr>
      <w:r>
        <w:rPr>
          <w:sz w:val="24"/>
          <w:szCs w:val="24"/>
        </w:rPr>
        <w:t>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7.4 Договора, при этом Покупатель не будет считаться просрочившим и/или нарушившим свои обязательства по Договору.</w:t>
      </w:r>
    </w:p>
    <w:p>
      <w:pPr>
        <w:pStyle w:val="Normal"/>
        <w:widowControl w:val="false"/>
        <w:shd w:val="clear" w:color="auto" w:fill="FFFFFF"/>
        <w:tabs>
          <w:tab w:val="clear" w:pos="720"/>
          <w:tab w:val="left" w:pos="1276" w:leader="none"/>
        </w:tabs>
        <w:spacing w:before="0" w:after="120"/>
        <w:jc w:val="both"/>
        <w:rPr>
          <w:sz w:val="24"/>
          <w:szCs w:val="24"/>
        </w:rPr>
      </w:pPr>
      <w:r>
        <w:rPr>
          <w:sz w:val="24"/>
          <w:szCs w:val="24"/>
        </w:rPr>
        <w:tab/>
        <w:t xml:space="preserve">Независимо от других положений Договора, обязательства Поставщика по п.7.3-7.5 Договора продолжают действовать в течение 4 (четырех) лет после окончания срока действия договора.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Форс</w:t>
      </w:r>
      <w:r>
        <w:rPr>
          <w:b/>
          <w:bCs/>
          <w:sz w:val="24"/>
          <w:szCs w:val="24"/>
        </w:rPr>
        <w:t>-мажор</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sz w:val="24"/>
          <w:szCs w:val="24"/>
        </w:rPr>
        <w:t>Конфиденциальность</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pPr>
        <w:pStyle w:val="Normal"/>
        <w:numPr>
          <w:ilvl w:val="0"/>
          <w:numId w:val="7"/>
        </w:numPr>
        <w:tabs>
          <w:tab w:val="clear" w:pos="720"/>
          <w:tab w:val="left" w:pos="851" w:leader="none"/>
        </w:tabs>
        <w:spacing w:before="0" w:after="120"/>
        <w:ind w:left="851" w:hanging="284"/>
        <w:jc w:val="both"/>
        <w:rPr>
          <w:bCs/>
          <w:sz w:val="24"/>
          <w:szCs w:val="24"/>
        </w:rPr>
      </w:pPr>
      <w:r>
        <w:rPr>
          <w:bCs/>
          <w:sz w:val="24"/>
          <w:szCs w:val="24"/>
        </w:rPr>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Информация, подлежащая сохранению в тайне и неразглашению, может включать в себя, без ограничения приведенным перечнем:</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финансовую отчетность;</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учетные регистры бухгалтерского учета;</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бизнес-планы;</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сведения об объемах производства и/или реализации продукции и услуг Заказчика или его аффилированных лиц;</w:t>
      </w:r>
    </w:p>
    <w:p>
      <w:pPr>
        <w:pStyle w:val="Normal"/>
        <w:numPr>
          <w:ilvl w:val="0"/>
          <w:numId w:val="7"/>
        </w:numPr>
        <w:tabs>
          <w:tab w:val="clear" w:pos="720"/>
          <w:tab w:val="left" w:pos="0" w:leader="none"/>
        </w:tabs>
        <w:spacing w:before="0" w:after="120"/>
        <w:ind w:left="851" w:hanging="284"/>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9.6.7 Договора;</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использовать Информацию исключительно для целей, для которых она была предоставлена;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pPr>
        <w:pStyle w:val="Normal"/>
        <w:widowControl w:val="false"/>
        <w:numPr>
          <w:ilvl w:val="2"/>
          <w:numId w:val="6"/>
        </w:numPr>
        <w:shd w:val="clear" w:color="auto" w:fill="FFFFFF"/>
        <w:tabs>
          <w:tab w:val="clear" w:pos="720"/>
          <w:tab w:val="left" w:pos="1276" w:leader="none"/>
        </w:tabs>
        <w:spacing w:before="0" w:after="120"/>
        <w:ind w:left="0" w:firstLine="567"/>
        <w:jc w:val="both"/>
        <w:rPr>
          <w:sz w:val="24"/>
          <w:szCs w:val="24"/>
        </w:rPr>
      </w:pPr>
      <w:r>
        <w:rPr>
          <w:sz w:val="24"/>
          <w:szCs w:val="24"/>
        </w:rPr>
        <w:t>не разглашать третьим лицам факта передачи или получения Информации.</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Инсайдерская оговорка</w:t>
      </w:r>
    </w:p>
    <w:p>
      <w:pPr>
        <w:pStyle w:val="Normal"/>
        <w:widowControl w:val="false"/>
        <w:numPr>
          <w:ilvl w:val="1"/>
          <w:numId w:val="6"/>
        </w:numPr>
        <w:shd w:val="clear" w:color="auto" w:fill="FFFFFF"/>
        <w:tabs>
          <w:tab w:val="clear" w:pos="720"/>
          <w:tab w:val="left" w:pos="1134" w:leader="none"/>
          <w:tab w:val="left" w:pos="1283" w:leader="none"/>
        </w:tabs>
        <w:spacing w:before="0" w:after="120"/>
        <w:ind w:left="0" w:firstLine="567"/>
        <w:jc w:val="both"/>
        <w:rPr>
          <w:sz w:val="24"/>
          <w:szCs w:val="24"/>
        </w:rPr>
      </w:pPr>
      <w:r>
        <w:rPr>
          <w:sz w:val="24"/>
          <w:szCs w:val="24"/>
        </w:rPr>
        <w:t>Поставщик также обязуется: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pPr>
        <w:pStyle w:val="ListParagraph"/>
        <w:numPr>
          <w:ilvl w:val="2"/>
          <w:numId w:val="6"/>
        </w:numPr>
        <w:shd w:val="clear" w:color="auto" w:fill="FFFFFF"/>
        <w:tabs>
          <w:tab w:val="clear" w:pos="720"/>
          <w:tab w:val="left" w:pos="1283" w:leader="none"/>
        </w:tabs>
        <w:spacing w:before="0" w:after="120"/>
        <w:ind w:left="0" w:firstLine="567"/>
        <w:contextualSpacing w:val="false"/>
        <w:jc w:val="both"/>
        <w:rPr>
          <w:sz w:val="24"/>
          <w:szCs w:val="24"/>
        </w:rPr>
      </w:pPr>
      <w:r>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pPr>
        <w:pStyle w:val="ListParagraph"/>
        <w:shd w:val="clear" w:color="auto" w:fill="FFFFFF"/>
        <w:tabs>
          <w:tab w:val="clear" w:pos="720"/>
          <w:tab w:val="left" w:pos="5321" w:leader="none"/>
        </w:tabs>
        <w:spacing w:before="0" w:after="120"/>
        <w:ind w:left="567" w:hanging="0"/>
        <w:contextualSpacing w:val="false"/>
        <w:jc w:val="both"/>
        <w:rPr>
          <w:sz w:val="24"/>
          <w:szCs w:val="24"/>
        </w:rPr>
      </w:pPr>
      <w:r>
        <w:rPr>
          <w:sz w:val="24"/>
          <w:szCs w:val="24"/>
        </w:rPr>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Разрешение споров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недостижения соглашения в ходе переговоров, указанных в п.11.1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курьерской службой и т.д.) и получения, либо вручена другой Стороне под расписку.</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2" w:name="Par2"/>
      <w:bookmarkEnd w:id="2"/>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 </w:t>
      </w:r>
      <w:r>
        <w:rPr>
          <w:sz w:val="24"/>
          <w:szCs w:val="24"/>
        </w:rPr>
        <w:t>В случае неурегулирования разногласий в претензионном порядке, а также в случае неполучения ответа на претензию в течение срока, указанного в п. 11.4. Договора, спор передается в арбитражный суд в соответствии с действующим законодательством РФ по месту нахождения ответчика.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bCs/>
          <w:sz w:val="24"/>
          <w:szCs w:val="24"/>
        </w:rPr>
      </w:pPr>
      <w:r>
        <w:rPr>
          <w:b/>
          <w:bCs/>
          <w:sz w:val="24"/>
          <w:szCs w:val="24"/>
        </w:rPr>
        <w:t>Прекращение (расторжение)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14.7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Pr/>
        <w:t>.</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Normal"/>
        <w:widowControl w:val="false"/>
        <w:shd w:val="clear" w:color="auto" w:fill="FFFFFF"/>
        <w:spacing w:before="0" w:after="120"/>
        <w:jc w:val="both"/>
        <w:rPr>
          <w:sz w:val="24"/>
          <w:szCs w:val="24"/>
        </w:rPr>
      </w:pPr>
      <w:r>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Стороны установили, что существенным нарушением Договора Поставщиком является</w:t>
      </w:r>
      <w:r>
        <w:rPr/>
        <w:t>:</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просрочка Поставщиком выполнения обязательств по Договору более чем на 15 (пятнадцать) календарных дней;</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обстоятельствах, указанных в разделе 13 Договора, и имеющих существенное значение для его заключения и исполнения;</w:t>
      </w:r>
    </w:p>
    <w:p>
      <w:pPr>
        <w:pStyle w:val="Normal"/>
        <w:widowControl w:val="false"/>
        <w:numPr>
          <w:ilvl w:val="2"/>
          <w:numId w:val="6"/>
        </w:numPr>
        <w:shd w:val="clear" w:color="auto" w:fill="FFFFFF"/>
        <w:spacing w:before="0" w:after="120"/>
        <w:ind w:left="0" w:firstLine="567"/>
        <w:jc w:val="both"/>
        <w:rPr>
          <w:sz w:val="24"/>
          <w:szCs w:val="24"/>
        </w:rPr>
      </w:pPr>
      <w:r>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обязанности, установленные в нем.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Уведомление о расторжении Договора должно быть направлено Покупателем Поставщику посредством факсимильной/электронной связи не позднее, чем за 5 (пять) календарных дней до предполагаемой даты расторжения Договора с последующим направлением оригинала.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Договор считается расторгнутым по основаниям, предусмотренным пунктом 12.1, с даты, указанной в уведомлении о расторжении Договора.</w:t>
      </w:r>
    </w:p>
    <w:p>
      <w:pPr>
        <w:pStyle w:val="ListParagraph"/>
        <w:numPr>
          <w:ilvl w:val="1"/>
          <w:numId w:val="6"/>
        </w:numPr>
        <w:shd w:val="clear" w:color="auto" w:fill="FFFFFF"/>
        <w:tabs>
          <w:tab w:val="clear" w:pos="720"/>
          <w:tab w:val="left" w:pos="1418" w:leader="none"/>
        </w:tabs>
        <w:spacing w:before="0" w:after="120"/>
        <w:ind w:left="0" w:firstLine="567"/>
        <w:contextualSpacing w:val="false"/>
        <w:jc w:val="both"/>
        <w:rPr>
          <w:sz w:val="24"/>
          <w:szCs w:val="24"/>
        </w:rPr>
      </w:pPr>
      <w:r>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bCs/>
          <w:sz w:val="24"/>
          <w:szCs w:val="24"/>
        </w:rPr>
        <w:t>Заверения</w:t>
      </w:r>
      <w:r>
        <w:rPr>
          <w:b/>
          <w:sz w:val="24"/>
          <w:szCs w:val="24"/>
        </w:rPr>
        <w:t xml:space="preserve"> Сторон</w:t>
      </w:r>
    </w:p>
    <w:p>
      <w:pPr>
        <w:pStyle w:val="ListParagraph"/>
        <w:numPr>
          <w:ilvl w:val="1"/>
          <w:numId w:val="6"/>
        </w:numPr>
        <w:shd w:val="clear" w:color="auto" w:fill="FFFFFF"/>
        <w:spacing w:before="0" w:after="120"/>
        <w:ind w:left="0" w:firstLine="567"/>
        <w:contextualSpacing w:val="false"/>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лица, подписывающие от имени Сторон настоящий Договор, надлежащим образом уполномочены на его подписание;</w:t>
      </w:r>
    </w:p>
    <w:p>
      <w:pPr>
        <w:pStyle w:val="ListParagraph"/>
        <w:widowControl/>
        <w:numPr>
          <w:ilvl w:val="0"/>
          <w:numId w:val="10"/>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Поставщик заявляет и заверяет Покупателя в том, что на момент заключения настоящего Договора:</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 xml:space="preserve">фактически находится по адресу, указанному в Едином государственном реестре юридических лиц; </w:t>
      </w:r>
    </w:p>
    <w:p>
      <w:pPr>
        <w:pStyle w:val="ListParagraph"/>
        <w:widowControl/>
        <w:numPr>
          <w:ilvl w:val="0"/>
          <w:numId w:val="12"/>
        </w:numPr>
        <w:shd w:val="clear" w:color="auto" w:fill="FFFFFF"/>
        <w:tabs>
          <w:tab w:val="clear" w:pos="720"/>
          <w:tab w:val="left" w:pos="709" w:leader="none"/>
          <w:tab w:val="left" w:pos="1134" w:leader="none"/>
        </w:tabs>
        <w:ind w:left="0" w:firstLine="709"/>
        <w:jc w:val="both"/>
        <w:rPr>
          <w:sz w:val="24"/>
          <w:szCs w:val="24"/>
        </w:rPr>
      </w:pPr>
      <w:r>
        <w:rPr>
          <w:sz w:val="24"/>
          <w:szCs w:val="24"/>
        </w:rPr>
        <w:t>своевременно и в полном объеме уплачивает налоги и сборы в соответствии с законодательством Российской Федерации;</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Договору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всю информацию, связанную с Договором, в том числе по вопросам, влияющим на сроки поставки, стоимость и качество Продукции, полностью ознакомлен со всеми условиями поставки Продукции, и принимает на себя все расходы, риски и трудности исполнения обязательств, возникающих из Договора или в связи с ним;</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тщательно изучил все регламенты Покупателя и подтверждает готовность неукоснительного соблюдения в полном объеме предъявляемых Покупателем требований;</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11"/>
        </w:numPr>
        <w:shd w:val="clear" w:color="auto" w:fill="FFFFFF"/>
        <w:tabs>
          <w:tab w:val="clear" w:pos="720"/>
          <w:tab w:val="left" w:pos="567" w:leader="none"/>
          <w:tab w:val="left" w:pos="1134" w:leader="none"/>
          <w:tab w:val="left" w:pos="1418" w:leader="none"/>
        </w:tabs>
        <w:ind w:left="0" w:firstLine="709"/>
        <w:jc w:val="both"/>
        <w:rPr>
          <w:sz w:val="24"/>
          <w:szCs w:val="24"/>
        </w:rPr>
      </w:pPr>
      <w:r>
        <w:rPr>
          <w:sz w:val="24"/>
          <w:szCs w:val="24"/>
        </w:rPr>
        <w:t>вся информация, предоставленная Покупателю, является достоверной, полной и точной, и Поставщик не скрыл никаких обстоятельств, которые при их обнаружении могли бы негативно повлиять на решение Покупателя заключить настоящий Договор на указанных в нем условиях.</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pPr>
        <w:pStyle w:val="ListParagraph"/>
        <w:numPr>
          <w:ilvl w:val="1"/>
          <w:numId w:val="6"/>
        </w:numPr>
        <w:shd w:val="clear" w:color="auto" w:fill="FFFFFF"/>
        <w:spacing w:before="0" w:after="120"/>
        <w:ind w:left="0" w:firstLine="567"/>
        <w:contextualSpacing w:val="false"/>
        <w:jc w:val="both"/>
        <w:rPr>
          <w:sz w:val="24"/>
          <w:szCs w:val="24"/>
        </w:rPr>
      </w:pPr>
      <w:r>
        <w:rPr>
          <w:sz w:val="24"/>
          <w:szCs w:val="24"/>
        </w:rPr>
        <w:t xml:space="preserve">В случае, если при заключении Договора Поставщик предоставил </w:t>
      </w:r>
      <w:r>
        <w:rPr>
          <w:bCs/>
          <w:sz w:val="24"/>
          <w:szCs w:val="24"/>
        </w:rPr>
        <w:t>Покупателю</w:t>
      </w:r>
      <w:r>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требованию </w:t>
      </w:r>
      <w:r>
        <w:rPr>
          <w:bCs/>
          <w:sz w:val="24"/>
          <w:szCs w:val="24"/>
        </w:rPr>
        <w:t>Покупателя</w:t>
      </w:r>
      <w:r>
        <w:rPr>
          <w:sz w:val="24"/>
          <w:szCs w:val="24"/>
        </w:rPr>
        <w:t xml:space="preserve"> уплатить последнему неустойку в размере 5 (пять) % от Цены Договора, указанной в пункте 2.1 Договора.</w:t>
      </w:r>
    </w:p>
    <w:p>
      <w:pPr>
        <w:pStyle w:val="Normal"/>
        <w:shd w:val="clear" w:color="auto" w:fill="FFFFFF"/>
        <w:spacing w:before="0" w:after="120"/>
        <w:ind w:firstLine="567"/>
        <w:jc w:val="both"/>
        <w:rPr>
          <w:sz w:val="24"/>
          <w:szCs w:val="24"/>
        </w:rPr>
      </w:pPr>
      <w:r>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Заключительные положения</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Договор вступает в силу с даты его подписания Сторонами и действует до полного исполнения ими принятых на себя обязательств.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14.6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Приложения, изменения и дополнения, оформленные надлежащим образом, являются неотъемлемой частью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Стороны обязуются уведомлять друг друга об изменении реквизитов, указанных в разделе 16 Договора, не позднее 3 (трех) рабочих дней после такого изменения в порядке, установленном п. 14.7 Договора.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Документ</w:t>
      </w:r>
      <w:r>
        <w:rPr>
          <w:bCs/>
          <w:sz w:val="24"/>
          <w:szCs w:val="24"/>
        </w:rPr>
        <w:t xml:space="preserve"> будет считаться полученным:</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в случае вручения лично или отправления по почте заказным письмом, курьерской связью – в дату и время фактического вручения;</w:t>
      </w:r>
    </w:p>
    <w:p>
      <w:pPr>
        <w:pStyle w:val="ListParagraph"/>
        <w:widowControl/>
        <w:numPr>
          <w:ilvl w:val="2"/>
          <w:numId w:val="6"/>
        </w:numPr>
        <w:shd w:val="clear" w:color="auto" w:fill="FFFFFF"/>
        <w:spacing w:before="0" w:after="120"/>
        <w:ind w:left="0" w:firstLine="567"/>
        <w:contextualSpacing w:val="false"/>
        <w:jc w:val="both"/>
        <w:rPr>
          <w:bCs/>
          <w:sz w:val="24"/>
          <w:szCs w:val="24"/>
        </w:rPr>
      </w:pPr>
      <w:r>
        <w:rPr>
          <w:bCs/>
          <w:sz w:val="24"/>
          <w:szCs w:val="24"/>
        </w:rPr>
        <w:t xml:space="preserve">в случае передачи по факсимильной или электронной связи – в дату и время отправления, подтвержденного протоколом передачи, распечатанным факсимильным аппаратом отправителя, или отчетом о доставке сообщения. В случае, если передача по факсимильной или электронной связи осуществляется вне обычных рабочих часов получателя, документ будет считаться полученным в 10:00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14.7.1 Договора. </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Поставщик не вправе передавать свои права и обязанности по Договору третьим лицам без предварительного письменного согласия Покупателя. В случае нарушения Поставщиком соответствующего условия, Покупатель вправе потребовать уплаты Поставщиком штрафа в размере 5 % от уступки (переданного в залог прав).</w:t>
      </w:r>
    </w:p>
    <w:p>
      <w:pPr>
        <w:pStyle w:val="Normal"/>
        <w:widowControl w:val="false"/>
        <w:numPr>
          <w:ilvl w:val="1"/>
          <w:numId w:val="6"/>
        </w:numPr>
        <w:shd w:val="clear" w:color="auto" w:fill="FFFFFF"/>
        <w:tabs>
          <w:tab w:val="left" w:pos="720" w:leader="none"/>
        </w:tabs>
        <w:spacing w:before="0" w:after="120"/>
        <w:ind w:left="0" w:firstLine="567"/>
        <w:jc w:val="both"/>
        <w:rPr>
          <w:sz w:val="24"/>
          <w:szCs w:val="24"/>
        </w:rPr>
      </w:pPr>
      <w:r>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pPr>
        <w:pStyle w:val="Normal"/>
        <w:widowControl w:val="false"/>
        <w:numPr>
          <w:ilvl w:val="1"/>
          <w:numId w:val="6"/>
        </w:numPr>
        <w:shd w:val="clear" w:color="auto" w:fill="FFFFFF"/>
        <w:tabs>
          <w:tab w:val="left" w:pos="720" w:leader="none"/>
        </w:tabs>
        <w:spacing w:before="0" w:after="120"/>
        <w:ind w:left="0" w:firstLine="567"/>
        <w:jc w:val="both"/>
        <w:rPr>
          <w:bCs/>
          <w:sz w:val="24"/>
          <w:szCs w:val="24"/>
        </w:rPr>
      </w:pPr>
      <w:r>
        <w:rPr>
          <w:sz w:val="24"/>
          <w:szCs w:val="24"/>
        </w:rPr>
        <w:t>Договор</w:t>
      </w:r>
      <w:r>
        <w:rPr>
          <w:bCs/>
          <w:sz w:val="24"/>
          <w:szCs w:val="24"/>
        </w:rPr>
        <w:t xml:space="preserve"> составлен в трех оригинальных экземплярах, по одному для каждой из Сторон.</w:t>
      </w:r>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Приложения к Договору</w:t>
      </w:r>
    </w:p>
    <w:p>
      <w:pPr>
        <w:pStyle w:val="Heading3"/>
        <w:keepNext w:val="false"/>
        <w:tabs>
          <w:tab w:val="clear" w:pos="0"/>
        </w:tabs>
        <w:overflowPunct w:val="true"/>
        <w:spacing w:before="0" w:after="120"/>
        <w:ind w:left="567" w:hanging="0"/>
        <w:jc w:val="both"/>
        <w:textAlignment w:val="baseline"/>
        <w:rPr>
          <w:b w:val="false"/>
          <w:sz w:val="24"/>
          <w:szCs w:val="24"/>
        </w:rPr>
      </w:pPr>
      <w:r>
        <w:rPr>
          <w:b w:val="false"/>
          <w:sz w:val="24"/>
          <w:szCs w:val="24"/>
        </w:rPr>
        <w:t>- Приложение № 1 – Спецификация.</w:t>
      </w:r>
    </w:p>
    <w:p>
      <w:pPr>
        <w:pStyle w:val="Normal"/>
        <w:spacing w:before="0" w:after="120"/>
        <w:ind w:left="567" w:hanging="567"/>
        <w:rPr>
          <w:sz w:val="24"/>
          <w:szCs w:val="24"/>
        </w:rPr>
      </w:pPr>
      <w:bookmarkStart w:id="3" w:name="sub_1"/>
      <w:r>
        <w:rPr>
          <w:sz w:val="24"/>
          <w:szCs w:val="24"/>
        </w:rPr>
        <w:tab/>
        <w:t>- Приложение № 2 – Технические требования на поставку продукции.</w:t>
      </w:r>
      <w:bookmarkEnd w:id="3"/>
    </w:p>
    <w:p>
      <w:pPr>
        <w:pStyle w:val="Normal"/>
        <w:widowControl w:val="false"/>
        <w:numPr>
          <w:ilvl w:val="0"/>
          <w:numId w:val="6"/>
        </w:numPr>
        <w:shd w:val="clear" w:color="auto" w:fill="FFFFFF"/>
        <w:tabs>
          <w:tab w:val="clear" w:pos="720"/>
          <w:tab w:val="left" w:pos="426" w:leader="none"/>
        </w:tabs>
        <w:spacing w:before="0" w:after="120"/>
        <w:ind w:left="0" w:hanging="0"/>
        <w:jc w:val="center"/>
        <w:rPr>
          <w:b/>
          <w:sz w:val="24"/>
          <w:szCs w:val="24"/>
        </w:rPr>
      </w:pPr>
      <w:r>
        <w:rPr>
          <w:b/>
          <w:sz w:val="24"/>
          <w:szCs w:val="24"/>
        </w:rPr>
        <w:t xml:space="preserve">Адреса, реквизиты и подписи Сторон </w:t>
      </w:r>
    </w:p>
    <w:tbl>
      <w:tblPr>
        <w:tblW w:w="9464" w:type="dxa"/>
        <w:jc w:val="left"/>
        <w:tblInd w:w="0" w:type="dxa"/>
        <w:tblLayout w:type="fixed"/>
        <w:tblCellMar>
          <w:top w:w="0" w:type="dxa"/>
          <w:left w:w="108" w:type="dxa"/>
          <w:bottom w:w="0" w:type="dxa"/>
          <w:right w:w="108" w:type="dxa"/>
        </w:tblCellMar>
        <w:tblLook w:noVBand="0" w:val="01e0" w:noHBand="0" w:lastColumn="1" w:firstColumn="1" w:lastRow="1" w:firstRow="1"/>
      </w:tblPr>
      <w:tblGrid>
        <w:gridCol w:w="4785"/>
        <w:gridCol w:w="4678"/>
      </w:tblGrid>
      <w:tr>
        <w:trPr/>
        <w:tc>
          <w:tcPr>
            <w:tcW w:w="4785" w:type="dxa"/>
            <w:tcBorders/>
          </w:tcPr>
          <w:p>
            <w:pPr>
              <w:pStyle w:val="Normal"/>
              <w:widowControl w:val="false"/>
              <w:rPr>
                <w:b/>
                <w:sz w:val="24"/>
                <w:szCs w:val="24"/>
                <w:u w:val="single"/>
              </w:rPr>
            </w:pPr>
            <w:r>
              <w:rPr>
                <w:b/>
                <w:sz w:val="24"/>
                <w:szCs w:val="24"/>
                <w:u w:val="single"/>
              </w:rPr>
              <w:t>Покупатель:</w:t>
            </w:r>
          </w:p>
        </w:tc>
        <w:tc>
          <w:tcPr>
            <w:tcW w:w="4678" w:type="dxa"/>
            <w:tcBorders/>
          </w:tcPr>
          <w:p>
            <w:pPr>
              <w:pStyle w:val="Normal"/>
              <w:widowControl w:val="false"/>
              <w:rPr>
                <w:b/>
                <w:sz w:val="24"/>
                <w:szCs w:val="24"/>
                <w:u w:val="single"/>
              </w:rPr>
            </w:pPr>
            <w:r>
              <w:rPr>
                <w:b/>
                <w:sz w:val="24"/>
                <w:szCs w:val="24"/>
                <w:u w:val="single"/>
              </w:rPr>
              <w:t>Поставщик:</w:t>
            </w:r>
          </w:p>
        </w:tc>
      </w:tr>
      <w:tr>
        <w:trPr/>
        <w:tc>
          <w:tcPr>
            <w:tcW w:w="4785" w:type="dxa"/>
            <w:tcBorders/>
          </w:tcPr>
          <w:p>
            <w:pPr>
              <w:pStyle w:val="Normal"/>
              <w:widowControl w:val="false"/>
              <w:spacing w:lineRule="auto" w:line="276"/>
              <w:rPr>
                <w:b/>
                <w:sz w:val="24"/>
                <w:szCs w:val="24"/>
              </w:rPr>
            </w:pPr>
            <w:r>
              <w:rPr>
                <w:b/>
                <w:sz w:val="24"/>
                <w:szCs w:val="24"/>
              </w:rPr>
              <w:t>Акционерное общество</w:t>
            </w:r>
          </w:p>
          <w:p>
            <w:pPr>
              <w:pStyle w:val="Normal"/>
              <w:widowControl w:val="false"/>
              <w:pBdr>
                <w:bottom w:val="single" w:sz="12" w:space="1" w:color="000000"/>
              </w:pBdr>
              <w:spacing w:lineRule="auto" w:line="276"/>
              <w:rPr>
                <w:b/>
                <w:sz w:val="24"/>
                <w:szCs w:val="24"/>
              </w:rPr>
            </w:pPr>
            <w:r>
              <w:rPr>
                <w:b/>
                <w:sz w:val="24"/>
                <w:szCs w:val="24"/>
              </w:rPr>
              <w:t>«Гидроремонт-ВКК» (АО «Гидроремонт-ВКК»)</w:t>
            </w:r>
          </w:p>
          <w:p>
            <w:pPr>
              <w:pStyle w:val="Normal"/>
              <w:widowControl w:val="false"/>
              <w:pBdr>
                <w:bottom w:val="single" w:sz="12" w:space="1" w:color="000000"/>
              </w:pBdr>
              <w:spacing w:lineRule="auto" w:line="288"/>
              <w:rPr>
                <w:sz w:val="24"/>
                <w:szCs w:val="24"/>
              </w:rPr>
            </w:pPr>
            <w:r>
              <w:rPr>
                <w:sz w:val="24"/>
                <w:szCs w:val="24"/>
              </w:rPr>
              <w:t>Юридический адрес: 603140, Нижегородская обл., г.о. город Нижний</w:t>
            </w:r>
          </w:p>
          <w:p>
            <w:pPr>
              <w:pStyle w:val="Normal"/>
              <w:widowControl w:val="false"/>
              <w:pBdr>
                <w:bottom w:val="single" w:sz="12" w:space="1" w:color="000000"/>
              </w:pBdr>
              <w:spacing w:lineRule="auto" w:line="288"/>
              <w:rPr>
                <w:sz w:val="24"/>
                <w:szCs w:val="24"/>
              </w:rPr>
            </w:pPr>
            <w:r>
              <w:rPr>
                <w:sz w:val="24"/>
                <w:szCs w:val="24"/>
              </w:rPr>
              <w:t>Новгород, г. Нижний Новгород, пер. Мотальный, д.8 помещ. ВП31, офис С1А, Воткинский филиал АО «Гидроремонт-ВКК» в г. Чайковский</w:t>
            </w:r>
          </w:p>
          <w:p>
            <w:pPr>
              <w:pStyle w:val="Normal"/>
              <w:widowControl w:val="false"/>
              <w:pBdr>
                <w:bottom w:val="single" w:sz="12" w:space="1" w:color="000000"/>
              </w:pBdr>
              <w:spacing w:lineRule="auto" w:line="288"/>
              <w:rPr>
                <w:sz w:val="24"/>
                <w:szCs w:val="24"/>
              </w:rPr>
            </w:pPr>
            <w:r>
              <w:rPr>
                <w:sz w:val="24"/>
                <w:szCs w:val="24"/>
              </w:rPr>
              <w:t>Грузополучатель: Производственный участок АО «Гидроремонт-ВКК» в г. Пермь</w:t>
            </w:r>
          </w:p>
          <w:p>
            <w:pPr>
              <w:pStyle w:val="Normal"/>
              <w:widowControl w:val="false"/>
              <w:pBdr>
                <w:bottom w:val="single" w:sz="12" w:space="1" w:color="000000"/>
              </w:pBdr>
              <w:spacing w:lineRule="auto" w:line="288"/>
              <w:rPr>
                <w:sz w:val="24"/>
                <w:szCs w:val="24"/>
              </w:rPr>
            </w:pPr>
            <w:r>
              <w:rPr>
                <w:sz w:val="24"/>
                <w:szCs w:val="24"/>
              </w:rPr>
              <w:t>Почтовый адрес: Производственный участок АО «Гидроремонт-ВКК» в г. Пермь: 614030, г. Пермь, а/я 5067</w:t>
            </w:r>
          </w:p>
          <w:p>
            <w:pPr>
              <w:pStyle w:val="Normal"/>
              <w:widowControl w:val="false"/>
              <w:pBdr>
                <w:bottom w:val="single" w:sz="12" w:space="1" w:color="000000"/>
              </w:pBdr>
              <w:spacing w:lineRule="auto" w:line="288"/>
              <w:rPr>
                <w:sz w:val="24"/>
                <w:szCs w:val="24"/>
              </w:rPr>
            </w:pPr>
            <w:r>
              <w:rPr>
                <w:sz w:val="24"/>
                <w:szCs w:val="24"/>
              </w:rPr>
              <w:t>ИНН/КПП: 6345012488/590745002</w:t>
            </w:r>
          </w:p>
          <w:p>
            <w:pPr>
              <w:pStyle w:val="Normal"/>
              <w:widowControl w:val="false"/>
              <w:pBdr>
                <w:bottom w:val="single" w:sz="12" w:space="1" w:color="000000"/>
              </w:pBdr>
              <w:spacing w:lineRule="auto" w:line="288"/>
              <w:rPr>
                <w:sz w:val="24"/>
                <w:szCs w:val="24"/>
              </w:rPr>
            </w:pPr>
            <w:r>
              <w:rPr>
                <w:sz w:val="24"/>
                <w:szCs w:val="24"/>
              </w:rPr>
              <w:t>ОГРН: 1036301733005</w:t>
            </w:r>
          </w:p>
          <w:p>
            <w:pPr>
              <w:pStyle w:val="Normal"/>
              <w:widowControl w:val="false"/>
              <w:pBdr>
                <w:bottom w:val="single" w:sz="12" w:space="1" w:color="000000"/>
              </w:pBdr>
              <w:spacing w:lineRule="auto" w:line="288"/>
              <w:rPr>
                <w:sz w:val="24"/>
                <w:szCs w:val="24"/>
              </w:rPr>
            </w:pPr>
            <w:r>
              <w:rPr>
                <w:sz w:val="24"/>
                <w:szCs w:val="24"/>
              </w:rPr>
              <w:t>Расчетный счет: 40702810800000060241</w:t>
            </w:r>
          </w:p>
          <w:p>
            <w:pPr>
              <w:pStyle w:val="Normal"/>
              <w:widowControl w:val="false"/>
              <w:pBdr>
                <w:bottom w:val="single" w:sz="12" w:space="1" w:color="000000"/>
              </w:pBdr>
              <w:spacing w:lineRule="auto" w:line="288"/>
              <w:rPr>
                <w:sz w:val="24"/>
                <w:szCs w:val="24"/>
              </w:rPr>
            </w:pPr>
            <w:r>
              <w:rPr>
                <w:sz w:val="24"/>
                <w:szCs w:val="24"/>
              </w:rPr>
              <w:t>Наименование банка: Банк ГПБ (АО), г. Москва</w:t>
            </w:r>
          </w:p>
          <w:p>
            <w:pPr>
              <w:pStyle w:val="Normal"/>
              <w:widowControl w:val="false"/>
              <w:pBdr>
                <w:bottom w:val="single" w:sz="12" w:space="1" w:color="000000"/>
              </w:pBdr>
              <w:spacing w:lineRule="auto" w:line="288"/>
              <w:rPr>
                <w:sz w:val="24"/>
                <w:szCs w:val="24"/>
              </w:rPr>
            </w:pPr>
            <w:r>
              <w:rPr>
                <w:sz w:val="24"/>
                <w:szCs w:val="24"/>
              </w:rPr>
              <w:t>Кор. Счет: 30101810200000000823 в ГУ Банка России по ЦФО</w:t>
            </w:r>
          </w:p>
          <w:p>
            <w:pPr>
              <w:pStyle w:val="Normal"/>
              <w:widowControl w:val="false"/>
              <w:pBdr>
                <w:bottom w:val="single" w:sz="12" w:space="1" w:color="000000"/>
              </w:pBdr>
              <w:spacing w:lineRule="auto" w:line="276"/>
              <w:rPr>
                <w:sz w:val="24"/>
                <w:szCs w:val="24"/>
              </w:rPr>
            </w:pPr>
            <w:r>
              <w:rPr>
                <w:sz w:val="24"/>
                <w:szCs w:val="24"/>
              </w:rPr>
              <w:t>БИК: 044525823</w:t>
            </w:r>
          </w:p>
          <w:p>
            <w:pPr>
              <w:pStyle w:val="Normal"/>
              <w:widowControl w:val="false"/>
              <w:spacing w:lineRule="auto" w:line="276"/>
              <w:rPr>
                <w:sz w:val="24"/>
                <w:szCs w:val="24"/>
              </w:rPr>
            </w:pPr>
            <w:r>
              <w:rPr>
                <w:sz w:val="24"/>
                <w:szCs w:val="24"/>
              </w:rPr>
              <w:t>SlivnitsinaTM@rushydro.ru</w:t>
            </w:r>
          </w:p>
        </w:tc>
        <w:tc>
          <w:tcPr>
            <w:tcW w:w="4678" w:type="dxa"/>
            <w:tcBorders/>
          </w:tcPr>
          <w:p>
            <w:pPr>
              <w:pStyle w:val="Normal"/>
              <w:widowControl w:val="false"/>
              <w:pBdr>
                <w:bottom w:val="single" w:sz="12" w:space="1" w:color="000000"/>
              </w:pBdr>
              <w:spacing w:lineRule="auto" w:line="276"/>
              <w:rPr>
                <w:b/>
                <w:sz w:val="24"/>
                <w:szCs w:val="24"/>
              </w:rPr>
            </w:pPr>
            <w:r>
              <w:rPr>
                <w:b/>
                <w:sz w:val="24"/>
                <w:szCs w:val="24"/>
              </w:rPr>
              <w:t xml:space="preserve"> </w:t>
            </w:r>
            <w:r>
              <w:rPr>
                <w:sz w:val="24"/>
                <w:szCs w:val="24"/>
                <w:u w:val="single"/>
              </w:rPr>
              <w:t xml:space="preserve">                                                  </w:t>
            </w:r>
            <w:r>
              <w:rPr>
                <w:b/>
                <w:sz w:val="24"/>
                <w:szCs w:val="24"/>
              </w:rPr>
              <w:t xml:space="preserve"> </w:t>
            </w:r>
            <w:r>
              <w:rPr>
                <w:b/>
                <w:sz w:val="24"/>
                <w:szCs w:val="24"/>
              </w:rPr>
              <w:t>«» («»)</w:t>
            </w:r>
          </w:p>
          <w:p>
            <w:pPr>
              <w:pStyle w:val="Normal"/>
              <w:widowControl w:val="false"/>
              <w:pBdr>
                <w:bottom w:val="single" w:sz="12" w:space="1" w:color="000000"/>
              </w:pBdr>
              <w:spacing w:lineRule="auto" w:line="276"/>
              <w:rPr>
                <w:sz w:val="24"/>
                <w:szCs w:val="24"/>
              </w:rPr>
            </w:pPr>
            <w:r>
              <w:rPr>
                <w:sz w:val="24"/>
                <w:szCs w:val="24"/>
              </w:rPr>
              <w:t xml:space="preserve">Юридический адрес: </w:t>
            </w:r>
          </w:p>
          <w:p>
            <w:pPr>
              <w:pStyle w:val="Normal"/>
              <w:widowControl w:val="false"/>
              <w:pBdr>
                <w:bottom w:val="single" w:sz="12" w:space="1" w:color="000000"/>
              </w:pBdr>
              <w:spacing w:lineRule="auto" w:line="276"/>
              <w:rPr>
                <w:sz w:val="24"/>
                <w:szCs w:val="24"/>
              </w:rPr>
            </w:pPr>
            <w:r>
              <w:rPr>
                <w:sz w:val="24"/>
                <w:szCs w:val="24"/>
              </w:rPr>
              <w:t xml:space="preserve">Почтовый адрес: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pBdr>
                <w:bottom w:val="single" w:sz="12" w:space="1" w:color="000000"/>
              </w:pBdr>
              <w:spacing w:lineRule="auto" w:line="276"/>
              <w:rPr>
                <w:sz w:val="24"/>
                <w:szCs w:val="24"/>
              </w:rPr>
            </w:pPr>
            <w:r>
              <w:rPr>
                <w:sz w:val="24"/>
                <w:szCs w:val="24"/>
              </w:rPr>
              <w:t xml:space="preserve">ИНН/КПП: </w:t>
            </w:r>
          </w:p>
          <w:p>
            <w:pPr>
              <w:pStyle w:val="Normal"/>
              <w:widowControl w:val="false"/>
              <w:pBdr>
                <w:bottom w:val="single" w:sz="12" w:space="1" w:color="000000"/>
              </w:pBdr>
              <w:spacing w:lineRule="auto" w:line="276"/>
              <w:rPr>
                <w:sz w:val="24"/>
                <w:szCs w:val="24"/>
              </w:rPr>
            </w:pPr>
            <w:r>
              <w:rPr>
                <w:sz w:val="24"/>
                <w:szCs w:val="24"/>
              </w:rPr>
              <w:t xml:space="preserve">ОГРН: </w:t>
            </w:r>
          </w:p>
          <w:p>
            <w:pPr>
              <w:pStyle w:val="Normal"/>
              <w:widowControl w:val="false"/>
              <w:pBdr>
                <w:bottom w:val="single" w:sz="12" w:space="1" w:color="000000"/>
              </w:pBdr>
              <w:spacing w:lineRule="auto" w:line="276"/>
              <w:rPr>
                <w:sz w:val="24"/>
                <w:szCs w:val="24"/>
              </w:rPr>
            </w:pPr>
            <w:r>
              <w:rPr>
                <w:sz w:val="24"/>
                <w:szCs w:val="24"/>
              </w:rPr>
              <w:t xml:space="preserve">Расчетный счет: </w:t>
            </w:r>
          </w:p>
          <w:p>
            <w:pPr>
              <w:pStyle w:val="Normal"/>
              <w:widowControl w:val="false"/>
              <w:pBdr>
                <w:bottom w:val="single" w:sz="12" w:space="1" w:color="000000"/>
              </w:pBdr>
              <w:spacing w:lineRule="auto" w:line="276"/>
              <w:rPr>
                <w:sz w:val="24"/>
                <w:szCs w:val="24"/>
              </w:rPr>
            </w:pPr>
            <w:r>
              <w:rPr>
                <w:sz w:val="24"/>
                <w:szCs w:val="24"/>
              </w:rPr>
              <w:t xml:space="preserve">Наименование банка: </w:t>
            </w:r>
          </w:p>
          <w:p>
            <w:pPr>
              <w:pStyle w:val="Normal"/>
              <w:widowControl w:val="false"/>
              <w:pBdr>
                <w:bottom w:val="single" w:sz="12" w:space="1" w:color="000000"/>
              </w:pBdr>
              <w:spacing w:lineRule="auto" w:line="276"/>
              <w:rPr>
                <w:sz w:val="24"/>
                <w:szCs w:val="24"/>
              </w:rPr>
            </w:pPr>
            <w:r>
              <w:rPr>
                <w:sz w:val="24"/>
                <w:szCs w:val="24"/>
              </w:rPr>
              <w:t xml:space="preserve">Кор. Счет: </w:t>
            </w:r>
          </w:p>
          <w:p>
            <w:pPr>
              <w:pStyle w:val="Normal"/>
              <w:widowControl w:val="false"/>
              <w:pBdr>
                <w:bottom w:val="single" w:sz="12" w:space="1" w:color="000000"/>
              </w:pBdr>
              <w:spacing w:lineRule="auto" w:line="276"/>
              <w:rPr>
                <w:sz w:val="24"/>
                <w:szCs w:val="24"/>
              </w:rPr>
            </w:pPr>
            <w:r>
              <w:rPr>
                <w:sz w:val="24"/>
                <w:szCs w:val="24"/>
              </w:rPr>
              <w:t xml:space="preserve">БИК: </w:t>
            </w:r>
          </w:p>
          <w:p>
            <w:pPr>
              <w:pStyle w:val="Normal"/>
              <w:widowControl w:val="false"/>
              <w:pBdr>
                <w:bottom w:val="single" w:sz="12" w:space="1" w:color="000000"/>
              </w:pBdr>
              <w:spacing w:lineRule="auto" w:line="276"/>
              <w:rPr>
                <w:sz w:val="24"/>
                <w:szCs w:val="24"/>
              </w:rPr>
            </w:pPr>
            <w:r>
              <w:rPr>
                <w:sz w:val="24"/>
                <w:szCs w:val="24"/>
              </w:rPr>
            </w:r>
          </w:p>
          <w:p>
            <w:pPr>
              <w:pStyle w:val="Normal"/>
              <w:widowControl w:val="false"/>
              <w:rPr>
                <w:sz w:val="24"/>
                <w:szCs w:val="24"/>
              </w:rPr>
            </w:pPr>
            <w:r>
              <w:rPr>
                <w:sz w:val="24"/>
                <w:szCs w:val="24"/>
              </w:rPr>
            </w:r>
          </w:p>
        </w:tc>
      </w:tr>
      <w:tr>
        <w:trPr>
          <w:trHeight w:val="80" w:hRule="atLeast"/>
        </w:trPr>
        <w:tc>
          <w:tcPr>
            <w:tcW w:w="4785"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 /Н.В. Глазырин /</w:t>
            </w:r>
          </w:p>
          <w:p>
            <w:pPr>
              <w:pStyle w:val="Normal"/>
              <w:widowControl w:val="false"/>
              <w:spacing w:lineRule="auto" w:line="276"/>
              <w:rPr>
                <w:sz w:val="24"/>
                <w:szCs w:val="24"/>
              </w:rPr>
            </w:pPr>
            <w:r>
              <w:rPr>
                <w:sz w:val="24"/>
                <w:szCs w:val="24"/>
              </w:rPr>
              <w:t>м.п.</w:t>
            </w:r>
          </w:p>
        </w:tc>
        <w:tc>
          <w:tcPr>
            <w:tcW w:w="4678" w:type="dxa"/>
            <w:tcBorders/>
          </w:tcPr>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r>
          </w:p>
          <w:p>
            <w:pPr>
              <w:pStyle w:val="Normal"/>
              <w:widowControl w:val="false"/>
              <w:spacing w:lineRule="auto" w:line="276"/>
              <w:rPr>
                <w:sz w:val="24"/>
                <w:szCs w:val="24"/>
              </w:rPr>
            </w:pPr>
            <w:r>
              <w:rPr>
                <w:sz w:val="24"/>
                <w:szCs w:val="24"/>
              </w:rPr>
              <w:t>________________ /</w:t>
            </w:r>
            <w:r>
              <w:rPr/>
              <w:t xml:space="preserve"> </w:t>
            </w:r>
            <w:r>
              <w:rPr>
                <w:sz w:val="24"/>
                <w:szCs w:val="24"/>
              </w:rPr>
              <w:t>________ /</w:t>
            </w:r>
          </w:p>
          <w:p>
            <w:pPr>
              <w:pStyle w:val="Normal"/>
              <w:widowControl w:val="false"/>
              <w:spacing w:lineRule="auto" w:line="276"/>
              <w:rPr>
                <w:sz w:val="24"/>
                <w:szCs w:val="24"/>
              </w:rPr>
            </w:pPr>
            <w:r>
              <w:rPr>
                <w:sz w:val="24"/>
                <w:szCs w:val="24"/>
              </w:rPr>
              <w:t>м. п.</w:t>
            </w:r>
          </w:p>
        </w:tc>
      </w:tr>
    </w:tbl>
    <w:p>
      <w:pPr>
        <w:sectPr>
          <w:footerReference w:type="even" r:id="rId5"/>
          <w:footerReference w:type="default" r:id="rId6"/>
          <w:footerReference w:type="first" r:id="rId7"/>
          <w:footnotePr>
            <w:numFmt w:val="decimal"/>
          </w:footnotePr>
          <w:type w:val="nextPage"/>
          <w:pgSz w:w="11906" w:h="16838"/>
          <w:pgMar w:left="1701" w:right="851" w:gutter="0" w:header="0" w:top="993" w:footer="720" w:bottom="993"/>
          <w:pgNumType w:fmt="decimal"/>
          <w:formProt w:val="false"/>
          <w:textDirection w:val="lrTb"/>
          <w:docGrid w:type="default" w:linePitch="272" w:charSpace="16384"/>
        </w:sectPr>
      </w:pPr>
    </w:p>
    <w:p>
      <w:pPr>
        <w:pStyle w:val="BodyText"/>
        <w:numPr>
          <w:ilvl w:val="0"/>
          <w:numId w:val="0"/>
        </w:numPr>
        <w:ind w:left="0" w:hanging="0"/>
        <w:jc w:val="right"/>
        <w:outlineLvl w:val="0"/>
        <w:rPr>
          <w:b/>
          <w:bCs/>
          <w:sz w:val="24"/>
          <w:szCs w:val="24"/>
        </w:rPr>
      </w:pPr>
      <w:r>
        <w:rPr>
          <w:b/>
          <w:bCs/>
          <w:sz w:val="24"/>
          <w:szCs w:val="24"/>
        </w:rPr>
        <w:t>Приложение № 1</w:t>
      </w:r>
    </w:p>
    <w:p>
      <w:pPr>
        <w:pStyle w:val="BodyText"/>
        <w:ind w:firstLine="567"/>
        <w:jc w:val="right"/>
        <w:rPr>
          <w:bCs/>
          <w:sz w:val="24"/>
          <w:szCs w:val="24"/>
        </w:rPr>
      </w:pPr>
      <w:r>
        <w:rPr>
          <w:bCs/>
          <w:sz w:val="24"/>
          <w:szCs w:val="24"/>
        </w:rPr>
        <w:t>к договору поставки №__-Вот/инвест/пос</w:t>
      </w:r>
    </w:p>
    <w:p>
      <w:pPr>
        <w:pStyle w:val="BodyText"/>
        <w:ind w:firstLine="567"/>
        <w:jc w:val="right"/>
        <w:rPr>
          <w:bCs/>
          <w:sz w:val="24"/>
          <w:szCs w:val="24"/>
        </w:rPr>
      </w:pPr>
      <w:r>
        <w:rPr>
          <w:bCs/>
          <w:sz w:val="24"/>
          <w:szCs w:val="24"/>
        </w:rPr>
        <w:t xml:space="preserve">от « __ » </w:t>
      </w:r>
      <w:r>
        <w:rPr>
          <w:bCs/>
          <w:sz w:val="24"/>
          <w:szCs w:val="24"/>
          <w:lang w:val="en-US"/>
        </w:rPr>
        <w:t xml:space="preserve">  </w:t>
      </w:r>
      <w:r>
        <w:rPr>
          <w:bCs/>
          <w:sz w:val="24"/>
          <w:szCs w:val="24"/>
          <w:u w:val="single"/>
          <w:lang w:val="en-US"/>
        </w:rPr>
        <w:t xml:space="preserve">                   </w:t>
      </w:r>
      <w:r>
        <w:rPr>
          <w:bCs/>
          <w:sz w:val="24"/>
          <w:szCs w:val="24"/>
          <w:lang w:val="en-US"/>
        </w:rPr>
        <w:t xml:space="preserve">  </w:t>
      </w:r>
      <w:r>
        <w:rPr>
          <w:bCs/>
          <w:sz w:val="24"/>
          <w:szCs w:val="24"/>
        </w:rPr>
        <w:t>20</w:t>
      </w:r>
      <w:r>
        <w:rPr>
          <w:bCs/>
          <w:sz w:val="24"/>
          <w:szCs w:val="24"/>
          <w:u w:val="single"/>
          <w:lang w:val="en-US"/>
        </w:rPr>
        <w:t xml:space="preserve">  </w:t>
      </w:r>
      <w:r>
        <w:rPr>
          <w:bCs/>
          <w:sz w:val="24"/>
          <w:szCs w:val="24"/>
          <w:u w:val="single"/>
        </w:rPr>
        <w:t xml:space="preserve"> </w:t>
      </w:r>
      <w:r>
        <w:rPr>
          <w:bCs/>
          <w:sz w:val="24"/>
          <w:szCs w:val="24"/>
        </w:rPr>
        <w:t>г.</w:t>
      </w:r>
    </w:p>
    <w:p>
      <w:pPr>
        <w:pStyle w:val="BodyText"/>
        <w:ind w:firstLine="567"/>
        <w:jc w:val="right"/>
        <w:rPr>
          <w:bCs/>
          <w:sz w:val="24"/>
          <w:szCs w:val="24"/>
        </w:rPr>
      </w:pPr>
      <w:r>
        <w:rPr>
          <w:bCs/>
          <w:sz w:val="24"/>
          <w:szCs w:val="24"/>
        </w:rPr>
      </w:r>
    </w:p>
    <w:p>
      <w:pPr>
        <w:pStyle w:val="Normal"/>
        <w:numPr>
          <w:ilvl w:val="0"/>
          <w:numId w:val="0"/>
        </w:numPr>
        <w:ind w:left="0" w:firstLine="567"/>
        <w:jc w:val="center"/>
        <w:outlineLvl w:val="0"/>
        <w:rPr>
          <w:b/>
          <w:sz w:val="24"/>
          <w:szCs w:val="24"/>
        </w:rPr>
      </w:pPr>
      <w:r>
        <w:rPr>
          <w:b/>
          <w:sz w:val="24"/>
          <w:szCs w:val="24"/>
        </w:rPr>
        <w:t>Спецификация №1</w:t>
      </w:r>
    </w:p>
    <w:p>
      <w:pPr>
        <w:pStyle w:val="Normal"/>
        <w:numPr>
          <w:ilvl w:val="0"/>
          <w:numId w:val="0"/>
        </w:numPr>
        <w:ind w:left="0" w:firstLine="567"/>
        <w:jc w:val="center"/>
        <w:outlineLvl w:val="0"/>
        <w:rPr>
          <w:b/>
          <w:sz w:val="24"/>
          <w:szCs w:val="24"/>
        </w:rPr>
      </w:pPr>
      <w:r>
        <w:rPr>
          <w:b/>
          <w:sz w:val="24"/>
          <w:szCs w:val="24"/>
        </w:rPr>
      </w:r>
    </w:p>
    <w:tbl>
      <w:tblPr>
        <w:tblW w:w="5000" w:type="pct"/>
        <w:jc w:val="left"/>
        <w:tblInd w:w="0" w:type="dxa"/>
        <w:tblLayout w:type="fixed"/>
        <w:tblCellMar>
          <w:top w:w="0" w:type="dxa"/>
          <w:left w:w="108" w:type="dxa"/>
          <w:bottom w:w="0" w:type="dxa"/>
          <w:right w:w="108" w:type="dxa"/>
        </w:tblCellMar>
        <w:tblLook w:noVBand="1" w:val="04a0" w:noHBand="0" w:lastColumn="0" w:firstColumn="1" w:lastRow="0" w:firstRow="1"/>
      </w:tblPr>
      <w:tblGrid>
        <w:gridCol w:w="665"/>
        <w:gridCol w:w="3972"/>
        <w:gridCol w:w="1822"/>
        <w:gridCol w:w="654"/>
        <w:gridCol w:w="1419"/>
        <w:gridCol w:w="1139"/>
        <w:gridCol w:w="1383"/>
      </w:tblGrid>
      <w:tr>
        <w:trPr>
          <w:trHeight w:val="939" w:hRule="atLeast"/>
          <w:cantSplit w:val="true"/>
        </w:trPr>
        <w:tc>
          <w:tcPr>
            <w:tcW w:w="66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Поз. №</w:t>
            </w:r>
          </w:p>
        </w:tc>
        <w:tc>
          <w:tcPr>
            <w:tcW w:w="397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Наименование</w:t>
            </w:r>
          </w:p>
        </w:tc>
        <w:tc>
          <w:tcPr>
            <w:tcW w:w="1822" w:type="dxa"/>
            <w:tcBorders>
              <w:top w:val="single" w:sz="4" w:space="0" w:color="000000"/>
              <w:left w:val="single" w:sz="4" w:space="0" w:color="000000"/>
              <w:bottom w:val="single" w:sz="4" w:space="0" w:color="000000"/>
              <w:right w:val="single" w:sz="4" w:space="0" w:color="000000"/>
            </w:tcBorders>
          </w:tcPr>
          <w:p>
            <w:pPr>
              <w:pStyle w:val="Normal"/>
              <w:widowControl w:val="false"/>
              <w:jc w:val="center"/>
              <w:rPr>
                <w:bCs/>
                <w:sz w:val="24"/>
                <w:szCs w:val="24"/>
              </w:rPr>
            </w:pPr>
            <w:r>
              <w:rPr>
                <w:bCs/>
                <w:sz w:val="24"/>
                <w:szCs w:val="24"/>
              </w:rPr>
              <w:t>Страна происхождения товара</w:t>
            </w:r>
          </w:p>
        </w:tc>
        <w:tc>
          <w:tcPr>
            <w:tcW w:w="65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Ед. изм.</w:t>
            </w:r>
          </w:p>
        </w:tc>
        <w:tc>
          <w:tcPr>
            <w:tcW w:w="141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Количество</w:t>
            </w:r>
          </w:p>
        </w:tc>
        <w:tc>
          <w:tcPr>
            <w:tcW w:w="113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Цена  за единицу (руб., без НДС)</w:t>
            </w:r>
          </w:p>
        </w:tc>
        <w:tc>
          <w:tcPr>
            <w:tcW w:w="138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jc w:val="center"/>
              <w:rPr>
                <w:bCs/>
                <w:sz w:val="24"/>
                <w:szCs w:val="24"/>
              </w:rPr>
            </w:pPr>
            <w:r>
              <w:rPr>
                <w:bCs/>
                <w:sz w:val="24"/>
                <w:szCs w:val="24"/>
              </w:rPr>
              <w:t xml:space="preserve">Сумма (руб., </w:t>
            </w:r>
            <w:r>
              <w:rPr>
                <w:bCs/>
                <w:sz w:val="24"/>
                <w:szCs w:val="24"/>
                <w:lang w:val="en-US"/>
              </w:rPr>
              <w:t>без</w:t>
            </w:r>
            <w:r>
              <w:rPr>
                <w:bCs/>
                <w:sz w:val="24"/>
                <w:szCs w:val="24"/>
              </w:rPr>
              <w:t xml:space="preserve"> НДС)</w:t>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lang w:val="en-US"/>
              </w:rPr>
              <w:t>1</w:t>
            </w:r>
            <w:r>
              <w:rPr>
                <w:sz w:val="24"/>
                <w:szCs w:val="24"/>
              </w:rPr>
              <w:t>.</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91"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lang w:val="en-US"/>
              </w:rPr>
            </w:pPr>
            <w:r>
              <w:rPr>
                <w:sz w:val="24"/>
                <w:szCs w:val="24"/>
                <w:lang w:val="en-US"/>
              </w:rPr>
              <w:t>2.</w:t>
            </w:r>
          </w:p>
        </w:tc>
        <w:tc>
          <w:tcPr>
            <w:tcW w:w="397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182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654"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41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139"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center"/>
              <w:rPr>
                <w:sz w:val="24"/>
                <w:szCs w:val="24"/>
              </w:rPr>
            </w:pPr>
            <w:r>
              <w:rPr>
                <w:sz w:val="24"/>
                <w:szCs w:val="24"/>
              </w:rPr>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center"/>
              <w:rPr>
                <w:sz w:val="24"/>
                <w:szCs w:val="24"/>
              </w:rPr>
            </w:pPr>
            <w:r>
              <w:rPr>
                <w:sz w:val="24"/>
                <w:szCs w:val="24"/>
              </w:rPr>
            </w:r>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rPr>
            </w:pPr>
            <w:r>
              <w:rPr>
                <w:b/>
                <w:sz w:val="24"/>
                <w:szCs w:val="24"/>
              </w:rPr>
              <w:t>Итого, руб.</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lang w:val="en-US"/>
              </w:rPr>
            </w:pPr>
            <w:r>
              <w:rPr>
                <w:b/>
                <w:sz w:val="24"/>
                <w:szCs w:val="24"/>
                <w:lang w:val="en-US"/>
              </w:rPr>
            </w:r>
            <w:bookmarkStart w:id="4" w:name="_GoBack"/>
            <w:bookmarkStart w:id="5" w:name="_GoBack"/>
            <w:bookmarkEnd w:id="5"/>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lang w:val="en-US"/>
              </w:rPr>
            </w:pPr>
            <w:r>
              <w:rPr>
                <w:b/>
                <w:sz w:val="24"/>
                <w:szCs w:val="24"/>
                <w:lang w:val="en-US"/>
              </w:rPr>
              <w:t>НДС %, руб.</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lang w:val="en-US"/>
              </w:rPr>
            </w:pPr>
            <w:r>
              <w:rPr>
                <w:b/>
                <w:sz w:val="24"/>
                <w:szCs w:val="24"/>
                <w:lang w:val="en-US"/>
              </w:rPr>
            </w:r>
          </w:p>
        </w:tc>
      </w:tr>
      <w:tr>
        <w:trPr>
          <w:trHeight w:val="357" w:hRule="atLeast"/>
          <w:cantSplit w:val="true"/>
        </w:trPr>
        <w:tc>
          <w:tcPr>
            <w:tcW w:w="66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rPr>
                <w:sz w:val="24"/>
                <w:szCs w:val="24"/>
              </w:rPr>
            </w:pPr>
            <w:r>
              <w:rPr>
                <w:sz w:val="24"/>
                <w:szCs w:val="24"/>
              </w:rPr>
            </w:r>
          </w:p>
        </w:tc>
        <w:tc>
          <w:tcPr>
            <w:tcW w:w="9006" w:type="dxa"/>
            <w:gridSpan w:val="5"/>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val="false"/>
              <w:jc w:val="right"/>
              <w:rPr>
                <w:b/>
                <w:sz w:val="24"/>
                <w:szCs w:val="24"/>
              </w:rPr>
            </w:pPr>
            <w:r>
              <w:rPr>
                <w:b/>
                <w:sz w:val="24"/>
                <w:szCs w:val="24"/>
                <w:lang w:val="en-US"/>
              </w:rPr>
              <w:t xml:space="preserve">Итого с </w:t>
            </w:r>
            <w:r>
              <w:rPr>
                <w:b/>
                <w:sz w:val="24"/>
                <w:szCs w:val="24"/>
              </w:rPr>
              <w:t xml:space="preserve"> НДС %</w:t>
            </w:r>
          </w:p>
        </w:tc>
        <w:tc>
          <w:tcPr>
            <w:tcW w:w="1383" w:type="dxa"/>
            <w:tcBorders>
              <w:top w:val="single" w:sz="8" w:space="0" w:color="000000"/>
              <w:bottom w:val="single" w:sz="8" w:space="0" w:color="000000"/>
              <w:right w:val="single" w:sz="8" w:space="0" w:color="000000"/>
            </w:tcBorders>
            <w:shd w:color="000000" w:fill="FFFFFF" w:val="clear"/>
            <w:vAlign w:val="center"/>
          </w:tcPr>
          <w:p>
            <w:pPr>
              <w:pStyle w:val="Normal"/>
              <w:widowControl w:val="false"/>
              <w:jc w:val="right"/>
              <w:rPr>
                <w:b/>
                <w:sz w:val="24"/>
                <w:szCs w:val="24"/>
                <w:lang w:val="en-US"/>
              </w:rPr>
            </w:pPr>
            <w:r>
              <w:rPr>
                <w:b/>
                <w:sz w:val="24"/>
                <w:szCs w:val="24"/>
                <w:lang w:val="en-US"/>
              </w:rPr>
            </w:r>
          </w:p>
        </w:tc>
      </w:tr>
    </w:tbl>
    <w:p>
      <w:pPr>
        <w:pStyle w:val="BodyText"/>
        <w:ind w:firstLine="284"/>
        <w:rPr>
          <w:b/>
          <w:bCs/>
          <w:sz w:val="24"/>
          <w:szCs w:val="24"/>
        </w:rPr>
      </w:pPr>
      <w:r>
        <w:rPr>
          <w:b/>
          <w:bCs/>
          <w:sz w:val="24"/>
          <w:szCs w:val="24"/>
        </w:rPr>
        <w:t>Условия поставки:</w:t>
      </w:r>
    </w:p>
    <w:p>
      <w:pPr>
        <w:pStyle w:val="BodyText"/>
        <w:ind w:firstLine="284"/>
        <w:rPr>
          <w:b/>
          <w:bCs/>
          <w:sz w:val="24"/>
          <w:szCs w:val="24"/>
        </w:rPr>
      </w:pPr>
      <w:r>
        <w:rPr>
          <w:b/>
          <w:bCs/>
          <w:sz w:val="24"/>
          <w:szCs w:val="24"/>
        </w:rPr>
      </w:r>
    </w:p>
    <w:p>
      <w:pPr>
        <w:pStyle w:val="Normal"/>
        <w:widowControl w:val="false"/>
        <w:numPr>
          <w:ilvl w:val="0"/>
          <w:numId w:val="19"/>
        </w:numPr>
        <w:tabs>
          <w:tab w:val="left" w:pos="720" w:leader="none"/>
        </w:tabs>
        <w:ind w:left="0" w:firstLine="284"/>
        <w:jc w:val="both"/>
        <w:rPr>
          <w:sz w:val="24"/>
          <w:szCs w:val="24"/>
        </w:rPr>
      </w:pPr>
      <w:r>
        <w:rPr>
          <w:sz w:val="24"/>
          <w:szCs w:val="24"/>
        </w:rPr>
        <w:t>Общая сумма Спецификации составляет (                       ) рублей 0</w:t>
      </w:r>
      <w:r>
        <w:rPr>
          <w:b/>
          <w:sz w:val="24"/>
          <w:szCs w:val="24"/>
        </w:rPr>
        <w:t>0</w:t>
      </w:r>
      <w:r>
        <w:rPr>
          <w:sz w:val="24"/>
          <w:szCs w:val="24"/>
        </w:rPr>
        <w:t xml:space="preserve"> копеек, </w:t>
      </w:r>
      <w:r>
        <w:rPr>
          <w:bCs/>
          <w:sz w:val="24"/>
          <w:szCs w:val="24"/>
        </w:rPr>
        <w:t>без учета НДС, при этом НДС исчисляется дополнительно по ставке, установленной статьей 164 Налогового кодекса Российской Федерации</w:t>
      </w:r>
      <w:r>
        <w:rPr>
          <w:sz w:val="24"/>
          <w:szCs w:val="24"/>
        </w:rPr>
        <w:t>.</w:t>
      </w:r>
      <w:r>
        <w:rPr>
          <w:b/>
          <w:sz w:val="24"/>
          <w:szCs w:val="24"/>
        </w:rPr>
        <w:t xml:space="preserve"> </w:t>
      </w:r>
    </w:p>
    <w:p>
      <w:pPr>
        <w:pStyle w:val="Normal"/>
        <w:widowControl w:val="false"/>
        <w:numPr>
          <w:ilvl w:val="0"/>
          <w:numId w:val="20"/>
        </w:numPr>
        <w:tabs>
          <w:tab w:val="left" w:pos="720" w:leader="none"/>
        </w:tabs>
        <w:ind w:left="1440" w:hanging="1156"/>
        <w:jc w:val="both"/>
        <w:rPr>
          <w:sz w:val="24"/>
          <w:szCs w:val="24"/>
        </w:rPr>
      </w:pPr>
      <w:r>
        <w:rPr>
          <w:sz w:val="24"/>
          <w:szCs w:val="24"/>
        </w:rPr>
        <w:t>Срок поставки Продукции: Не позднее 45 календарных дней c даты подписания договора.</w:t>
      </w:r>
    </w:p>
    <w:p>
      <w:pPr>
        <w:pStyle w:val="Normal"/>
        <w:widowControl w:val="false"/>
        <w:numPr>
          <w:ilvl w:val="0"/>
          <w:numId w:val="21"/>
        </w:numPr>
        <w:tabs>
          <w:tab w:val="left" w:pos="720" w:leader="none"/>
        </w:tabs>
        <w:ind w:left="0" w:firstLine="284"/>
        <w:jc w:val="both"/>
        <w:rPr>
          <w:sz w:val="24"/>
          <w:szCs w:val="24"/>
        </w:rPr>
      </w:pPr>
      <w:r>
        <w:rPr>
          <w:sz w:val="24"/>
          <w:szCs w:val="24"/>
        </w:rPr>
        <w:t>Иные условия, предусмотренные техническими требованиями.</w:t>
      </w:r>
    </w:p>
    <w:p>
      <w:pPr>
        <w:pStyle w:val="Normal"/>
        <w:widowControl w:val="false"/>
        <w:numPr>
          <w:ilvl w:val="0"/>
          <w:numId w:val="22"/>
        </w:numPr>
        <w:tabs>
          <w:tab w:val="left" w:pos="720" w:leader="none"/>
        </w:tabs>
        <w:ind w:left="0" w:firstLine="284"/>
        <w:jc w:val="both"/>
        <w:rPr>
          <w:sz w:val="24"/>
          <w:szCs w:val="24"/>
        </w:rPr>
      </w:pPr>
      <w:r>
        <w:rPr>
          <w:sz w:val="24"/>
          <w:szCs w:val="24"/>
        </w:rPr>
        <w:t>При оформлении счета-фактуры,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Покупатель:</w:t>
      </w:r>
    </w:p>
    <w:p>
      <w:pPr>
        <w:pStyle w:val="Normal"/>
        <w:widowControl w:val="false"/>
        <w:ind w:firstLine="284"/>
        <w:jc w:val="both"/>
        <w:rPr>
          <w:sz w:val="24"/>
          <w:szCs w:val="24"/>
        </w:rPr>
      </w:pPr>
      <w:r>
        <w:rPr>
          <w:sz w:val="24"/>
          <w:szCs w:val="24"/>
        </w:rPr>
        <w:t>АО «Гидроремонт-ВКК», адрес покупателя: 603140, Нижегородская обл., г.о. город Нижний</w:t>
      </w:r>
    </w:p>
    <w:p>
      <w:pPr>
        <w:pStyle w:val="Normal"/>
        <w:widowControl w:val="false"/>
        <w:ind w:firstLine="284"/>
        <w:jc w:val="both"/>
        <w:rPr>
          <w:sz w:val="24"/>
          <w:szCs w:val="24"/>
        </w:rPr>
      </w:pPr>
      <w:r>
        <w:rPr>
          <w:sz w:val="24"/>
          <w:szCs w:val="24"/>
        </w:rPr>
        <w:t>Новгород, г. Нижний Новгород, пер. Мотальный, д.8 помещ. ВП31, офис С1А., ИНН 6345012488,</w:t>
      </w:r>
    </w:p>
    <w:p>
      <w:pPr>
        <w:pStyle w:val="Normal"/>
        <w:widowControl w:val="false"/>
        <w:ind w:firstLine="284"/>
        <w:jc w:val="both"/>
        <w:rPr>
          <w:sz w:val="24"/>
          <w:szCs w:val="24"/>
        </w:rPr>
      </w:pPr>
      <w:r>
        <w:rPr>
          <w:sz w:val="24"/>
          <w:szCs w:val="24"/>
        </w:rPr>
        <w:t>КПП 590745002., ИНН 6345012488.</w:t>
      </w:r>
    </w:p>
    <w:p>
      <w:pPr>
        <w:pStyle w:val="Normal"/>
        <w:widowControl w:val="false"/>
        <w:ind w:firstLine="284"/>
        <w:jc w:val="both"/>
        <w:rPr>
          <w:b/>
          <w:sz w:val="24"/>
          <w:szCs w:val="24"/>
        </w:rPr>
      </w:pPr>
      <w:r>
        <w:rPr>
          <w:b/>
          <w:sz w:val="24"/>
          <w:szCs w:val="24"/>
        </w:rPr>
        <w:t>Грузополучатель:</w:t>
      </w:r>
    </w:p>
    <w:p>
      <w:pPr>
        <w:pStyle w:val="Normal"/>
        <w:widowControl w:val="false"/>
        <w:ind w:firstLine="284"/>
        <w:jc w:val="both"/>
        <w:rPr>
          <w:sz w:val="24"/>
          <w:szCs w:val="24"/>
        </w:rPr>
      </w:pPr>
      <w:r>
        <w:rPr>
          <w:sz w:val="24"/>
          <w:szCs w:val="24"/>
        </w:rPr>
        <w:t>Производственный участок АО «Гидроремонт-ВКК» г. Пермь, 614030, Российская Федерация, Пермский край, г. Пермь, Камская ГЭС.</w:t>
      </w:r>
    </w:p>
    <w:p>
      <w:pPr>
        <w:pStyle w:val="Normal"/>
        <w:widowControl w:val="false"/>
        <w:numPr>
          <w:ilvl w:val="0"/>
          <w:numId w:val="23"/>
        </w:numPr>
        <w:tabs>
          <w:tab w:val="left" w:pos="720" w:leader="none"/>
        </w:tabs>
        <w:ind w:left="0" w:firstLine="284"/>
        <w:jc w:val="both"/>
        <w:rPr>
          <w:sz w:val="24"/>
          <w:szCs w:val="24"/>
        </w:rPr>
      </w:pPr>
      <w:r>
        <w:rPr>
          <w:sz w:val="24"/>
          <w:szCs w:val="24"/>
        </w:rPr>
        <w:t>При оформлении товарной накладной Поставщик указывает следующие реквизиты:</w:t>
      </w:r>
    </w:p>
    <w:p>
      <w:pPr>
        <w:pStyle w:val="Normal"/>
        <w:widowControl w:val="false"/>
        <w:ind w:firstLine="284"/>
        <w:jc w:val="both"/>
        <w:rPr>
          <w:b/>
          <w:sz w:val="24"/>
          <w:szCs w:val="24"/>
        </w:rPr>
      </w:pPr>
      <w:r>
        <w:rPr>
          <w:b/>
          <w:sz w:val="24"/>
          <w:szCs w:val="24"/>
        </w:rPr>
        <w:t>Плательщик:</w:t>
      </w:r>
    </w:p>
    <w:p>
      <w:pPr>
        <w:pStyle w:val="Normal"/>
        <w:widowControl w:val="false"/>
        <w:ind w:left="284" w:hanging="0"/>
        <w:jc w:val="both"/>
        <w:rPr>
          <w:sz w:val="24"/>
          <w:szCs w:val="24"/>
        </w:rPr>
      </w:pPr>
      <w:r>
        <w:rPr>
          <w:sz w:val="24"/>
          <w:szCs w:val="24"/>
        </w:rPr>
        <w:t>АО "Гидроремонт-ВКК", ИНН 6345012488, Россия, 603140, Нижегородская обл., г.о. город</w:t>
      </w:r>
    </w:p>
    <w:p>
      <w:pPr>
        <w:pStyle w:val="Normal"/>
        <w:widowControl w:val="false"/>
        <w:ind w:left="284" w:hanging="0"/>
        <w:jc w:val="both"/>
        <w:rPr>
          <w:sz w:val="24"/>
          <w:szCs w:val="24"/>
        </w:rPr>
      </w:pPr>
      <w:r>
        <w:rPr>
          <w:sz w:val="24"/>
          <w:szCs w:val="24"/>
        </w:rPr>
        <w:t>Нижний Новгород, г. Нижний Новгород, пер. Мотальный, д.8 помещ. ВП31, офис С1А,</w:t>
      </w:r>
    </w:p>
    <w:p>
      <w:pPr>
        <w:pStyle w:val="Normal"/>
        <w:widowControl w:val="false"/>
        <w:ind w:left="284" w:hanging="0"/>
        <w:jc w:val="both"/>
        <w:rPr>
          <w:sz w:val="24"/>
          <w:szCs w:val="24"/>
        </w:rPr>
      </w:pPr>
      <w:r>
        <w:rPr>
          <w:sz w:val="24"/>
          <w:szCs w:val="24"/>
        </w:rPr>
        <w:t>тел./факс: +7(34241)46341, р/с 40702810800000060241, в банке Банк ГПБ (АО), г. Москва, БИК</w:t>
      </w:r>
    </w:p>
    <w:p>
      <w:pPr>
        <w:pStyle w:val="Normal"/>
        <w:widowControl w:val="false"/>
        <w:ind w:left="284" w:hanging="0"/>
        <w:jc w:val="both"/>
        <w:rPr>
          <w:sz w:val="24"/>
          <w:szCs w:val="24"/>
        </w:rPr>
      </w:pPr>
      <w:r>
        <w:rPr>
          <w:sz w:val="24"/>
          <w:szCs w:val="24"/>
        </w:rPr>
        <w:t>044525823, к/с 30101810200000000823.</w:t>
      </w:r>
    </w:p>
    <w:p>
      <w:pPr>
        <w:pStyle w:val="Normal"/>
        <w:widowControl w:val="false"/>
        <w:ind w:left="284" w:hanging="0"/>
        <w:jc w:val="both"/>
        <w:rPr>
          <w:b/>
          <w:sz w:val="24"/>
          <w:szCs w:val="24"/>
        </w:rPr>
      </w:pPr>
      <w:r>
        <w:rPr>
          <w:b/>
          <w:sz w:val="24"/>
          <w:szCs w:val="24"/>
        </w:rPr>
        <w:t>Грузополучатель:</w:t>
      </w:r>
    </w:p>
    <w:p>
      <w:pPr>
        <w:pStyle w:val="Normal"/>
        <w:widowControl w:val="false"/>
        <w:ind w:left="284" w:hanging="0"/>
        <w:jc w:val="both"/>
        <w:rPr>
          <w:sz w:val="24"/>
          <w:szCs w:val="24"/>
        </w:rPr>
      </w:pPr>
      <w:r>
        <w:rPr>
          <w:sz w:val="24"/>
          <w:szCs w:val="24"/>
        </w:rPr>
        <w:t>Производственный участок АО «Гидроремонт-ВКК» г. Пермь, 614030, Пермский край, г.    Пермь, Камская ГЭС.</w:t>
      </w:r>
    </w:p>
    <w:tbl>
      <w:tblPr>
        <w:tblpPr w:vertAnchor="text" w:horzAnchor="margin" w:tblpXSpec="center" w:leftFromText="180" w:rightFromText="180" w:tblpY="225"/>
        <w:tblW w:w="10153"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381"/>
        <w:gridCol w:w="4771"/>
      </w:tblGrid>
      <w:tr>
        <w:trPr>
          <w:trHeight w:val="1574" w:hRule="atLeast"/>
        </w:trPr>
        <w:tc>
          <w:tcPr>
            <w:tcW w:w="5381" w:type="dxa"/>
            <w:tcBorders/>
            <w:shd w:color="auto" w:fill="FFFFFF" w:themeFill="background1" w:val="clear"/>
          </w:tcPr>
          <w:p>
            <w:pPr>
              <w:pStyle w:val="Style18"/>
              <w:pageBreakBefore/>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8"/>
              <w:widowControl w:val="false"/>
              <w:spacing w:lineRule="auto" w:line="240" w:before="0" w:after="120"/>
              <w:ind w:left="567" w:hanging="0"/>
              <w:jc w:val="left"/>
              <w:rPr>
                <w:rFonts w:ascii="Times New Roman" w:hAnsi="Times New Roman"/>
                <w:sz w:val="24"/>
                <w:lang w:val="ru-RU"/>
              </w:rPr>
            </w:pPr>
            <w:r>
              <w:rPr>
                <w:rFonts w:ascii="Times New Roman" w:hAnsi="Times New Roman"/>
                <w:sz w:val="24"/>
                <w:lang w:val="ru-RU"/>
              </w:rPr>
              <w:t>Директор Воткинского филиала АО «Гидроремонт-ВКК» в г. Чайковский</w:t>
            </w:r>
          </w:p>
        </w:tc>
        <w:tc>
          <w:tcPr>
            <w:tcW w:w="4771" w:type="dxa"/>
            <w:tcBorders/>
            <w:shd w:color="auto" w:fill="FFFFFF" w:themeFill="background1" w:val="clear"/>
          </w:tcPr>
          <w:p>
            <w:pPr>
              <w:pStyle w:val="Style18"/>
              <w:widowControl w:val="false"/>
              <w:spacing w:lineRule="auto" w:line="240" w:before="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8"/>
              <w:widowControl w:val="false"/>
              <w:spacing w:lineRule="auto" w:line="240" w:before="0" w:after="120"/>
              <w:ind w:left="567" w:hanging="0"/>
              <w:jc w:val="left"/>
              <w:rPr>
                <w:rFonts w:ascii="Times New Roman" w:hAnsi="Times New Roman"/>
                <w:sz w:val="24"/>
                <w:lang w:val="ru-RU"/>
              </w:rPr>
            </w:pPr>
            <w:r>
              <w:rPr>
                <w:rFonts w:ascii="Times New Roman" w:hAnsi="Times New Roman"/>
                <w:sz w:val="24"/>
                <w:szCs w:val="24"/>
                <w:u w:val="single"/>
              </w:rPr>
              <w:t xml:space="preserve">                         </w:t>
            </w:r>
            <w:r>
              <w:rPr>
                <w:rFonts w:ascii="Times New Roman" w:hAnsi="Times New Roman"/>
                <w:sz w:val="24"/>
                <w:szCs w:val="24"/>
              </w:rPr>
              <w:t xml:space="preserve">  </w:t>
            </w:r>
            <w:r>
              <w:rPr>
                <w:rFonts w:ascii="Times New Roman" w:hAnsi="Times New Roman"/>
                <w:sz w:val="24"/>
                <w:szCs w:val="24"/>
                <w:lang w:val="ru-RU"/>
              </w:rPr>
              <w:t>«»</w:t>
            </w:r>
          </w:p>
        </w:tc>
      </w:tr>
      <w:tr>
        <w:trPr>
          <w:trHeight w:val="640" w:hRule="atLeast"/>
        </w:trPr>
        <w:tc>
          <w:tcPr>
            <w:tcW w:w="5381" w:type="dxa"/>
            <w:tcBorders/>
            <w:shd w:color="auto" w:fill="FFFFFF" w:themeFill="background1" w:val="clear"/>
          </w:tcPr>
          <w:p>
            <w:pPr>
              <w:pStyle w:val="Style18"/>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 В. Глазырин /</w:t>
            </w:r>
          </w:p>
          <w:p>
            <w:pPr>
              <w:pStyle w:val="Style18"/>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771" w:type="dxa"/>
            <w:tcBorders/>
            <w:shd w:color="auto" w:fill="FFFFFF" w:themeFill="background1" w:val="clear"/>
          </w:tcPr>
          <w:p>
            <w:pPr>
              <w:pStyle w:val="Style18"/>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 /</w:t>
            </w:r>
          </w:p>
          <w:p>
            <w:pPr>
              <w:pStyle w:val="Style18"/>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widowControl w:val="false"/>
        <w:ind w:left="284" w:hanging="0"/>
        <w:jc w:val="both"/>
        <w:rPr>
          <w:b/>
          <w:sz w:val="24"/>
          <w:szCs w:val="24"/>
        </w:rPr>
      </w:pPr>
      <w:r>
        <w:rPr>
          <w:b/>
          <w:sz w:val="24"/>
          <w:szCs w:val="24"/>
        </w:rPr>
      </w:r>
    </w:p>
    <w:p>
      <w:pPr>
        <w:pStyle w:val="Normal"/>
        <w:widowControl w:val="false"/>
        <w:ind w:left="284" w:hanging="0"/>
        <w:jc w:val="both"/>
        <w:rPr>
          <w:b/>
          <w:sz w:val="24"/>
          <w:szCs w:val="24"/>
        </w:rPr>
      </w:pPr>
      <w:r>
        <w:rPr>
          <w:b/>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r>
    </w:p>
    <w:p>
      <w:pPr>
        <w:pStyle w:val="Normal"/>
        <w:spacing w:before="0" w:after="120"/>
        <w:jc w:val="right"/>
        <w:rPr>
          <w:b/>
          <w:bCs/>
          <w:sz w:val="24"/>
          <w:szCs w:val="24"/>
        </w:rPr>
      </w:pPr>
      <w:r>
        <w:rPr>
          <w:b/>
          <w:bCs/>
          <w:sz w:val="24"/>
          <w:szCs w:val="24"/>
        </w:rPr>
        <w:t>Приложение № 2</w:t>
      </w:r>
    </w:p>
    <w:p>
      <w:pPr>
        <w:pStyle w:val="BodyText"/>
        <w:ind w:firstLine="567"/>
        <w:jc w:val="right"/>
        <w:rPr>
          <w:bCs/>
          <w:sz w:val="24"/>
          <w:szCs w:val="24"/>
        </w:rPr>
      </w:pPr>
      <w:r>
        <w:rPr>
          <w:bCs/>
          <w:sz w:val="24"/>
          <w:szCs w:val="24"/>
        </w:rPr>
        <w:t xml:space="preserve">к договору поставки №___-Вот/инвест/пос </w:t>
      </w:r>
    </w:p>
    <w:p>
      <w:pPr>
        <w:pStyle w:val="BodyText"/>
        <w:ind w:firstLine="567"/>
        <w:jc w:val="right"/>
        <w:rPr>
          <w:bCs/>
          <w:sz w:val="24"/>
          <w:szCs w:val="24"/>
        </w:rPr>
      </w:pPr>
      <w:r>
        <w:rPr>
          <w:bCs/>
          <w:sz w:val="24"/>
          <w:szCs w:val="24"/>
        </w:rPr>
        <w:t xml:space="preserve">от « __ »  </w:t>
      </w:r>
      <w:r>
        <w:rPr>
          <w:bCs/>
          <w:sz w:val="24"/>
          <w:szCs w:val="24"/>
          <w:u w:val="single"/>
        </w:rPr>
        <w:t xml:space="preserve">               </w:t>
      </w:r>
      <w:r>
        <w:rPr>
          <w:bCs/>
          <w:sz w:val="24"/>
          <w:szCs w:val="24"/>
        </w:rPr>
        <w:t xml:space="preserve"> 20</w:t>
      </w:r>
      <w:r>
        <w:rPr>
          <w:bCs/>
          <w:sz w:val="24"/>
          <w:szCs w:val="24"/>
          <w:u w:val="single"/>
        </w:rPr>
        <w:t xml:space="preserve">   </w:t>
      </w:r>
      <w:r>
        <w:rPr>
          <w:bCs/>
          <w:sz w:val="24"/>
          <w:szCs w:val="24"/>
        </w:rPr>
        <w:t>г.</w:t>
      </w:r>
    </w:p>
    <w:p>
      <w:pPr>
        <w:pStyle w:val="Normal"/>
        <w:jc w:val="center"/>
        <w:rPr>
          <w:b/>
        </w:rPr>
      </w:pPr>
      <w:r>
        <w:rPr>
          <w:b/>
        </w:rPr>
      </w:r>
    </w:p>
    <w:p>
      <w:pPr>
        <w:pStyle w:val="Normal"/>
        <w:spacing w:before="0" w:after="120"/>
        <w:jc w:val="center"/>
        <w:rPr>
          <w:sz w:val="24"/>
          <w:szCs w:val="24"/>
        </w:rPr>
      </w:pPr>
      <w:r>
        <w:rPr>
          <w:sz w:val="24"/>
          <w:szCs w:val="24"/>
        </w:rPr>
        <w:t xml:space="preserve">           </w:t>
      </w:r>
      <w:r>
        <w:rPr>
          <w:sz w:val="24"/>
          <w:szCs w:val="24"/>
        </w:rPr>
        <w:t>ТЕХНИЧЕСКИЕ ТРЕБОВАНИЯ</w:t>
      </w:r>
    </w:p>
    <w:p>
      <w:pPr>
        <w:pStyle w:val="Normal"/>
        <w:tabs>
          <w:tab w:val="clear" w:pos="720"/>
          <w:tab w:val="left" w:pos="1134" w:leader="none"/>
        </w:tabs>
        <w:ind w:firstLine="709"/>
        <w:jc w:val="center"/>
        <w:rPr>
          <w:b/>
          <w:sz w:val="24"/>
          <w:szCs w:val="24"/>
        </w:rPr>
      </w:pPr>
      <w:r>
        <w:rPr>
          <w:b/>
          <w:sz w:val="24"/>
          <w:szCs w:val="24"/>
        </w:rPr>
        <w:t xml:space="preserve">ОКПД 2: </w:t>
      </w:r>
    </w:p>
    <w:p>
      <w:pPr>
        <w:pStyle w:val="Normal"/>
        <w:tabs>
          <w:tab w:val="clear" w:pos="720"/>
          <w:tab w:val="left" w:pos="1134" w:leader="none"/>
        </w:tabs>
        <w:ind w:firstLine="709"/>
        <w:jc w:val="center"/>
        <w:rPr>
          <w:b/>
          <w:sz w:val="24"/>
          <w:szCs w:val="24"/>
        </w:rPr>
      </w:pPr>
      <w:r>
        <w:rPr>
          <w:b/>
          <w:sz w:val="24"/>
          <w:szCs w:val="24"/>
        </w:rPr>
        <w:t>ЛОТ ГР-ВКК-</w:t>
      </w:r>
    </w:p>
    <w:p>
      <w:pPr>
        <w:pStyle w:val="Normal"/>
        <w:tabs>
          <w:tab w:val="clear" w:pos="720"/>
          <w:tab w:val="left" w:pos="1134" w:leader="none"/>
        </w:tabs>
        <w:ind w:firstLine="709"/>
        <w:jc w:val="center"/>
        <w:rPr>
          <w:b/>
          <w:sz w:val="24"/>
          <w:szCs w:val="24"/>
        </w:rPr>
      </w:pPr>
      <w:r>
        <w:rPr>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r>
    </w:p>
    <w:p>
      <w:pPr>
        <w:pStyle w:val="Normal"/>
        <w:tabs>
          <w:tab w:val="clear" w:pos="720"/>
          <w:tab w:val="left" w:pos="1340" w:leader="none"/>
        </w:tabs>
        <w:jc w:val="center"/>
        <w:rPr>
          <w:rFonts w:eastAsia="Calibri"/>
          <w:b/>
          <w:sz w:val="24"/>
          <w:szCs w:val="24"/>
        </w:rPr>
      </w:pPr>
      <w:r>
        <w:rPr>
          <w:rFonts w:eastAsia="Calibri"/>
          <w:b/>
          <w:sz w:val="24"/>
          <w:szCs w:val="24"/>
        </w:rPr>
        <w:t>Подписи сторон:</w:t>
      </w:r>
    </w:p>
    <w:tbl>
      <w:tblPr>
        <w:tblpPr w:bottomFromText="0" w:horzAnchor="margin" w:leftFromText="180" w:rightFromText="180" w:tblpX="0" w:tblpXSpec="center" w:tblpY="186" w:topFromText="0" w:vertAnchor="text"/>
        <w:tblW w:w="10456" w:type="dxa"/>
        <w:jc w:val="center"/>
        <w:tblInd w:w="0" w:type="dxa"/>
        <w:tblLayout w:type="fixed"/>
        <w:tblCellMar>
          <w:top w:w="0" w:type="dxa"/>
          <w:left w:w="108" w:type="dxa"/>
          <w:bottom w:w="0" w:type="dxa"/>
          <w:right w:w="108" w:type="dxa"/>
        </w:tblCellMar>
        <w:tblLook w:noVBand="0" w:val="01e0" w:noHBand="0" w:lastColumn="1" w:firstColumn="1" w:lastRow="1" w:firstRow="1"/>
      </w:tblPr>
      <w:tblGrid>
        <w:gridCol w:w="5494"/>
        <w:gridCol w:w="4961"/>
      </w:tblGrid>
      <w:tr>
        <w:trPr/>
        <w:tc>
          <w:tcPr>
            <w:tcW w:w="5494" w:type="dxa"/>
            <w:tcBorders/>
            <w:shd w:color="auto" w:fill="FFFFFF" w:themeFill="background1" w:val="clear"/>
          </w:tcPr>
          <w:p>
            <w:pPr>
              <w:pStyle w:val="Style18"/>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Покупатель:</w:t>
            </w:r>
          </w:p>
          <w:p>
            <w:pPr>
              <w:pStyle w:val="Style18"/>
              <w:widowControl w:val="false"/>
              <w:spacing w:lineRule="auto" w:line="240" w:before="120" w:after="120"/>
              <w:ind w:left="567" w:hanging="0"/>
              <w:jc w:val="left"/>
              <w:rPr>
                <w:rFonts w:ascii="Times New Roman" w:hAnsi="Times New Roman"/>
                <w:sz w:val="24"/>
                <w:szCs w:val="24"/>
                <w:lang w:val="ru-RU"/>
              </w:rPr>
            </w:pPr>
            <w:r>
              <w:rPr>
                <w:rFonts w:ascii="Times New Roman" w:hAnsi="Times New Roman"/>
                <w:sz w:val="24"/>
                <w:szCs w:val="24"/>
                <w:lang w:val="ru-RU"/>
              </w:rPr>
              <w:t>Директор Воткинского филиала АО «Гидроремонт-ВКК» в г. Чайковский</w:t>
            </w:r>
          </w:p>
          <w:p>
            <w:pPr>
              <w:pStyle w:val="Style18"/>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c>
          <w:tcPr>
            <w:tcW w:w="4961" w:type="dxa"/>
            <w:tcBorders/>
            <w:shd w:color="auto" w:fill="FFFFFF" w:themeFill="background1" w:val="clear"/>
          </w:tcPr>
          <w:p>
            <w:pPr>
              <w:pStyle w:val="Style18"/>
              <w:widowControl w:val="false"/>
              <w:spacing w:lineRule="auto" w:line="240" w:before="120" w:after="120"/>
              <w:ind w:firstLine="567"/>
              <w:jc w:val="left"/>
              <w:rPr>
                <w:rFonts w:ascii="Times New Roman" w:hAnsi="Times New Roman"/>
                <w:sz w:val="24"/>
                <w:szCs w:val="24"/>
                <w:u w:val="single"/>
                <w:lang w:val="ru-RU"/>
              </w:rPr>
            </w:pPr>
            <w:r>
              <w:rPr>
                <w:rFonts w:ascii="Times New Roman" w:hAnsi="Times New Roman"/>
                <w:sz w:val="24"/>
                <w:szCs w:val="24"/>
                <w:u w:val="single"/>
                <w:lang w:val="ru-RU"/>
              </w:rPr>
              <w:t>Поставщик:</w:t>
            </w:r>
          </w:p>
          <w:p>
            <w:pPr>
              <w:pStyle w:val="Style18"/>
              <w:widowControl w:val="false"/>
              <w:spacing w:lineRule="auto" w:line="240" w:before="120" w:after="120"/>
              <w:ind w:left="567" w:hanging="0"/>
              <w:jc w:val="left"/>
              <w:rPr>
                <w:rFonts w:ascii="Times New Roman" w:hAnsi="Times New Roman"/>
                <w:sz w:val="24"/>
                <w:lang w:val="ru-RU"/>
              </w:rPr>
            </w:pPr>
            <w:r>
              <w:rPr>
                <w:rFonts w:ascii="Times New Roman" w:hAnsi="Times New Roman"/>
                <w:sz w:val="24"/>
                <w:lang w:val="ru-RU"/>
              </w:rPr>
            </w:r>
          </w:p>
        </w:tc>
      </w:tr>
      <w:tr>
        <w:trPr/>
        <w:tc>
          <w:tcPr>
            <w:tcW w:w="5494" w:type="dxa"/>
            <w:tcBorders/>
            <w:shd w:color="auto" w:fill="FFFFFF" w:themeFill="background1" w:val="clear"/>
          </w:tcPr>
          <w:p>
            <w:pPr>
              <w:pStyle w:val="Style18"/>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_______________ /Н.В.Глазырин /</w:t>
            </w:r>
          </w:p>
          <w:p>
            <w:pPr>
              <w:pStyle w:val="Style18"/>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c>
          <w:tcPr>
            <w:tcW w:w="4961" w:type="dxa"/>
            <w:tcBorders/>
            <w:shd w:color="auto" w:fill="FFFFFF" w:themeFill="background1" w:val="clear"/>
          </w:tcPr>
          <w:p>
            <w:pPr>
              <w:pStyle w:val="Style18"/>
              <w:widowControl w:val="false"/>
              <w:spacing w:lineRule="auto" w:line="240" w:before="0" w:after="0"/>
              <w:ind w:firstLine="567"/>
              <w:jc w:val="left"/>
              <w:rPr>
                <w:rFonts w:ascii="Times New Roman" w:hAnsi="Times New Roman"/>
                <w:sz w:val="24"/>
                <w:szCs w:val="24"/>
                <w:lang w:val="ru-RU"/>
              </w:rPr>
            </w:pPr>
            <w:r>
              <w:rPr>
                <w:rFonts w:ascii="Times New Roman" w:hAnsi="Times New Roman"/>
                <w:sz w:val="24"/>
                <w:szCs w:val="24"/>
                <w:lang w:val="ru-RU"/>
              </w:rPr>
              <w:t>______________ /</w:t>
            </w:r>
            <w:r>
              <w:rPr>
                <w:lang w:val="ru-RU"/>
              </w:rPr>
              <w:t xml:space="preserve"> </w:t>
            </w:r>
            <w:r>
              <w:rPr>
                <w:rFonts w:ascii="Times New Roman" w:hAnsi="Times New Roman"/>
                <w:sz w:val="24"/>
                <w:szCs w:val="24"/>
                <w:lang w:val="ru-RU"/>
              </w:rPr>
              <w:t>____ /</w:t>
            </w:r>
          </w:p>
          <w:p>
            <w:pPr>
              <w:pStyle w:val="Style18"/>
              <w:widowControl w:val="false"/>
              <w:spacing w:lineRule="auto" w:line="240" w:before="0" w:after="0"/>
              <w:ind w:firstLine="567"/>
              <w:jc w:val="left"/>
              <w:rPr>
                <w:rFonts w:ascii="Times New Roman" w:hAnsi="Times New Roman"/>
                <w:szCs w:val="24"/>
                <w:lang w:val="ru-RU"/>
              </w:rPr>
            </w:pPr>
            <w:r>
              <w:rPr>
                <w:rFonts w:ascii="Times New Roman" w:hAnsi="Times New Roman"/>
                <w:sz w:val="24"/>
                <w:szCs w:val="24"/>
                <w:lang w:val="ru-RU"/>
              </w:rPr>
              <w:t>м.п.</w:t>
            </w:r>
          </w:p>
        </w:tc>
      </w:tr>
    </w:tbl>
    <w:p>
      <w:pPr>
        <w:pStyle w:val="Normal"/>
        <w:tabs>
          <w:tab w:val="clear" w:pos="720"/>
          <w:tab w:val="left" w:pos="1340" w:leader="none"/>
        </w:tabs>
        <w:rPr>
          <w:rFonts w:eastAsia="Calibri"/>
          <w:sz w:val="24"/>
          <w:szCs w:val="24"/>
        </w:rPr>
      </w:pPr>
      <w:r>
        <w:rPr>
          <w:rFonts w:eastAsia="Calibri"/>
          <w:sz w:val="24"/>
          <w:szCs w:val="24"/>
        </w:rPr>
      </w:r>
    </w:p>
    <w:p>
      <w:pPr>
        <w:pStyle w:val="Normal"/>
        <w:tabs>
          <w:tab w:val="clear" w:pos="720"/>
          <w:tab w:val="left" w:pos="1340" w:leader="none"/>
        </w:tabs>
        <w:rPr>
          <w:rFonts w:eastAsia="Calibri"/>
          <w:sz w:val="24"/>
          <w:szCs w:val="24"/>
        </w:rPr>
      </w:pPr>
      <w:r>
        <w:rPr/>
      </w:r>
    </w:p>
    <w:sectPr>
      <w:headerReference w:type="default" r:id="rId8"/>
      <w:footerReference w:type="even" r:id="rId9"/>
      <w:footerReference w:type="default" r:id="rId10"/>
      <w:footerReference w:type="first" r:id="rId11"/>
      <w:footnotePr>
        <w:numFmt w:val="decimal"/>
      </w:footnotePr>
      <w:type w:val="nextPage"/>
      <w:pgSz w:w="11906" w:h="16838"/>
      <w:pgMar w:left="284" w:right="567" w:gutter="0" w:header="284" w:top="1134" w:footer="454" w:bottom="1134"/>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Tahoma">
    <w:charset w:val="01"/>
    <w:family w:val="roman"/>
    <w:pitch w:val="variable"/>
  </w:font>
  <w:font w:name="Liberation Sans">
    <w:altName w:val="Arial"/>
    <w:charset w:val="01"/>
    <w:family w:val="roman"/>
    <w:pitch w:val="variable"/>
  </w:font>
  <w:font w:name="Courier New">
    <w:charset w:val="01"/>
    <w:family w:val="roman"/>
    <w:pitch w:val="variable"/>
  </w:font>
  <w:font w:name="Verdana">
    <w:charset w:val="01"/>
    <w:family w:val="roman"/>
    <w:pitch w:val="variable"/>
  </w:font>
  <w:font w:name="Arial">
    <w:charset w:val="01"/>
    <w:family w:val="roman"/>
    <w:pitch w:val="variable"/>
  </w:font>
  <w:font w:name="Calibri">
    <w:charset w:val="01"/>
    <w:family w:val="roman"/>
    <w:pitch w:val="variable"/>
  </w:font>
  <w:font w:name="Microsoft Sans Serif">
    <w:charset w:val="01"/>
    <w:family w:val="roman"/>
    <w:pitch w:val="variable"/>
  </w:font>
  <w:font w:name="Symbol">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Tahoma">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3">
              <wp:simplePos x="0" y="0"/>
              <wp:positionH relativeFrom="margin">
                <wp:align>right</wp:align>
              </wp:positionH>
              <wp:positionV relativeFrom="paragraph">
                <wp:posOffset>635</wp:posOffset>
              </wp:positionV>
              <wp:extent cx="14605" cy="14605"/>
              <wp:effectExtent l="0" t="0" r="0" b="0"/>
              <wp:wrapSquare wrapText="bothSides"/>
              <wp:docPr id="1" name="Врезка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46">
              <wp:simplePos x="0" y="0"/>
              <wp:positionH relativeFrom="margin">
                <wp:align>right</wp:align>
              </wp:positionH>
              <wp:positionV relativeFrom="paragraph">
                <wp:posOffset>635</wp:posOffset>
              </wp:positionV>
              <wp:extent cx="127635" cy="145415"/>
              <wp:effectExtent l="0" t="0" r="0" b="0"/>
              <wp:wrapSquare wrapText="bothSides"/>
              <wp:docPr id="3"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46">
              <wp:simplePos x="0" y="0"/>
              <wp:positionH relativeFrom="margin">
                <wp:align>right</wp:align>
              </wp:positionH>
              <wp:positionV relativeFrom="paragraph">
                <wp:posOffset>635</wp:posOffset>
              </wp:positionV>
              <wp:extent cx="127635" cy="145415"/>
              <wp:effectExtent l="0" t="0" r="0" b="0"/>
              <wp:wrapSquare wrapText="bothSides"/>
              <wp:docPr id="5" name="Врезка2"/>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wps:txbx>
                    <wps:bodyPr lIns="0" rIns="0" tIns="0" bIns="0" anchor="t">
                      <a:spAutoFit/>
                    </wps:bodyPr>
                  </wps:wsp>
                </a:graphicData>
              </a:graphic>
            </wp:anchor>
          </w:drawing>
        </mc:Choice>
        <mc:Fallback>
          <w:pict>
            <v:rect id="shape_0" ID="Врезка2" path="m0,0l-2147483645,0l-2147483645,-2147483646l0,-2147483646xe" stroked="f" o:allowincell="f" style="position:absolute;margin-left:457.55pt;margin-top:0.05pt;width:10pt;height:11.4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18</w:t>
                    </w:r>
                    <w:r>
                      <w:rPr>
                        <w:rStyle w:val="Pagenumber"/>
                        <w:color w:val="000000"/>
                      </w:rPr>
                      <w:fldChar w:fldCharType="end"/>
                    </w:r>
                  </w:p>
                </w:txbxContent>
              </v:textbox>
              <w10:wrap type="square"/>
            </v:rect>
          </w:pict>
        </mc:Fallback>
      </mc:AlternateContent>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hanging="0"/>
      <w:rPr/>
    </w:pPr>
    <w:r>
      <w:rPr/>
      <mc:AlternateContent>
        <mc:Choice Requires="wps">
          <w:drawing>
            <wp:anchor behindDoc="0" distT="0" distB="0" distL="0" distR="0" simplePos="0" locked="0" layoutInCell="0" allowOverlap="1" relativeHeight="2">
              <wp:simplePos x="0" y="0"/>
              <wp:positionH relativeFrom="margin">
                <wp:align>right</wp:align>
              </wp:positionH>
              <wp:positionV relativeFrom="paragraph">
                <wp:posOffset>635</wp:posOffset>
              </wp:positionV>
              <wp:extent cx="14605" cy="14605"/>
              <wp:effectExtent l="0" t="0" r="0" b="0"/>
              <wp:wrapSquare wrapText="bothSides"/>
              <wp:docPr id="7" name="Врезка3"/>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rIns="0" tIns="0" bIns="0" anchor="t">
                      <a:spAutoFit/>
                    </wps:bodyPr>
                  </wps:wsp>
                </a:graphicData>
              </a:graphic>
            </wp:anchor>
          </w:drawing>
        </mc:Choice>
        <mc:Fallback>
          <w:pict>
            <v:rect id="shape_0" ID="Врезка3" path="m0,0l-2147483645,0l-2147483645,-2147483646l0,-2147483646xe" stroked="f" o:allowincell="f" style="position:absolute;margin-left:0pt;margin-top:0.05pt;width:1.1pt;height:1.1pt;mso-wrap-style:square;v-text-anchor:top;mso-position-horizontal:right;mso-position-horizontal-relative:margin">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0" distT="0" distB="0" distL="0" distR="0" simplePos="0" locked="0" layoutInCell="0" allowOverlap="1" relativeHeight="9">
              <wp:simplePos x="0" y="0"/>
              <wp:positionH relativeFrom="page">
                <wp:posOffset>9852025</wp:posOffset>
              </wp:positionH>
              <wp:positionV relativeFrom="paragraph">
                <wp:posOffset>172720</wp:posOffset>
              </wp:positionV>
              <wp:extent cx="127635" cy="145415"/>
              <wp:effectExtent l="0" t="0" r="0" b="0"/>
              <wp:wrapSquare wrapText="bothSides"/>
              <wp:docPr id="9"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v:textbox>
              <w10:wrap type="square"/>
            </v:rect>
          </w:pict>
        </mc:Fallback>
      </mc:AlternateContent>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575" w:hanging="0"/>
      <w:rPr/>
    </w:pPr>
    <w:r>
      <w:rPr/>
      <mc:AlternateContent>
        <mc:Choice Requires="wps">
          <w:drawing>
            <wp:anchor behindDoc="0" distT="0" distB="0" distL="0" distR="0" simplePos="0" locked="0" layoutInCell="0" allowOverlap="1" relativeHeight="9">
              <wp:simplePos x="0" y="0"/>
              <wp:positionH relativeFrom="page">
                <wp:posOffset>9852025</wp:posOffset>
              </wp:positionH>
              <wp:positionV relativeFrom="paragraph">
                <wp:posOffset>172720</wp:posOffset>
              </wp:positionV>
              <wp:extent cx="127635" cy="145415"/>
              <wp:effectExtent l="0" t="0" r="0" b="0"/>
              <wp:wrapSquare wrapText="bothSides"/>
              <wp:docPr id="11" name="Врезка4"/>
              <a:graphic xmlns:a="http://schemas.openxmlformats.org/drawingml/2006/main">
                <a:graphicData uri="http://schemas.microsoft.com/office/word/2010/wordprocessingShape">
                  <wps:wsp>
                    <wps:cNvSpPr/>
                    <wps:spPr>
                      <a:xfrm>
                        <a:off x="0" y="0"/>
                        <a:ext cx="127800" cy="145440"/>
                      </a:xfrm>
                      <a:prstGeom prst="rect">
                        <a:avLst/>
                      </a:prstGeom>
                      <a:noFill/>
                      <a:ln w="0">
                        <a:noFill/>
                      </a:ln>
                    </wps:spPr>
                    <wps:style>
                      <a:lnRef idx="0"/>
                      <a:fillRef idx="0"/>
                      <a:effectRef idx="0"/>
                      <a:fontRef idx="minor"/>
                    </wps:style>
                    <wps:txb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wps:txbx>
                    <wps:bodyPr lIns="0" rIns="0" tIns="0" bIns="0" anchor="t">
                      <a:spAutoFit/>
                    </wps:bodyPr>
                  </wps:wsp>
                </a:graphicData>
              </a:graphic>
            </wp:anchor>
          </w:drawing>
        </mc:Choice>
        <mc:Fallback>
          <w:pict>
            <v:rect id="shape_0" ID="Врезка4" path="m0,0l-2147483645,0l-2147483645,-2147483646l0,-2147483646xe" stroked="f" o:allowincell="f" style="position:absolute;margin-left:775.75pt;margin-top:13.6pt;width:10pt;height:11.4pt;mso-wrap-style:square;v-text-anchor:top;mso-position-horizontal-relative:page">
              <v:fill o:detectmouseclick="t" on="false"/>
              <v:stroke color="#3465a4" joinstyle="round" endcap="flat"/>
              <v:textbox>
                <w:txbxContent>
                  <w:p>
                    <w:pPr>
                      <w:pStyle w:val="Foot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21</w:t>
                    </w:r>
                    <w:r>
                      <w:rPr>
                        <w:rStyle w:val="Pagenumber"/>
                        <w:color w:val="000000"/>
                      </w:rPr>
                      <w:fldChar w:fldCharType="end"/>
                    </w:r>
                  </w:p>
                </w:txbxContent>
              </v:textbox>
              <w10:wrap type="square"/>
            </v:rect>
          </w:pict>
        </mc:Fallback>
      </mc:AlternateContent>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Style9"/>
        </w:rPr>
        <w:footnoteRef/>
      </w:r>
      <w:r>
        <w:rPr/>
        <w:t xml:space="preserve"> </w:t>
      </w:r>
      <w:r>
        <w:rPr/>
        <w:t>НДС не облагается (уведомление о возможности применения упрощенной системы налогообложения №___________от___________) – в случае если контрагент применяет УСНО (форма ФНС № 26.2-2)</w:t>
      </w:r>
    </w:p>
  </w:footnote>
  <w:footnote w:id="3">
    <w:p>
      <w:pPr>
        <w:pStyle w:val="FootnoteText"/>
        <w:rPr/>
      </w:pPr>
      <w:r>
        <w:rPr>
          <w:rStyle w:val="Style9"/>
        </w:rPr>
        <w:footnoteRef/>
      </w:r>
      <w:r>
        <w:rPr/>
        <w:t xml:space="preserve"> </w:t>
      </w:r>
      <w:r>
        <w:rPr/>
        <w:t>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2"/>
      <w:numFmt w:val="decimal"/>
      <w:lvlText w:val="%1"/>
      <w:lvlJc w:val="left"/>
      <w:pPr>
        <w:tabs>
          <w:tab w:val="num" w:pos="360"/>
        </w:tabs>
        <w:ind w:left="360" w:hanging="360"/>
      </w:pPr>
      <w:rPr/>
    </w:lvl>
    <w:lvl w:ilvl="1">
      <w:start w:val="2"/>
      <w:numFmt w:val="decimal"/>
      <w:lvlText w:val="%1.%2"/>
      <w:lvlJc w:val="left"/>
      <w:pPr>
        <w:tabs>
          <w:tab w:val="num" w:pos="360"/>
        </w:tabs>
        <w:ind w:left="360" w:hanging="360"/>
      </w:pPr>
      <w:rPr/>
    </w:lvl>
    <w:lvl w:ilvl="2">
      <w:start w:val="1"/>
      <w:numFmt w:val="decimal"/>
      <w:lvlText w:val="%1.%2.%3"/>
      <w:lvlJc w:val="left"/>
      <w:pPr>
        <w:tabs>
          <w:tab w:val="num" w:pos="720"/>
        </w:tabs>
        <w:ind w:left="720" w:hanging="720"/>
      </w:pPr>
      <w:rPr/>
    </w:lvl>
    <w:lvl w:ilvl="3">
      <w:start w:val="1"/>
      <w:numFmt w:val="decimal"/>
      <w:lvlText w:val="%1.%2.%3.%4"/>
      <w:lvlJc w:val="left"/>
      <w:pPr>
        <w:tabs>
          <w:tab w:val="num" w:pos="720"/>
        </w:tabs>
        <w:ind w:left="720" w:hanging="720"/>
      </w:pPr>
      <w:rPr/>
    </w:lvl>
    <w:lvl w:ilvl="4">
      <w:start w:val="1"/>
      <w:numFmt w:val="decimal"/>
      <w:lvlText w:val="%1.%2.%3.%4.%5"/>
      <w:lvlJc w:val="left"/>
      <w:pPr>
        <w:tabs>
          <w:tab w:val="num" w:pos="720"/>
        </w:tabs>
        <w:ind w:left="720" w:hanging="72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2"/>
      <w:numFmt w:val="decimal"/>
      <w:lvlText w:val="%1"/>
      <w:lvlJc w:val="left"/>
      <w:pPr>
        <w:tabs>
          <w:tab w:val="num" w:pos="720"/>
        </w:tabs>
        <w:ind w:left="284" w:firstLine="76"/>
      </w:pPr>
      <w:rPr/>
    </w:lvl>
    <w:lvl w:ilvl="1">
      <w:start w:val="1"/>
      <w:numFmt w:val="decimal"/>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3">
    <w:lvl w:ilvl="0">
      <w:start w:val="1"/>
      <w:numFmt w:val="bullet"/>
      <w:lvlText w:val=""/>
      <w:lvlJc w:val="left"/>
      <w:pPr>
        <w:tabs>
          <w:tab w:val="num" w:pos="1287"/>
        </w:tabs>
        <w:ind w:left="1287" w:hanging="360"/>
      </w:pPr>
      <w:rPr>
        <w:rFonts w:ascii="Symbol" w:hAnsi="Symbol" w:cs="Symbol" w:hint="default"/>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cs="Wingdings" w:hint="default"/>
      </w:rPr>
    </w:lvl>
    <w:lvl w:ilvl="3">
      <w:start w:val="1"/>
      <w:numFmt w:val="bullet"/>
      <w:lvlText w:val=""/>
      <w:lvlJc w:val="left"/>
      <w:pPr>
        <w:tabs>
          <w:tab w:val="num" w:pos="3447"/>
        </w:tabs>
        <w:ind w:left="3447" w:hanging="360"/>
      </w:pPr>
      <w:rPr>
        <w:rFonts w:ascii="Symbol" w:hAnsi="Symbol" w:cs="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cs="Wingdings" w:hint="default"/>
      </w:rPr>
    </w:lvl>
    <w:lvl w:ilvl="6">
      <w:start w:val="1"/>
      <w:numFmt w:val="bullet"/>
      <w:lvlText w:val=""/>
      <w:lvlJc w:val="left"/>
      <w:pPr>
        <w:tabs>
          <w:tab w:val="num" w:pos="5607"/>
        </w:tabs>
        <w:ind w:left="5607" w:hanging="360"/>
      </w:pPr>
      <w:rPr>
        <w:rFonts w:ascii="Symbol" w:hAnsi="Symbol" w:cs="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cs="Wingdings" w:hint="default"/>
      </w:rPr>
    </w:lvl>
  </w:abstractNum>
  <w:abstractNum w:abstractNumId="4">
    <w:lvl w:ilvl="0">
      <w:start w:val="3"/>
      <w:numFmt w:val="decimal"/>
      <w:lvlText w:val="%1."/>
      <w:lvlJc w:val="left"/>
      <w:pPr>
        <w:tabs>
          <w:tab w:val="num" w:pos="360"/>
        </w:tabs>
        <w:ind w:left="360" w:hanging="360"/>
      </w:pPr>
      <w:rPr/>
    </w:lvl>
    <w:lvl w:ilvl="1">
      <w:start w:val="1"/>
      <w:numFmt w:val="decimal"/>
      <w:lvlText w:val="%1.%2."/>
      <w:lvlJc w:val="left"/>
      <w:pPr>
        <w:tabs>
          <w:tab w:val="num" w:pos="1636"/>
        </w:tabs>
        <w:ind w:left="1636" w:hanging="360"/>
      </w:pPr>
      <w:rPr/>
    </w:lvl>
    <w:lvl w:ilvl="2">
      <w:start w:val="1"/>
      <w:numFmt w:val="decimal"/>
      <w:lvlText w:val="%1.%2.%3."/>
      <w:lvlJc w:val="left"/>
      <w:pPr>
        <w:tabs>
          <w:tab w:val="num" w:pos="2160"/>
        </w:tabs>
        <w:ind w:left="2160" w:hanging="720"/>
      </w:pPr>
      <w:rPr/>
    </w:lvl>
    <w:lvl w:ilvl="3">
      <w:start w:val="1"/>
      <w:numFmt w:val="decimal"/>
      <w:lvlText w:val="%1.%2.%3.%4."/>
      <w:lvlJc w:val="left"/>
      <w:pPr>
        <w:tabs>
          <w:tab w:val="num" w:pos="2880"/>
        </w:tabs>
        <w:ind w:left="2880" w:hanging="720"/>
      </w:pPr>
      <w:rPr/>
    </w:lvl>
    <w:lvl w:ilvl="4">
      <w:start w:val="1"/>
      <w:numFmt w:val="decimal"/>
      <w:lvlText w:val="%1.%2.%3.%4.%5."/>
      <w:lvlJc w:val="left"/>
      <w:pPr>
        <w:tabs>
          <w:tab w:val="num" w:pos="3960"/>
        </w:tabs>
        <w:ind w:left="3960" w:hanging="1080"/>
      </w:pPr>
      <w:rPr/>
    </w:lvl>
    <w:lvl w:ilvl="5">
      <w:start w:val="1"/>
      <w:numFmt w:val="decimal"/>
      <w:lvlText w:val="%1.%2.%3.%4.%5.%6."/>
      <w:lvlJc w:val="left"/>
      <w:pPr>
        <w:tabs>
          <w:tab w:val="num" w:pos="4680"/>
        </w:tabs>
        <w:ind w:left="4680" w:hanging="1080"/>
      </w:pPr>
      <w:rPr/>
    </w:lvl>
    <w:lvl w:ilvl="6">
      <w:start w:val="1"/>
      <w:numFmt w:val="decimal"/>
      <w:lvlText w:val="%1.%2.%3.%4.%5.%6.%7."/>
      <w:lvlJc w:val="left"/>
      <w:pPr>
        <w:tabs>
          <w:tab w:val="num" w:pos="5760"/>
        </w:tabs>
        <w:ind w:left="5760" w:hanging="1440"/>
      </w:pPr>
      <w:rPr/>
    </w:lvl>
    <w:lvl w:ilvl="7">
      <w:start w:val="1"/>
      <w:numFmt w:val="decimal"/>
      <w:lvlText w:val="%1.%2.%3.%4.%5.%6.%7.%8."/>
      <w:lvlJc w:val="left"/>
      <w:pPr>
        <w:tabs>
          <w:tab w:val="num" w:pos="6480"/>
        </w:tabs>
        <w:ind w:left="6480" w:hanging="1440"/>
      </w:pPr>
      <w:rPr/>
    </w:lvl>
    <w:lvl w:ilvl="8">
      <w:start w:val="1"/>
      <w:numFmt w:val="decimal"/>
      <w:lvlText w:val="%1.%2.%3.%4.%5.%6.%7.%8.%9."/>
      <w:lvlJc w:val="left"/>
      <w:pPr>
        <w:tabs>
          <w:tab w:val="num" w:pos="7560"/>
        </w:tabs>
        <w:ind w:left="7560" w:hanging="1800"/>
      </w:pPr>
      <w:rPr/>
    </w:lvl>
  </w:abstractNum>
  <w:abstractNum w:abstractNumId="5">
    <w:lvl w:ilvl="0">
      <w:start w:val="1"/>
      <w:numFmt w:val="bullet"/>
      <w:lvlText w:val=""/>
      <w:lvlJc w:val="left"/>
      <w:pPr>
        <w:tabs>
          <w:tab w:val="num" w:pos="927"/>
        </w:tabs>
        <w:ind w:left="927" w:hanging="360"/>
      </w:pPr>
      <w:rPr>
        <w:rFonts w:ascii="Symbol" w:hAnsi="Symbol" w:cs="Symbol" w:hint="default"/>
      </w:rPr>
    </w:lvl>
    <w:lvl w:ilvl="1">
      <w:start w:val="1"/>
      <w:numFmt w:val="bullet"/>
      <w:lvlText w:val="o"/>
      <w:lvlJc w:val="left"/>
      <w:pPr>
        <w:tabs>
          <w:tab w:val="num" w:pos="1014"/>
        </w:tabs>
        <w:ind w:left="1014" w:hanging="360"/>
      </w:pPr>
      <w:rPr>
        <w:rFonts w:ascii="Courier New" w:hAnsi="Courier New" w:cs="Courier New" w:hint="default"/>
      </w:rPr>
    </w:lvl>
    <w:lvl w:ilvl="2">
      <w:start w:val="1"/>
      <w:numFmt w:val="bullet"/>
      <w:lvlText w:val=""/>
      <w:lvlJc w:val="left"/>
      <w:pPr>
        <w:tabs>
          <w:tab w:val="num" w:pos="1734"/>
        </w:tabs>
        <w:ind w:left="1734" w:hanging="360"/>
      </w:pPr>
      <w:rPr>
        <w:rFonts w:ascii="Wingdings" w:hAnsi="Wingdings" w:cs="Wingdings" w:hint="default"/>
      </w:rPr>
    </w:lvl>
    <w:lvl w:ilvl="3">
      <w:start w:val="1"/>
      <w:numFmt w:val="bullet"/>
      <w:lvlText w:val=""/>
      <w:lvlJc w:val="left"/>
      <w:pPr>
        <w:tabs>
          <w:tab w:val="num" w:pos="2454"/>
        </w:tabs>
        <w:ind w:left="2454" w:hanging="360"/>
      </w:pPr>
      <w:rPr>
        <w:rFonts w:ascii="Symbol" w:hAnsi="Symbol" w:cs="Symbol" w:hint="default"/>
      </w:rPr>
    </w:lvl>
    <w:lvl w:ilvl="4">
      <w:start w:val="1"/>
      <w:numFmt w:val="bullet"/>
      <w:lvlText w:val="o"/>
      <w:lvlJc w:val="left"/>
      <w:pPr>
        <w:tabs>
          <w:tab w:val="num" w:pos="3174"/>
        </w:tabs>
        <w:ind w:left="3174" w:hanging="360"/>
      </w:pPr>
      <w:rPr>
        <w:rFonts w:ascii="Courier New" w:hAnsi="Courier New" w:cs="Courier New" w:hint="default"/>
      </w:rPr>
    </w:lvl>
    <w:lvl w:ilvl="5">
      <w:start w:val="1"/>
      <w:numFmt w:val="bullet"/>
      <w:lvlText w:val=""/>
      <w:lvlJc w:val="left"/>
      <w:pPr>
        <w:tabs>
          <w:tab w:val="num" w:pos="3894"/>
        </w:tabs>
        <w:ind w:left="3894" w:hanging="360"/>
      </w:pPr>
      <w:rPr>
        <w:rFonts w:ascii="Wingdings" w:hAnsi="Wingdings" w:cs="Wingdings" w:hint="default"/>
      </w:rPr>
    </w:lvl>
    <w:lvl w:ilvl="6">
      <w:start w:val="1"/>
      <w:numFmt w:val="bullet"/>
      <w:lvlText w:val=""/>
      <w:lvlJc w:val="left"/>
      <w:pPr>
        <w:tabs>
          <w:tab w:val="num" w:pos="4614"/>
        </w:tabs>
        <w:ind w:left="4614" w:hanging="360"/>
      </w:pPr>
      <w:rPr>
        <w:rFonts w:ascii="Symbol" w:hAnsi="Symbol" w:cs="Symbol" w:hint="default"/>
      </w:rPr>
    </w:lvl>
    <w:lvl w:ilvl="7">
      <w:start w:val="1"/>
      <w:numFmt w:val="bullet"/>
      <w:lvlText w:val="o"/>
      <w:lvlJc w:val="left"/>
      <w:pPr>
        <w:tabs>
          <w:tab w:val="num" w:pos="5334"/>
        </w:tabs>
        <w:ind w:left="5334" w:hanging="360"/>
      </w:pPr>
      <w:rPr>
        <w:rFonts w:ascii="Courier New" w:hAnsi="Courier New" w:cs="Courier New" w:hint="default"/>
      </w:rPr>
    </w:lvl>
    <w:lvl w:ilvl="8">
      <w:start w:val="1"/>
      <w:numFmt w:val="bullet"/>
      <w:lvlText w:val=""/>
      <w:lvlJc w:val="left"/>
      <w:pPr>
        <w:tabs>
          <w:tab w:val="num" w:pos="6054"/>
        </w:tabs>
        <w:ind w:left="6054" w:hanging="360"/>
      </w:pPr>
      <w:rPr>
        <w:rFonts w:ascii="Wingdings" w:hAnsi="Wingdings" w:cs="Wingdings" w:hint="default"/>
      </w:rPr>
    </w:lvl>
  </w:abstractNum>
  <w:abstractNum w:abstractNumId="6">
    <w:lvl w:ilvl="0">
      <w:start w:val="1"/>
      <w:numFmt w:val="decimal"/>
      <w:lvlText w:val="%1."/>
      <w:lvlJc w:val="left"/>
      <w:pPr>
        <w:tabs>
          <w:tab w:val="num" w:pos="5321"/>
        </w:tabs>
        <w:ind w:left="5321" w:hanging="360"/>
      </w:pPr>
      <w:rPr/>
    </w:lvl>
    <w:lvl w:ilvl="1">
      <w:start w:val="1"/>
      <w:numFmt w:val="decimal"/>
      <w:lvlText w:val="%1.%2."/>
      <w:lvlJc w:val="left"/>
      <w:pPr>
        <w:tabs>
          <w:tab w:val="num" w:pos="432"/>
        </w:tabs>
        <w:ind w:left="432" w:hanging="432"/>
      </w:pPr>
      <w:rPr>
        <w:sz w:val="24"/>
        <w:szCs w:val="24"/>
      </w:rPr>
    </w:lvl>
    <w:lvl w:ilvl="2">
      <w:start w:val="1"/>
      <w:numFmt w:val="decimal"/>
      <w:lvlText w:val="%1.%2.%3."/>
      <w:lvlJc w:val="left"/>
      <w:pPr>
        <w:tabs>
          <w:tab w:val="num" w:pos="1440"/>
        </w:tabs>
        <w:ind w:left="1224" w:hanging="504"/>
      </w:pPr>
      <w:rPr/>
    </w:lvl>
    <w:lvl w:ilvl="3">
      <w:start w:val="1"/>
      <w:numFmt w:val="decimal"/>
      <w:lvlText w:val="%1.%2.%3.%4."/>
      <w:lvlJc w:val="left"/>
      <w:pPr>
        <w:tabs>
          <w:tab w:val="num" w:pos="2160"/>
        </w:tabs>
        <w:ind w:left="1728" w:hanging="648"/>
      </w:pPr>
      <w:rPr/>
    </w:lvl>
    <w:lvl w:ilvl="4">
      <w:start w:val="1"/>
      <w:numFmt w:val="decimal"/>
      <w:lvlText w:val="%1.%2.%3.%4.%5."/>
      <w:lvlJc w:val="left"/>
      <w:pPr>
        <w:tabs>
          <w:tab w:val="num" w:pos="2520"/>
        </w:tabs>
        <w:ind w:left="2232" w:hanging="792"/>
      </w:pPr>
      <w:rPr/>
    </w:lvl>
    <w:lvl w:ilvl="5">
      <w:start w:val="1"/>
      <w:numFmt w:val="decimal"/>
      <w:lvlText w:val="%1.%2.%3.%4.%5.%6."/>
      <w:lvlJc w:val="left"/>
      <w:pPr>
        <w:tabs>
          <w:tab w:val="num" w:pos="3240"/>
        </w:tabs>
        <w:ind w:left="2736" w:hanging="936"/>
      </w:pPr>
      <w:rPr/>
    </w:lvl>
    <w:lvl w:ilvl="6">
      <w:start w:val="1"/>
      <w:numFmt w:val="decimal"/>
      <w:lvlText w:val="%1.%2.%3.%4.%5.%6.%7."/>
      <w:lvlJc w:val="left"/>
      <w:pPr>
        <w:tabs>
          <w:tab w:val="num" w:pos="3960"/>
        </w:tabs>
        <w:ind w:left="3240" w:hanging="1080"/>
      </w:pPr>
      <w:rPr/>
    </w:lvl>
    <w:lvl w:ilvl="7">
      <w:start w:val="1"/>
      <w:numFmt w:val="decimal"/>
      <w:lvlText w:val="%1.%2.%3.%4.%5.%6.%7.%8."/>
      <w:lvlJc w:val="left"/>
      <w:pPr>
        <w:tabs>
          <w:tab w:val="num" w:pos="4320"/>
        </w:tabs>
        <w:ind w:left="3744" w:hanging="1224"/>
      </w:pPr>
      <w:rPr/>
    </w:lvl>
    <w:lvl w:ilvl="8">
      <w:start w:val="1"/>
      <w:numFmt w:val="decimal"/>
      <w:lvlText w:val="%1.%2.%3.%4.%5.%6.%7.%8.%9."/>
      <w:lvlJc w:val="left"/>
      <w:pPr>
        <w:tabs>
          <w:tab w:val="num" w:pos="5040"/>
        </w:tabs>
        <w:ind w:left="4320" w:hanging="1440"/>
      </w:pPr>
      <w:rPr/>
    </w:lvl>
  </w:abstractNum>
  <w:abstractNum w:abstractNumId="7">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
    <w:lvl w:ilvl="0">
      <w:start w:val="1"/>
      <w:numFmt w:val="bullet"/>
      <w:lvlText w:val="-"/>
      <w:lvlJc w:val="left"/>
      <w:pPr>
        <w:tabs>
          <w:tab w:val="num" w:pos="0"/>
        </w:tabs>
        <w:ind w:left="1069" w:hanging="360"/>
      </w:pPr>
      <w:rPr>
        <w:rFonts w:ascii="Tahoma" w:hAnsi="Tahoma" w:cs="Tahoma"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9">
    <w:lvl w:ilvl="0">
      <w:start w:val="1"/>
      <w:numFmt w:val="decimal"/>
      <w:lvlText w:val="Статья %1."/>
      <w:lvlJc w:val="left"/>
      <w:pPr>
        <w:tabs>
          <w:tab w:val="num" w:pos="720"/>
        </w:tabs>
        <w:ind w:left="720" w:hanging="360"/>
      </w:pPr>
      <w:rPr/>
    </w:lvl>
    <w:lvl w:ilvl="1">
      <w:start w:val="1"/>
      <w:numFmt w:val="decimal"/>
      <w:lvlText w:val="%1.%2."/>
      <w:lvlJc w:val="left"/>
      <w:pPr>
        <w:tabs>
          <w:tab w:val="num" w:pos="1725"/>
        </w:tabs>
        <w:ind w:left="1725" w:hanging="1185"/>
      </w:pPr>
      <w:rPr>
        <w:sz w:val="24"/>
        <w:b w:val="false"/>
        <w:szCs w:val="24"/>
      </w:rPr>
    </w:lvl>
    <w:lvl w:ilvl="2">
      <w:start w:val="1"/>
      <w:numFmt w:val="decimal"/>
      <w:lvlText w:val="%1.%2.%3."/>
      <w:lvlJc w:val="left"/>
      <w:pPr>
        <w:tabs>
          <w:tab w:val="num" w:pos="2085"/>
        </w:tabs>
        <w:ind w:left="2085" w:hanging="1185"/>
      </w:pPr>
      <w:rPr>
        <w:sz w:val="24"/>
        <w:b w:val="false"/>
        <w:szCs w:val="24"/>
      </w:rPr>
    </w:lvl>
    <w:lvl w:ilvl="3">
      <w:start w:val="1"/>
      <w:numFmt w:val="decimal"/>
      <w:lvlText w:val="%1.%2.%3.%4."/>
      <w:lvlJc w:val="left"/>
      <w:pPr>
        <w:tabs>
          <w:tab w:val="num" w:pos="2625"/>
        </w:tabs>
        <w:ind w:left="2625" w:hanging="1185"/>
      </w:pPr>
      <w:rPr/>
    </w:lvl>
    <w:lvl w:ilvl="4">
      <w:start w:val="1"/>
      <w:numFmt w:val="decimal"/>
      <w:lvlText w:val="%1.%2.%3.%4.%5."/>
      <w:lvlJc w:val="left"/>
      <w:pPr>
        <w:tabs>
          <w:tab w:val="num" w:pos="2985"/>
        </w:tabs>
        <w:ind w:left="2985" w:hanging="1185"/>
      </w:pPr>
      <w:rPr/>
    </w:lvl>
    <w:lvl w:ilvl="5">
      <w:start w:val="1"/>
      <w:numFmt w:val="decimal"/>
      <w:lvlText w:val="%1.%2.%3.%4.%5.%6."/>
      <w:lvlJc w:val="left"/>
      <w:pPr>
        <w:tabs>
          <w:tab w:val="num" w:pos="3345"/>
        </w:tabs>
        <w:ind w:left="3345" w:hanging="1185"/>
      </w:pPr>
      <w:rPr/>
    </w:lvl>
    <w:lvl w:ilvl="6">
      <w:start w:val="1"/>
      <w:numFmt w:val="decimal"/>
      <w:lvlText w:val="%1.%2.%3.%4.%5.%6.%7."/>
      <w:lvlJc w:val="left"/>
      <w:pPr>
        <w:tabs>
          <w:tab w:val="num" w:pos="3960"/>
        </w:tabs>
        <w:ind w:left="3960" w:hanging="1440"/>
      </w:pPr>
      <w:rPr/>
    </w:lvl>
    <w:lvl w:ilvl="7">
      <w:start w:val="1"/>
      <w:numFmt w:val="decimal"/>
      <w:lvlText w:val="%1.%2.%3.%4.%5.%6.%7.%8."/>
      <w:lvlJc w:val="left"/>
      <w:pPr>
        <w:tabs>
          <w:tab w:val="num" w:pos="4320"/>
        </w:tabs>
        <w:ind w:left="4320" w:hanging="1440"/>
      </w:pPr>
      <w:rPr/>
    </w:lvl>
    <w:lvl w:ilvl="8">
      <w:start w:val="1"/>
      <w:numFmt w:val="decimal"/>
      <w:lvlText w:val="%1.%2.%3.%4.%5.%6.%7.%8.%9."/>
      <w:lvlJc w:val="left"/>
      <w:pPr>
        <w:tabs>
          <w:tab w:val="num" w:pos="5040"/>
        </w:tabs>
        <w:ind w:left="5040" w:hanging="1800"/>
      </w:pPr>
      <w:rPr/>
    </w:lvl>
  </w:abstractNum>
  <w:abstractNum w:abstractNumId="1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3">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4">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5">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6">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7">
    <w:lvl w:ilvl="0">
      <w:start w:val="1"/>
      <w:numFmt w:val="decimal"/>
      <w:lvlText w:val="%1."/>
      <w:lvlJc w:val="left"/>
      <w:pPr>
        <w:tabs>
          <w:tab w:val="num" w:pos="1440"/>
        </w:tabs>
        <w:ind w:left="1440" w:hanging="360"/>
      </w:pPr>
      <w:rPr/>
    </w:lvl>
    <w:lvl w:ilvl="1">
      <w:start w:val="1"/>
      <w:numFmt w:val="lowerLetter"/>
      <w:lvlText w:val="%2."/>
      <w:lvlJc w:val="left"/>
      <w:pPr>
        <w:tabs>
          <w:tab w:val="num" w:pos="2160"/>
        </w:tabs>
        <w:ind w:left="2160" w:hanging="360"/>
      </w:pPr>
      <w:rPr/>
    </w:lvl>
    <w:lvl w:ilvl="2">
      <w:start w:val="1"/>
      <w:numFmt w:val="lowerRoman"/>
      <w:lvlText w:val="%3."/>
      <w:lvlJc w:val="right"/>
      <w:pPr>
        <w:tabs>
          <w:tab w:val="num" w:pos="2880"/>
        </w:tabs>
        <w:ind w:left="2880" w:hanging="180"/>
      </w:pPr>
      <w:rPr/>
    </w:lvl>
    <w:lvl w:ilvl="3">
      <w:start w:val="1"/>
      <w:numFmt w:val="decimal"/>
      <w:lvlText w:val="%4."/>
      <w:lvlJc w:val="left"/>
      <w:pPr>
        <w:tabs>
          <w:tab w:val="num" w:pos="3600"/>
        </w:tabs>
        <w:ind w:left="3600" w:hanging="360"/>
      </w:pPr>
      <w:rPr/>
    </w:lvl>
    <w:lvl w:ilvl="4">
      <w:start w:val="1"/>
      <w:numFmt w:val="lowerLetter"/>
      <w:lvlText w:val="%5."/>
      <w:lvlJc w:val="left"/>
      <w:pPr>
        <w:tabs>
          <w:tab w:val="num" w:pos="4320"/>
        </w:tabs>
        <w:ind w:left="4320" w:hanging="360"/>
      </w:pPr>
      <w:rPr/>
    </w:lvl>
    <w:lvl w:ilvl="5">
      <w:start w:val="1"/>
      <w:numFmt w:val="lowerRoman"/>
      <w:lvlText w:val="%6."/>
      <w:lvlJc w:val="right"/>
      <w:pPr>
        <w:tabs>
          <w:tab w:val="num" w:pos="5040"/>
        </w:tabs>
        <w:ind w:left="5040" w:hanging="180"/>
      </w:pPr>
      <w:rPr/>
    </w:lvl>
    <w:lvl w:ilvl="6">
      <w:start w:val="1"/>
      <w:numFmt w:val="decimal"/>
      <w:lvlText w:val="%7."/>
      <w:lvlJc w:val="left"/>
      <w:pPr>
        <w:tabs>
          <w:tab w:val="num" w:pos="5760"/>
        </w:tabs>
        <w:ind w:left="5760" w:hanging="360"/>
      </w:pPr>
      <w:rPr/>
    </w:lvl>
    <w:lvl w:ilvl="7">
      <w:start w:val="1"/>
      <w:numFmt w:val="lowerLetter"/>
      <w:lvlText w:val="%8."/>
      <w:lvlJc w:val="left"/>
      <w:pPr>
        <w:tabs>
          <w:tab w:val="num" w:pos="6480"/>
        </w:tabs>
        <w:ind w:left="6480" w:hanging="360"/>
      </w:pPr>
      <w:rPr/>
    </w:lvl>
    <w:lvl w:ilvl="8">
      <w:start w:val="1"/>
      <w:numFmt w:val="lowerRoman"/>
      <w:lvlText w:val="%9."/>
      <w:lvlJc w:val="right"/>
      <w:pPr>
        <w:tabs>
          <w:tab w:val="num" w:pos="7200"/>
        </w:tabs>
        <w:ind w:left="7200" w:hanging="180"/>
      </w:pPr>
      <w:rPr/>
    </w:lvl>
  </w:abstractNum>
  <w:abstractNum w:abstractNumId="1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3"/>
    <w:lvlOverride w:ilvl="0">
      <w:startOverride w:val="1"/>
    </w:lvlOverride>
  </w:num>
  <w:num w:numId="20">
    <w:abstractNumId w:val="13"/>
  </w:num>
  <w:num w:numId="21">
    <w:abstractNumId w:val="13"/>
  </w:num>
  <w:num w:numId="22">
    <w:abstractNumId w:val="13"/>
  </w:num>
  <w:num w:numId="23">
    <w:abstractNumId w:val="13"/>
  </w:num>
</w:numbering>
</file>

<file path=word/settings.xml><?xml version="1.0" encoding="utf-8"?>
<w:settings xmlns:w="http://schemas.openxmlformats.org/wordprocessingml/2006/main">
  <w:zoom w:percent="120"/>
  <w:embedSystemFonts/>
  <w:defaultTabStop w:val="720"/>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24ede"/>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e42745"/>
    <w:pPr>
      <w:keepNext w:val="true"/>
      <w:outlineLvl w:val="0"/>
    </w:pPr>
    <w:rPr>
      <w:b/>
    </w:rPr>
  </w:style>
  <w:style w:type="paragraph" w:styleId="Heading2">
    <w:name w:val="Heading 2"/>
    <w:basedOn w:val="Normal"/>
    <w:next w:val="Normal"/>
    <w:qFormat/>
    <w:rsid w:val="00e42745"/>
    <w:pPr>
      <w:keepNext w:val="true"/>
      <w:jc w:val="both"/>
      <w:outlineLvl w:val="1"/>
    </w:pPr>
    <w:rPr>
      <w:b/>
    </w:rPr>
  </w:style>
  <w:style w:type="paragraph" w:styleId="Heading3">
    <w:name w:val="Heading 3"/>
    <w:basedOn w:val="Normal"/>
    <w:next w:val="Normal"/>
    <w:link w:val="31"/>
    <w:qFormat/>
    <w:rsid w:val="00e42745"/>
    <w:pPr>
      <w:keepNext w:val="true"/>
      <w:tabs>
        <w:tab w:val="clear" w:pos="720"/>
        <w:tab w:val="left" w:pos="0" w:leader="none"/>
      </w:tabs>
      <w:jc w:val="center"/>
      <w:outlineLvl w:val="2"/>
    </w:pPr>
    <w:rPr>
      <w:b/>
    </w:rPr>
  </w:style>
  <w:style w:type="paragraph" w:styleId="Heading4">
    <w:name w:val="Heading 4"/>
    <w:basedOn w:val="Normal"/>
    <w:next w:val="Normal"/>
    <w:qFormat/>
    <w:rsid w:val="00e42745"/>
    <w:pPr>
      <w:keepNext w:val="true"/>
      <w:numPr>
        <w:ilvl w:val="0"/>
        <w:numId w:val="1"/>
      </w:numPr>
      <w:ind w:left="3119" w:hanging="0"/>
      <w:outlineLvl w:val="3"/>
    </w:pPr>
    <w:rPr>
      <w:b/>
    </w:rPr>
  </w:style>
  <w:style w:type="paragraph" w:styleId="Heading5">
    <w:name w:val="Heading 5"/>
    <w:basedOn w:val="Normal"/>
    <w:next w:val="Normal"/>
    <w:qFormat/>
    <w:rsid w:val="00e42745"/>
    <w:pPr>
      <w:keepNext w:val="true"/>
      <w:numPr>
        <w:ilvl w:val="0"/>
        <w:numId w:val="2"/>
      </w:numPr>
      <w:jc w:val="center"/>
      <w:outlineLvl w:val="4"/>
    </w:pPr>
    <w:rPr>
      <w:b/>
    </w:rPr>
  </w:style>
  <w:style w:type="paragraph" w:styleId="Heading6">
    <w:name w:val="Heading 6"/>
    <w:basedOn w:val="Normal"/>
    <w:next w:val="Normal"/>
    <w:qFormat/>
    <w:rsid w:val="00e42745"/>
    <w:pPr>
      <w:keepNext w:val="true"/>
      <w:jc w:val="center"/>
      <w:outlineLvl w:val="5"/>
    </w:pPr>
    <w:rPr>
      <w:sz w:val="28"/>
    </w:rPr>
  </w:style>
  <w:style w:type="paragraph" w:styleId="Heading7">
    <w:name w:val="Heading 7"/>
    <w:basedOn w:val="Normal"/>
    <w:next w:val="Normal"/>
    <w:qFormat/>
    <w:rsid w:val="00e42745"/>
    <w:pPr>
      <w:keepNext w:val="true"/>
      <w:jc w:val="center"/>
      <w:outlineLvl w:val="6"/>
    </w:pPr>
    <w:rPr>
      <w:bCs/>
      <w:sz w:val="24"/>
    </w:rPr>
  </w:style>
  <w:style w:type="paragraph" w:styleId="Heading8">
    <w:name w:val="Heading 8"/>
    <w:basedOn w:val="Normal"/>
    <w:next w:val="Normal"/>
    <w:qFormat/>
    <w:rsid w:val="00e42745"/>
    <w:pPr>
      <w:keepNext w:val="true"/>
      <w:jc w:val="center"/>
      <w:outlineLvl w:val="7"/>
    </w:pPr>
    <w:rPr>
      <w:b/>
      <w:bCs/>
      <w:sz w:val="24"/>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sid w:val="00e42745"/>
    <w:rPr/>
  </w:style>
  <w:style w:type="character" w:styleId="Style1" w:customStyle="1">
    <w:name w:val="Заголовок Знак"/>
    <w:qFormat/>
    <w:rsid w:val="00ba4a00"/>
    <w:rPr>
      <w:b/>
      <w:bCs/>
      <w:sz w:val="28"/>
      <w:szCs w:val="24"/>
    </w:rPr>
  </w:style>
  <w:style w:type="character" w:styleId="2" w:customStyle="1">
    <w:name w:val="Основной текст с отступом 2 Знак"/>
    <w:link w:val="BodyTextIndent2"/>
    <w:qFormat/>
    <w:rsid w:val="0066561f"/>
    <w:rPr>
      <w:sz w:val="24"/>
    </w:rPr>
  </w:style>
  <w:style w:type="character" w:styleId="Style2" w:customStyle="1">
    <w:name w:val="Текст выноски Знак"/>
    <w:link w:val="BalloonText"/>
    <w:qFormat/>
    <w:rsid w:val="0066561f"/>
    <w:rPr>
      <w:rFonts w:ascii="Tahoma" w:hAnsi="Tahoma" w:cs="Tahoma"/>
      <w:sz w:val="16"/>
      <w:szCs w:val="16"/>
    </w:rPr>
  </w:style>
  <w:style w:type="character" w:styleId="Style3" w:customStyle="1">
    <w:name w:val="Основной текст Знак"/>
    <w:qFormat/>
    <w:rsid w:val="0066561f"/>
    <w:rPr>
      <w:sz w:val="22"/>
    </w:rPr>
  </w:style>
  <w:style w:type="character" w:styleId="3" w:customStyle="1">
    <w:name w:val="Основной текст 3 Знак"/>
    <w:link w:val="BodyText3"/>
    <w:qFormat/>
    <w:rsid w:val="0066561f"/>
    <w:rPr>
      <w:sz w:val="28"/>
    </w:rPr>
  </w:style>
  <w:style w:type="character" w:styleId="Annotationreference">
    <w:name w:val="annotation reference"/>
    <w:qFormat/>
    <w:rsid w:val="0066561f"/>
    <w:rPr>
      <w:sz w:val="16"/>
      <w:szCs w:val="16"/>
    </w:rPr>
  </w:style>
  <w:style w:type="character" w:styleId="Style4" w:customStyle="1">
    <w:name w:val="Текст примечания Знак"/>
    <w:basedOn w:val="DefaultParagraphFont"/>
    <w:link w:val="Annotationtext"/>
    <w:qFormat/>
    <w:rsid w:val="0066561f"/>
    <w:rPr/>
  </w:style>
  <w:style w:type="character" w:styleId="Style5" w:customStyle="1">
    <w:name w:val="Тема примечания Знак"/>
    <w:link w:val="Annotationsubject"/>
    <w:qFormat/>
    <w:rsid w:val="0066561f"/>
    <w:rPr>
      <w:b/>
      <w:bCs/>
    </w:rPr>
  </w:style>
  <w:style w:type="character" w:styleId="31" w:customStyle="1">
    <w:name w:val="Заголовок 3 Знак"/>
    <w:qFormat/>
    <w:rsid w:val="0066561f"/>
    <w:rPr>
      <w:b/>
    </w:rPr>
  </w:style>
  <w:style w:type="character" w:styleId="Style6" w:customStyle="1">
    <w:name w:val="Основной текст с отступом Знак"/>
    <w:qFormat/>
    <w:rsid w:val="0066561f"/>
    <w:rPr>
      <w:sz w:val="22"/>
      <w:shd w:fill="FFFFFF" w:val="clear"/>
    </w:rPr>
  </w:style>
  <w:style w:type="character" w:styleId="Style7" w:customStyle="1">
    <w:name w:val="комментарий"/>
    <w:uiPriority w:val="99"/>
    <w:qFormat/>
    <w:rsid w:val="0066561f"/>
    <w:rPr>
      <w:rFonts w:cs="Times New Roman"/>
      <w:b/>
      <w:bCs/>
      <w:i/>
      <w:iCs/>
      <w:shd w:fill="FFFF99" w:val="clear"/>
    </w:rPr>
  </w:style>
  <w:style w:type="character" w:styleId="Style8" w:customStyle="1">
    <w:name w:val="Текст сноски Знак"/>
    <w:basedOn w:val="DefaultParagraphFont"/>
    <w:uiPriority w:val="99"/>
    <w:qFormat/>
    <w:rsid w:val="0066561f"/>
    <w:rPr/>
  </w:style>
  <w:style w:type="character" w:styleId="Style9" w:customStyle="1">
    <w:name w:val="Символ сноски"/>
    <w:uiPriority w:val="99"/>
    <w:qFormat/>
    <w:rsid w:val="0066561f"/>
    <w:rPr>
      <w:vertAlign w:val="superscript"/>
    </w:rPr>
  </w:style>
  <w:style w:type="character" w:styleId="FootnoteReference">
    <w:name w:val="Footnote Reference"/>
    <w:rPr>
      <w:vertAlign w:val="superscript"/>
    </w:rPr>
  </w:style>
  <w:style w:type="character" w:styleId="Style10" w:customStyle="1">
    <w:name w:val="Схема документа Знак"/>
    <w:link w:val="DocumentMap"/>
    <w:qFormat/>
    <w:rsid w:val="0066561f"/>
    <w:rPr>
      <w:rFonts w:ascii="Tahoma" w:hAnsi="Tahoma" w:cs="Tahoma"/>
      <w:shd w:fill="000080" w:val="clear"/>
    </w:rPr>
  </w:style>
  <w:style w:type="character" w:styleId="Style11" w:customStyle="1">
    <w:name w:val="Верхний колонтитул Знак"/>
    <w:basedOn w:val="DefaultParagraphFont"/>
    <w:qFormat/>
    <w:rsid w:val="0066561f"/>
    <w:rPr/>
  </w:style>
  <w:style w:type="character" w:styleId="Hyperlink">
    <w:name w:val="Hyperlink"/>
    <w:basedOn w:val="DefaultParagraphFont"/>
    <w:uiPriority w:val="99"/>
    <w:unhideWhenUsed/>
    <w:rsid w:val="0066722e"/>
    <w:rPr>
      <w:color w:val="0000FF" w:themeColor="hyperlink"/>
      <w:u w:val="single"/>
    </w:rPr>
  </w:style>
  <w:style w:type="character" w:styleId="Style12" w:customStyle="1">
    <w:name w:val="Абзац списка Знак"/>
    <w:link w:val="ListParagraph"/>
    <w:uiPriority w:val="99"/>
    <w:qFormat/>
    <w:locked/>
    <w:rsid w:val="00b11d27"/>
    <w:rPr/>
  </w:style>
  <w:style w:type="character" w:styleId="1" w:customStyle="1">
    <w:name w:val="1. Статья Знак"/>
    <w:link w:val="12"/>
    <w:qFormat/>
    <w:rsid w:val="00b11d27"/>
    <w:rPr>
      <w:sz w:val="24"/>
      <w:szCs w:val="24"/>
      <w:lang w:val="x-none" w:eastAsia="x-none"/>
    </w:rPr>
  </w:style>
  <w:style w:type="character" w:styleId="Strong">
    <w:name w:val="Strong"/>
    <w:uiPriority w:val="22"/>
    <w:qFormat/>
    <w:rsid w:val="001f3939"/>
    <w:rPr>
      <w:b/>
      <w:bCs/>
    </w:rPr>
  </w:style>
  <w:style w:type="character" w:styleId="Apple-converted-space" w:customStyle="1">
    <w:name w:val="apple-converted-space"/>
    <w:basedOn w:val="DefaultParagraphFont"/>
    <w:qFormat/>
    <w:rsid w:val="00ce055e"/>
    <w:rPr/>
  </w:style>
  <w:style w:type="character" w:styleId="Style13" w:customStyle="1">
    <w:name w:val="Символ концевой сноски"/>
    <w:qFormat/>
    <w:rPr>
      <w:vertAlign w:val="superscript"/>
    </w:rPr>
  </w:style>
  <w:style w:type="character" w:styleId="EndnoteReference">
    <w:name w:val="Endnote Reference"/>
    <w:rPr>
      <w:vertAlign w:val="superscript"/>
    </w:rPr>
  </w:style>
  <w:style w:type="paragraph" w:styleId="Style14">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link w:val="Style3"/>
    <w:rsid w:val="00e42745"/>
    <w:pPr>
      <w:jc w:val="both"/>
    </w:pPr>
    <w:rPr>
      <w:sz w:val="22"/>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5">
    <w:name w:val="Указатель"/>
    <w:basedOn w:val="Normal"/>
    <w:qFormat/>
    <w:pPr>
      <w:suppressLineNumbers/>
    </w:pPr>
    <w:rPr/>
  </w:style>
  <w:style w:type="paragraph" w:styleId="Title">
    <w:name w:val="Title"/>
    <w:basedOn w:val="Normal"/>
    <w:next w:val="BodyText"/>
    <w:link w:val="Style1"/>
    <w:qFormat/>
    <w:rsid w:val="00e42745"/>
    <w:pPr>
      <w:jc w:val="center"/>
    </w:pPr>
    <w:rPr>
      <w:b/>
      <w:bCs/>
      <w:sz w:val="28"/>
      <w:szCs w:val="24"/>
    </w:rPr>
  </w:style>
  <w:style w:type="paragraph" w:styleId="Caption1">
    <w:name w:val="caption1"/>
    <w:basedOn w:val="Normal"/>
    <w:qFormat/>
    <w:pPr>
      <w:suppressLineNumbers/>
      <w:spacing w:before="120" w:after="120"/>
    </w:pPr>
    <w:rPr>
      <w:i/>
      <w:iCs/>
      <w:sz w:val="24"/>
      <w:szCs w:val="24"/>
    </w:rPr>
  </w:style>
  <w:style w:type="paragraph" w:styleId="Indexheading">
    <w:name w:val="index heading"/>
    <w:basedOn w:val="Normal"/>
    <w:qFormat/>
    <w:pPr>
      <w:suppressLineNumbers/>
    </w:pPr>
    <w:rPr/>
  </w:style>
  <w:style w:type="paragraph" w:styleId="NormalWeb">
    <w:name w:val="Normal (Web)"/>
    <w:basedOn w:val="Normal"/>
    <w:uiPriority w:val="99"/>
    <w:qFormat/>
    <w:rsid w:val="00e42745"/>
    <w:pPr>
      <w:spacing w:beforeAutospacing="1" w:afterAutospacing="1"/>
      <w:ind w:right="150" w:hanging="0"/>
    </w:pPr>
    <w:rPr>
      <w:rFonts w:ascii="Tahoma" w:hAnsi="Tahoma" w:cs="Tahoma"/>
      <w:color w:val="000000"/>
    </w:rPr>
  </w:style>
  <w:style w:type="paragraph" w:styleId="BodyText2">
    <w:name w:val="Body Text 2"/>
    <w:basedOn w:val="Normal"/>
    <w:qFormat/>
    <w:rsid w:val="00e42745"/>
    <w:pPr>
      <w:jc w:val="both"/>
    </w:pPr>
    <w:rPr/>
  </w:style>
  <w:style w:type="paragraph" w:styleId="Style16" w:customStyle="1">
    <w:name w:val="Колонтитул"/>
    <w:basedOn w:val="Normal"/>
    <w:qFormat/>
    <w:pPr/>
    <w:rPr/>
  </w:style>
  <w:style w:type="paragraph" w:styleId="Footer">
    <w:name w:val="Footer"/>
    <w:basedOn w:val="Normal"/>
    <w:rsid w:val="00e42745"/>
    <w:pPr>
      <w:tabs>
        <w:tab w:val="clear" w:pos="720"/>
        <w:tab w:val="center" w:pos="4677" w:leader="none"/>
        <w:tab w:val="right" w:pos="9355" w:leader="none"/>
      </w:tabs>
    </w:pPr>
    <w:rPr/>
  </w:style>
  <w:style w:type="paragraph" w:styleId="11" w:customStyle="1">
    <w:name w:val="Текст1"/>
    <w:basedOn w:val="Normal"/>
    <w:qFormat/>
    <w:rsid w:val="00e42745"/>
    <w:pPr>
      <w:spacing w:before="0" w:after="120"/>
      <w:jc w:val="both"/>
    </w:pPr>
    <w:rPr>
      <w:rFonts w:ascii="Courier New" w:hAnsi="Courier New"/>
      <w:sz w:val="22"/>
      <w:lang w:eastAsia="en-US"/>
    </w:rPr>
  </w:style>
  <w:style w:type="paragraph" w:styleId="BodyText3">
    <w:name w:val="Body Text 3"/>
    <w:basedOn w:val="Normal"/>
    <w:link w:val="3"/>
    <w:qFormat/>
    <w:rsid w:val="00e42745"/>
    <w:pPr>
      <w:jc w:val="both"/>
    </w:pPr>
    <w:rPr>
      <w:sz w:val="28"/>
    </w:rPr>
  </w:style>
  <w:style w:type="paragraph" w:styleId="BodyTextIndent">
    <w:name w:val="Body Text Indent"/>
    <w:basedOn w:val="Normal"/>
    <w:link w:val="Style6"/>
    <w:rsid w:val="00e42745"/>
    <w:pPr>
      <w:widowControl w:val="false"/>
      <w:shd w:val="clear" w:color="auto" w:fill="FFFFFF"/>
      <w:ind w:firstLine="567"/>
      <w:jc w:val="both"/>
    </w:pPr>
    <w:rPr>
      <w:sz w:val="22"/>
    </w:rPr>
  </w:style>
  <w:style w:type="paragraph" w:styleId="BodyTextIndent3">
    <w:name w:val="Body Text Indent 3"/>
    <w:basedOn w:val="Normal"/>
    <w:qFormat/>
    <w:rsid w:val="00e42745"/>
    <w:pPr>
      <w:shd w:val="clear" w:color="auto" w:fill="FFFFFF"/>
      <w:ind w:firstLine="567"/>
      <w:jc w:val="both"/>
    </w:pPr>
    <w:rPr>
      <w:sz w:val="28"/>
      <w:szCs w:val="24"/>
    </w:rPr>
  </w:style>
  <w:style w:type="paragraph" w:styleId="Style17" w:customStyle="1">
    <w:name w:val="Таблицы (моноширинный)"/>
    <w:basedOn w:val="Normal"/>
    <w:next w:val="Normal"/>
    <w:qFormat/>
    <w:rsid w:val="0066561f"/>
    <w:pPr>
      <w:widowControl w:val="false"/>
      <w:jc w:val="both"/>
    </w:pPr>
    <w:rPr>
      <w:rFonts w:ascii="Courier New" w:hAnsi="Courier New" w:cs="Courier New"/>
    </w:rPr>
  </w:style>
  <w:style w:type="paragraph" w:styleId="BodyTextIndent2">
    <w:name w:val="Body Text Indent 2"/>
    <w:basedOn w:val="Normal"/>
    <w:link w:val="2"/>
    <w:qFormat/>
    <w:rsid w:val="0066561f"/>
    <w:pPr>
      <w:widowControl w:val="false"/>
      <w:ind w:left="1843" w:hanging="0"/>
      <w:jc w:val="both"/>
    </w:pPr>
    <w:rPr>
      <w:sz w:val="24"/>
    </w:rPr>
  </w:style>
  <w:style w:type="paragraph" w:styleId="BalloonText">
    <w:name w:val="Balloon Text"/>
    <w:basedOn w:val="Normal"/>
    <w:link w:val="Style2"/>
    <w:qFormat/>
    <w:rsid w:val="0066561f"/>
    <w:pPr>
      <w:widowControl w:val="false"/>
    </w:pPr>
    <w:rPr>
      <w:rFonts w:ascii="Tahoma" w:hAnsi="Tahoma" w:cs="Tahoma"/>
      <w:sz w:val="16"/>
      <w:szCs w:val="16"/>
    </w:rPr>
  </w:style>
  <w:style w:type="paragraph" w:styleId="Annotationtext">
    <w:name w:val="annotation text"/>
    <w:basedOn w:val="Normal"/>
    <w:link w:val="Style4"/>
    <w:qFormat/>
    <w:rsid w:val="0066561f"/>
    <w:pPr>
      <w:widowControl w:val="false"/>
    </w:pPr>
    <w:rPr/>
  </w:style>
  <w:style w:type="paragraph" w:styleId="Annotationsubject">
    <w:name w:val="annotation subject"/>
    <w:basedOn w:val="Annotationtext"/>
    <w:next w:val="Annotationtext"/>
    <w:link w:val="Style5"/>
    <w:qFormat/>
    <w:rsid w:val="0066561f"/>
    <w:pPr/>
    <w:rPr>
      <w:b/>
      <w:bCs/>
    </w:rPr>
  </w:style>
  <w:style w:type="paragraph" w:styleId="ListParagraph">
    <w:name w:val="List Paragraph"/>
    <w:basedOn w:val="Normal"/>
    <w:link w:val="Style12"/>
    <w:uiPriority w:val="99"/>
    <w:qFormat/>
    <w:rsid w:val="0066561f"/>
    <w:pPr>
      <w:widowControl w:val="false"/>
      <w:spacing w:before="0" w:after="0"/>
      <w:ind w:left="720" w:hanging="0"/>
      <w:contextualSpacing/>
    </w:pPr>
    <w:rPr/>
  </w:style>
  <w:style w:type="paragraph" w:styleId="Style18" w:customStyle="1">
    <w:name w:val="Знак Знак Знак Знак Знак Знак Знак Знак Знак"/>
    <w:basedOn w:val="Normal"/>
    <w:uiPriority w:val="99"/>
    <w:qFormat/>
    <w:rsid w:val="0066561f"/>
    <w:pPr>
      <w:spacing w:lineRule="exact" w:line="240" w:before="0" w:after="160"/>
      <w:jc w:val="both"/>
    </w:pPr>
    <w:rPr>
      <w:rFonts w:ascii="Verdana" w:hAnsi="Verdana"/>
      <w:sz w:val="22"/>
      <w:lang w:val="en-US" w:eastAsia="en-US"/>
    </w:rPr>
  </w:style>
  <w:style w:type="paragraph" w:styleId="Style19" w:customStyle="1">
    <w:name w:val="Подпункт договора"/>
    <w:basedOn w:val="Normal"/>
    <w:qFormat/>
    <w:rsid w:val="0066561f"/>
    <w:pPr>
      <w:tabs>
        <w:tab w:val="clear" w:pos="720"/>
        <w:tab w:val="left" w:pos="360" w:leader="none"/>
      </w:tabs>
      <w:jc w:val="both"/>
    </w:pPr>
    <w:rPr>
      <w:rFonts w:ascii="Arial" w:hAnsi="Arial"/>
    </w:rPr>
  </w:style>
  <w:style w:type="paragraph" w:styleId="ConsNormal" w:customStyle="1">
    <w:name w:val="ConsNormal"/>
    <w:qFormat/>
    <w:rsid w:val="0066561f"/>
    <w:pPr>
      <w:widowControl/>
      <w:suppressAutoHyphens w:val="true"/>
      <w:bidi w:val="0"/>
      <w:spacing w:before="0" w:after="0"/>
      <w:ind w:right="19772" w:firstLine="720"/>
      <w:jc w:val="left"/>
    </w:pPr>
    <w:rPr>
      <w:rFonts w:ascii="Arial" w:hAnsi="Arial" w:eastAsia="Times New Roman" w:cs="Times New Roman"/>
      <w:color w:val="auto"/>
      <w:kern w:val="0"/>
      <w:sz w:val="32"/>
      <w:szCs w:val="20"/>
      <w:lang w:val="ru-RU" w:eastAsia="en-US" w:bidi="ar-SA"/>
    </w:rPr>
  </w:style>
  <w:style w:type="paragraph" w:styleId="Style20" w:customStyle="1">
    <w:name w:val="Знак"/>
    <w:basedOn w:val="Normal"/>
    <w:qFormat/>
    <w:rsid w:val="0066561f"/>
    <w:pPr>
      <w:spacing w:lineRule="exact" w:line="240" w:before="0" w:after="160"/>
    </w:pPr>
    <w:rPr>
      <w:rFonts w:ascii="Verdana" w:hAnsi="Verdana" w:cs="Verdana"/>
      <w:lang w:val="en-US" w:eastAsia="en-US"/>
    </w:rPr>
  </w:style>
  <w:style w:type="paragraph" w:styleId="FootnoteText">
    <w:name w:val="Footnote Text"/>
    <w:basedOn w:val="Normal"/>
    <w:link w:val="Style8"/>
    <w:uiPriority w:val="99"/>
    <w:rsid w:val="0066561f"/>
    <w:pPr>
      <w:widowControl w:val="false"/>
    </w:pPr>
    <w:rPr/>
  </w:style>
  <w:style w:type="paragraph" w:styleId="ListBullet3">
    <w:name w:val="List Bullet 3"/>
    <w:basedOn w:val="Normal"/>
    <w:uiPriority w:val="99"/>
    <w:unhideWhenUsed/>
    <w:qFormat/>
    <w:rsid w:val="0066561f"/>
    <w:pPr>
      <w:tabs>
        <w:tab w:val="clear" w:pos="720"/>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66561f"/>
    <w:pPr>
      <w:tabs>
        <w:tab w:val="clear" w:pos="720"/>
        <w:tab w:val="left" w:pos="851" w:leader="none"/>
      </w:tabs>
      <w:spacing w:lineRule="auto" w:line="360"/>
      <w:ind w:left="851" w:hanging="851"/>
      <w:jc w:val="both"/>
    </w:pPr>
    <w:rPr>
      <w:rFonts w:eastAsia="Calibri"/>
      <w:sz w:val="28"/>
      <w:szCs w:val="28"/>
    </w:rPr>
  </w:style>
  <w:style w:type="paragraph" w:styleId="DocumentMap">
    <w:name w:val="Document Map"/>
    <w:basedOn w:val="Normal"/>
    <w:link w:val="Style10"/>
    <w:qFormat/>
    <w:rsid w:val="0066561f"/>
    <w:pPr>
      <w:widowControl w:val="false"/>
      <w:shd w:val="clear" w:color="auto" w:fill="000080"/>
    </w:pPr>
    <w:rPr>
      <w:rFonts w:ascii="Tahoma" w:hAnsi="Tahoma" w:cs="Tahoma"/>
    </w:rPr>
  </w:style>
  <w:style w:type="paragraph" w:styleId="Revision">
    <w:name w:val="Revision"/>
    <w:uiPriority w:val="99"/>
    <w:semiHidden/>
    <w:qFormat/>
    <w:rsid w:val="0066561f"/>
    <w:pPr>
      <w:widowControl/>
      <w:suppressAutoHyphens w:val="true"/>
      <w:bidi w:val="0"/>
      <w:spacing w:before="0" w:after="0"/>
      <w:jc w:val="lef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11"/>
    <w:rsid w:val="0066561f"/>
    <w:pPr>
      <w:widowControl w:val="false"/>
      <w:tabs>
        <w:tab w:val="clear" w:pos="720"/>
        <w:tab w:val="center" w:pos="4677" w:leader="none"/>
        <w:tab w:val="right" w:pos="9355" w:leader="none"/>
      </w:tabs>
    </w:pPr>
    <w:rPr/>
  </w:style>
  <w:style w:type="paragraph" w:styleId="12" w:customStyle="1">
    <w:name w:val="1. Статья"/>
    <w:basedOn w:val="Heading3"/>
    <w:link w:val="1"/>
    <w:qFormat/>
    <w:rsid w:val="00b11d27"/>
    <w:pPr>
      <w:keepNext w:val="false"/>
      <w:widowControl w:val="false"/>
      <w:numPr>
        <w:ilvl w:val="0"/>
        <w:numId w:val="9"/>
      </w:numPr>
      <w:tabs>
        <w:tab w:val="left" w:pos="0" w:leader="none"/>
        <w:tab w:val="left" w:pos="2340" w:leader="none"/>
      </w:tabs>
      <w:overflowPunct w:val="true"/>
      <w:ind w:right="1462" w:hanging="0"/>
      <w:textAlignment w:val="baseline"/>
    </w:pPr>
    <w:rPr>
      <w:b w:val="false"/>
      <w:sz w:val="24"/>
      <w:szCs w:val="24"/>
      <w:lang w:val="x-none" w:eastAsia="x-none"/>
    </w:rPr>
  </w:style>
  <w:style w:type="paragraph" w:styleId="21" w:customStyle="1">
    <w:name w:val="2. Пункт"/>
    <w:basedOn w:val="Heading3"/>
    <w:qFormat/>
    <w:rsid w:val="00b11d27"/>
    <w:pPr>
      <w:keepNext w:val="false"/>
      <w:widowControl w:val="false"/>
      <w:numPr>
        <w:ilvl w:val="1"/>
        <w:numId w:val="9"/>
      </w:numPr>
      <w:overflowPunct w:val="true"/>
      <w:jc w:val="both"/>
      <w:textAlignment w:val="baseline"/>
    </w:pPr>
    <w:rPr>
      <w:b w:val="false"/>
      <w:sz w:val="24"/>
      <w:szCs w:val="24"/>
      <w:lang w:val="x-none" w:eastAsia="x-none"/>
    </w:rPr>
  </w:style>
  <w:style w:type="paragraph" w:styleId="32" w:customStyle="1">
    <w:name w:val="3. Подпункт"/>
    <w:basedOn w:val="Heading3"/>
    <w:qFormat/>
    <w:rsid w:val="00b11d27"/>
    <w:pPr>
      <w:keepNext w:val="false"/>
      <w:widowControl w:val="false"/>
      <w:numPr>
        <w:ilvl w:val="2"/>
        <w:numId w:val="9"/>
      </w:numPr>
      <w:tabs>
        <w:tab w:val="left" w:pos="0" w:leader="none"/>
        <w:tab w:val="left" w:pos="1620" w:leader="none"/>
      </w:tabs>
      <w:overflowPunct w:val="true"/>
      <w:jc w:val="both"/>
      <w:textAlignment w:val="baseline"/>
    </w:pPr>
    <w:rPr>
      <w:bCs/>
      <w:sz w:val="24"/>
      <w:szCs w:val="24"/>
      <w:lang w:val="x-none" w:eastAsia="x-none"/>
    </w:rPr>
  </w:style>
  <w:style w:type="paragraph" w:styleId="Default" w:customStyle="1">
    <w:name w:val="Default"/>
    <w:qFormat/>
    <w:rsid w:val="000466f3"/>
    <w:pPr>
      <w:widowControl/>
      <w:suppressAutoHyphens w:val="true"/>
      <w:bidi w:val="0"/>
      <w:spacing w:before="0" w:after="0"/>
      <w:jc w:val="left"/>
    </w:pPr>
    <w:rPr>
      <w:rFonts w:ascii="Tahoma" w:hAnsi="Tahoma" w:eastAsia="Times New Roman" w:cs="Tahoma"/>
      <w:color w:val="000000"/>
      <w:kern w:val="0"/>
      <w:sz w:val="24"/>
      <w:szCs w:val="24"/>
      <w:lang w:val="ru-RU" w:eastAsia="ru-RU" w:bidi="ar-SA"/>
    </w:rPr>
  </w:style>
  <w:style w:type="paragraph" w:styleId="13" w:customStyle="1">
    <w:name w:val="Абзац списка1"/>
    <w:basedOn w:val="Normal"/>
    <w:qFormat/>
    <w:rsid w:val="00394cca"/>
    <w:pPr>
      <w:spacing w:lineRule="auto" w:line="276" w:before="0" w:after="200"/>
      <w:ind w:left="720" w:hanging="0"/>
      <w:contextualSpacing/>
    </w:pPr>
    <w:rPr>
      <w:rFonts w:ascii="Calibri" w:hAnsi="Calibri"/>
      <w:sz w:val="22"/>
      <w:szCs w:val="22"/>
      <w:lang w:eastAsia="en-US"/>
    </w:rPr>
  </w:style>
  <w:style w:type="paragraph" w:styleId="TableParagraph" w:customStyle="1">
    <w:name w:val="Table Paragraph"/>
    <w:basedOn w:val="Normal"/>
    <w:uiPriority w:val="1"/>
    <w:qFormat/>
    <w:rsid w:val="00d22f47"/>
    <w:pPr>
      <w:widowControl w:val="false"/>
    </w:pPr>
    <w:rPr>
      <w:rFonts w:ascii="Microsoft Sans Serif" w:hAnsi="Microsoft Sans Serif" w:eastAsia="Microsoft Sans Serif" w:cs="Microsoft Sans Serif"/>
      <w:sz w:val="22"/>
      <w:szCs w:val="22"/>
      <w:lang w:eastAsia="en-US"/>
    </w:rPr>
  </w:style>
  <w:style w:type="paragraph" w:styleId="Style21" w:customStyle="1">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c">
    <w:name w:val="Table Grid"/>
    <w:basedOn w:val="a1"/>
    <w:uiPriority w:val="39"/>
    <w:rsid w:val="0066561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4">
    <w:name w:val="Сетка таблицы1"/>
    <w:basedOn w:val="a1"/>
    <w:uiPriority w:val="39"/>
    <w:rsid w:val="00b37e7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header" Target="header1.xml"/><Relationship Id="rId9" Type="http://schemas.openxmlformats.org/officeDocument/2006/relationships/footer" Target="footer4.xml"/><Relationship Id="rId10" Type="http://schemas.openxmlformats.org/officeDocument/2006/relationships/footer" Target="footer5.xml"/><Relationship Id="rId11" Type="http://schemas.openxmlformats.org/officeDocument/2006/relationships/footer" Target="footer6.xml"/><Relationship Id="rId12" Type="http://schemas.openxmlformats.org/officeDocument/2006/relationships/footnotes" Target="footnotes.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3BCF87-3C00-4CAB-98CB-5C63883CA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Application>AlterOffice/3.4.0.9$Linux_X86_64 LibreOffice_project/b8daf9e823b1a5463a2f48435ddc2e8696e7d4fc</Application>
  <AppVersion>15.0000</AppVersion>
  <Pages>21</Pages>
  <Words>6807</Words>
  <Characters>47926</Characters>
  <CharactersWithSpaces>54665</CharactersWithSpaces>
  <Paragraphs>331</Paragraphs>
  <Company>ООО "Райдэн"</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2025-02-19T10:55:00Z</dcterms:created>
  <dc:creator>Света &amp; Алла (Twix)</dc:creator>
  <dc:description/>
  <dc:language>ru-RU</dc:language>
  <cp:lastModifiedBy>mastrikovaes@corp.gidroogk.com</cp:lastModifiedBy>
  <cp:lastPrinted>2022-01-20T08:04:00Z</cp:lastPrinted>
  <dcterms:modified xsi:type="dcterms:W3CDTF">2026-09-07T15:38:57Z</dcterms:modified>
  <cp:revision>18</cp:revision>
  <dc:subject/>
  <dc:title>ДОГОВОР ПОСТАВКИ</dc:title>
</cp:coreProperties>
</file>

<file path=docProps/custom.xml><?xml version="1.0" encoding="utf-8"?>
<Properties xmlns="http://schemas.openxmlformats.org/officeDocument/2006/custom-properties" xmlns:vt="http://schemas.openxmlformats.org/officeDocument/2006/docPropsVTypes"/>
</file>