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«УТВЕРЖДАЮ»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Главный инженер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филиала ПАО «Якутскэнерго»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Западные электрические сети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________________ Ж.Н.Доржиев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«___»____________ 2026 г.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ОКПД2 20.14.7 Поставка химматериалов в рамках энергоремонтного производства для нужд Западных электрических сетей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</w:rPr>
            <w:instrText xml:space="preserve"> TOC \z \o "1-4" \u \h</w:instrText>
          </w:r>
          <w:r>
            <w:rPr>
              <w:webHidden/>
              <w:rStyle w:val="Style14"/>
            </w:rPr>
            <w:fldChar w:fldCharType="separate"/>
          </w:r>
          <w:hyperlink w:anchor="_Toc225320209">
            <w:r>
              <w:rPr>
                <w:webHidden/>
                <w:rStyle w:val="Style14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_Toc225320209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25320210">
            <w:r>
              <w:rPr>
                <w:webHidden/>
                <w:rStyle w:val="Style14"/>
                <w:iCs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_Toc225320210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25320211">
            <w:r>
              <w:rPr>
                <w:webHidden/>
                <w:rStyle w:val="Style14"/>
                <w:iCs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Цель использования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_Toc225320211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25320212">
            <w:r>
              <w:rPr>
                <w:webHidden/>
                <w:rStyle w:val="Style14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_Toc225320212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25320213">
            <w:r>
              <w:rPr>
                <w:webHidden/>
                <w:rStyle w:val="Style14"/>
                <w:iCs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_Toc225320213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25320214">
            <w:r>
              <w:rPr>
                <w:webHidden/>
                <w:rStyle w:val="Style14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_Toc225320214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25320215">
            <w:r>
              <w:rPr>
                <w:webHidden/>
                <w:rStyle w:val="Style14"/>
              </w:rPr>
              <w:t>Таблица 1. 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_Toc225320215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25320216">
            <w:r>
              <w:rPr>
                <w:webHidden/>
                <w:rStyle w:val="Style14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срокам поставки продукции и оказания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_Toc225320216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25320217">
            <w:r>
              <w:rPr>
                <w:webHidden/>
                <w:rStyle w:val="Style14"/>
              </w:rPr>
              <w:t>Таблица 2. Требования по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_Toc225320217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25320218">
            <w:r>
              <w:rPr>
                <w:webHidden/>
                <w:rStyle w:val="Style14"/>
                <w:iCs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_Toc225320218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25320219">
            <w:r>
              <w:rPr>
                <w:webHidden/>
                <w:rStyle w:val="Style14"/>
              </w:rPr>
              <w:t>Таблица 3.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_Toc225320219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25320220">
            <w:r>
              <w:rPr>
                <w:webHidden/>
                <w:rStyle w:val="Style14"/>
              </w:rPr>
              <w:t>Согласие с требованием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_Toc225320220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25320221">
            <w:r>
              <w:rPr>
                <w:webHidden/>
                <w:rStyle w:val="Style14"/>
              </w:rPr>
              <w:t>Предоставление подтверждающего документа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_Toc225320221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25320222">
            <w:r>
              <w:rPr>
                <w:webHidden/>
                <w:rStyle w:val="Style14"/>
                <w:rFonts w:cs="Arial"/>
              </w:rPr>
              <w:t>Указание наименования реестра и номер реестровой записи в Форме Коммерческого предложения и Структуры НМЦ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_Toc225320222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225320209"/>
      <w:bookmarkStart w:id="1" w:name="_Toc51339692"/>
      <w:r>
        <w:rPr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225320210"/>
      <w:bookmarkStart w:id="3" w:name="_Toc46743506"/>
      <w:r>
        <w:rPr/>
        <w:t>Наименование закупаемой продукции</w:t>
      </w:r>
      <w:bookmarkEnd w:id="2"/>
      <w:bookmarkEnd w:id="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rStyle w:val="Style8"/>
          <w:b w:val="false"/>
          <w:bCs/>
          <w:sz w:val="24"/>
          <w:szCs w:val="24"/>
        </w:rPr>
      </w:pPr>
      <w:r>
        <w:rPr>
          <w:rFonts w:eastAsia="Calibri"/>
          <w:i/>
          <w:sz w:val="24"/>
          <w:szCs w:val="24"/>
          <w:lang w:eastAsia="x-none"/>
        </w:rPr>
        <w:t>"</w:t>
      </w:r>
      <w:r>
        <w:rPr/>
        <w:t xml:space="preserve"> </w:t>
      </w:r>
      <w:r>
        <w:rPr>
          <w:rFonts w:eastAsia="Calibri"/>
          <w:i/>
          <w:sz w:val="24"/>
          <w:szCs w:val="24"/>
          <w:lang w:eastAsia="x-none"/>
        </w:rPr>
        <w:t>Химматериалы в рамках энергоремонтного производства для нужд Западных электрических сетей"</w:t>
      </w:r>
      <w:r>
        <w:rPr>
          <w:rFonts w:eastAsia="Calibri"/>
          <w:i/>
          <w:lang w:eastAsia="x-none"/>
        </w:rPr>
        <w:br/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>
          <w:rStyle w:val="Style8"/>
          <w:b/>
          <w:lang w:val="ru-RU"/>
        </w:rPr>
      </w:pPr>
      <w:bookmarkStart w:id="4" w:name="_Toc225320211"/>
      <w:bookmarkStart w:id="5" w:name="_Toc46743507"/>
      <w:r>
        <w:rPr/>
        <w:t xml:space="preserve">Цель </w:t>
      </w:r>
      <w:bookmarkEnd w:id="5"/>
      <w:r>
        <w:rPr>
          <w:lang w:val="ru-RU"/>
        </w:rPr>
        <w:t>использования закупаемой продукции</w:t>
      </w:r>
      <w:bookmarkEnd w:id="4"/>
      <w:r>
        <w:rPr>
          <w:lang w:val="ru-RU"/>
        </w:rPr>
        <w:t xml:space="preserve"> </w:t>
      </w:r>
    </w:p>
    <w:p>
      <w:pPr>
        <w:pStyle w:val="Normal"/>
        <w:rPr>
          <w:i/>
          <w:i/>
          <w:lang w:eastAsia="x-none"/>
        </w:rPr>
      </w:pPr>
      <w:r>
        <w:rPr>
          <w:i/>
          <w:sz w:val="24"/>
          <w:lang w:eastAsia="x-none"/>
        </w:rPr>
        <w:t>Ремонтная программа 2027 года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rStyle w:val="Style8"/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6" w:name="_Toc46743510"/>
      <w:bookmarkStart w:id="7" w:name="_Toc50125126"/>
      <w:bookmarkStart w:id="8" w:name="_Toc225320212"/>
      <w:bookmarkStart w:id="9" w:name="_Toc51339693"/>
      <w:bookmarkEnd w:id="7"/>
      <w:r>
        <w:rPr>
          <w:iCs/>
        </w:rPr>
        <w:t>Требования к продукции</w:t>
      </w:r>
      <w:bookmarkEnd w:id="8"/>
      <w:bookmarkEnd w:id="9"/>
    </w:p>
    <w:p>
      <w:pPr>
        <w:pStyle w:val="Heading4"/>
        <w:numPr>
          <w:ilvl w:val="1"/>
          <w:numId w:val="3"/>
        </w:numPr>
        <w:rPr/>
      </w:pPr>
      <w:bookmarkStart w:id="10" w:name="_Toc225320213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0"/>
    </w:p>
    <w:p>
      <w:pPr>
        <w:pStyle w:val="Heading3"/>
        <w:numPr>
          <w:ilvl w:val="2"/>
          <w:numId w:val="3"/>
        </w:numPr>
        <w:rPr/>
      </w:pPr>
      <w:bookmarkStart w:id="11" w:name="_Toc225320214"/>
      <w:r>
        <w:rPr>
          <w:lang w:val="ru-RU"/>
        </w:rPr>
        <w:t>Перечень и объем закупаемой продукции</w:t>
      </w:r>
      <w:bookmarkEnd w:id="11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2" w:name="_Toc225320215"/>
      <w:bookmarkStart w:id="13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 xml:space="preserve">1.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3"/>
      <w:r>
        <w:rPr>
          <w:sz w:val="24"/>
          <w:szCs w:val="24"/>
          <w:lang w:val="ru-RU"/>
        </w:rPr>
        <w:t>и объем закупаемой продукции</w:t>
      </w:r>
      <w:bookmarkEnd w:id="12"/>
    </w:p>
    <w:tbl>
      <w:tblPr>
        <w:tblW w:w="9668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5"/>
        <w:gridCol w:w="3686"/>
        <w:gridCol w:w="850"/>
        <w:gridCol w:w="710"/>
        <w:gridCol w:w="1416"/>
        <w:gridCol w:w="2410"/>
      </w:tblGrid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Наименование продукции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Ед. изм.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Кол-во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Код по ОКПД2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Применение законодательства о национальном режиме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2"/>
                <w:szCs w:val="24"/>
              </w:rPr>
            </w:pPr>
            <w:r>
              <w:rPr>
                <w:sz w:val="22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2"/>
                <w:szCs w:val="24"/>
              </w:rPr>
            </w:pPr>
            <w:r>
              <w:rPr>
                <w:sz w:val="22"/>
                <w:szCs w:val="24"/>
              </w:rPr>
              <w:t>6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Азот особой чистоты 99,999%, 1 сорт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4"/>
              </w:rPr>
            </w:pPr>
            <w:r>
              <w:rPr>
                <w:color w:val="000000"/>
                <w:sz w:val="22"/>
              </w:rPr>
              <w:t>баллон</w:t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20.14.7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Элегаз (SF 6)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4"/>
              </w:rPr>
            </w:pPr>
            <w:r>
              <w:rPr>
                <w:color w:val="000000"/>
                <w:sz w:val="22"/>
              </w:rPr>
              <w:t>баллон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20.14.7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Силикагель КСКГ</w:t>
            </w:r>
            <w:bookmarkStart w:id="14" w:name="_GoBack"/>
            <w:bookmarkEnd w:id="14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4"/>
              </w:rPr>
            </w:pPr>
            <w:r>
              <w:rPr>
                <w:color w:val="000000"/>
                <w:sz w:val="22"/>
              </w:rPr>
              <w:t>кг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20.14.7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Силикагель индикаторный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4"/>
              </w:rPr>
            </w:pPr>
            <w:r>
              <w:rPr>
                <w:color w:val="000000"/>
                <w:sz w:val="22"/>
              </w:rPr>
              <w:t>кг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150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20.14.7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Сорбент крошка для сбора нефтепродуктов Уремикс-913</w:t>
            </w:r>
          </w:p>
          <w:p>
            <w:pPr>
              <w:pStyle w:val="Normal"/>
              <w:widowControl w:val="false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кг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20.13.24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Аргон газообразный высший сорт 99.993% 40л ГОСТ 10157</w:t>
            </w:r>
          </w:p>
          <w:p>
            <w:pPr>
              <w:pStyle w:val="Normal"/>
              <w:widowControl w:val="false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баллон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20.11.11.121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Пропан сжиженный 50л баллон</w:t>
            </w:r>
          </w:p>
          <w:p>
            <w:pPr>
              <w:pStyle w:val="Normal"/>
              <w:bidi w:val="0"/>
              <w:jc w:val="left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баллон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19.20.31</w:t>
              <w:br/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Установлен режим преимущества закупки Российской продукции</w:t>
            </w:r>
          </w:p>
        </w:tc>
      </w:tr>
      <w:tr>
        <w:trPr/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Нефрас 80/120 (бензин "Калоша")</w:t>
            </w:r>
          </w:p>
          <w:p>
            <w:pPr>
              <w:pStyle w:val="Normal"/>
              <w:bidi w:val="0"/>
              <w:jc w:val="left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л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19.20.23.190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Установлен режим преимущества закупки Российской продукции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15" w:name="_Toc225320216"/>
      <w:bookmarkStart w:id="16" w:name="_Toc75446578"/>
      <w:bookmarkStart w:id="17" w:name="_Toc51339696"/>
      <w:r>
        <w:rPr>
          <w:lang w:val="ru-RU"/>
        </w:rPr>
        <w:t xml:space="preserve">Требования </w:t>
      </w:r>
      <w:bookmarkEnd w:id="17"/>
      <w:r>
        <w:rPr>
          <w:lang w:val="ru-RU"/>
        </w:rPr>
        <w:t>к срокам поставки продукции и оказания сопутствующих услуг</w:t>
      </w:r>
      <w:bookmarkEnd w:id="15"/>
      <w:bookmarkEnd w:id="16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8" w:name="_Toc50125126"/>
      <w:bookmarkStart w:id="19" w:name="_Toc225320217"/>
      <w:bookmarkStart w:id="20" w:name="_Toc51339697"/>
      <w:bookmarkStart w:id="21" w:name="_Toc50125127"/>
      <w:bookmarkEnd w:id="1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</w:t>
      </w:r>
      <w:bookmarkStart w:id="22" w:name="_Hlk50465284"/>
      <w:r>
        <w:rPr>
          <w:sz w:val="24"/>
          <w:szCs w:val="24"/>
        </w:rPr>
        <w:t xml:space="preserve">Требования по срокам </w:t>
      </w:r>
      <w:bookmarkEnd w:id="20"/>
      <w:bookmarkEnd w:id="21"/>
      <w:bookmarkEnd w:id="22"/>
      <w:r>
        <w:rPr>
          <w:sz w:val="24"/>
          <w:szCs w:val="24"/>
          <w:lang w:val="ru-RU"/>
        </w:rPr>
        <w:t>поставки продукции</w:t>
      </w:r>
      <w:bookmarkEnd w:id="19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3"/>
        <w:gridCol w:w="5388"/>
        <w:gridCol w:w="1842"/>
        <w:gridCol w:w="1842"/>
      </w:tblGrid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23" w:name="_Toc46743510"/>
            <w:r>
              <w:rPr>
                <w:b/>
                <w:sz w:val="24"/>
                <w:szCs w:val="24"/>
              </w:rPr>
              <w:t>4</w:t>
            </w:r>
            <w:bookmarkEnd w:id="23"/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2"/>
              </w:rPr>
              <w:t>Азот особой чистоты 99,999%, 1 сорт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60 дней с даты подписания договора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5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</w:rPr>
            </w:pPr>
            <w:r>
              <w:rPr>
                <w:color w:val="000000"/>
                <w:sz w:val="22"/>
              </w:rPr>
              <w:t>Элегаз (SF 6)</w:t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5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</w:rPr>
            </w:pPr>
            <w:r>
              <w:rPr>
                <w:color w:val="000000"/>
                <w:sz w:val="22"/>
              </w:rPr>
              <w:t>Силикагель КСКГ</w:t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5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</w:rPr>
            </w:pPr>
            <w:r>
              <w:rPr>
                <w:color w:val="000000"/>
                <w:sz w:val="22"/>
              </w:rPr>
              <w:t>Силикагель индикаторный</w:t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5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Сорбент крошка для сбора нефтепродуктов Уремикс-913</w:t>
            </w:r>
          </w:p>
          <w:p>
            <w:pPr>
              <w:pStyle w:val="Normal"/>
              <w:widowControl w:val="false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5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Аргон газообразный высший сорт 99.993% 40л ГОСТ 10157</w:t>
            </w:r>
          </w:p>
          <w:p>
            <w:pPr>
              <w:pStyle w:val="Normal"/>
              <w:widowControl w:val="false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5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Пропан сжиженный 50л баллон</w:t>
            </w:r>
          </w:p>
          <w:p>
            <w:pPr>
              <w:pStyle w:val="Normal"/>
              <w:bidi w:val="0"/>
              <w:jc w:val="left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5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Нефрас 80/120 (бензин "Калоша")</w:t>
            </w:r>
          </w:p>
          <w:p>
            <w:pPr>
              <w:pStyle w:val="Normal"/>
              <w:bidi w:val="0"/>
              <w:jc w:val="left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276" w:footer="0" w:bottom="1135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4" w:name="_Toc51339698"/>
      <w:bookmarkStart w:id="25" w:name="_Toc225320218"/>
      <w:bookmarkStart w:id="26" w:name="_Toc75446581"/>
      <w:bookmarkStart w:id="27" w:name="_Toc46743511"/>
      <w:r>
        <w:rPr/>
        <w:t xml:space="preserve">Требования к </w:t>
      </w:r>
      <w:bookmarkEnd w:id="27"/>
      <w:r>
        <w:rPr>
          <w:lang w:val="ru-RU"/>
        </w:rPr>
        <w:t>качеству продукции</w:t>
      </w:r>
      <w:bookmarkEnd w:id="25"/>
      <w:bookmarkEnd w:id="26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8" w:name="_Toc225320219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8"/>
      <w:r>
        <w:rPr>
          <w:sz w:val="24"/>
          <w:szCs w:val="24"/>
        </w:rPr>
        <w:t xml:space="preserve"> </w:t>
      </w:r>
      <w:bookmarkEnd w:id="24"/>
    </w:p>
    <w:p>
      <w:pPr>
        <w:pStyle w:val="Normal"/>
        <w:jc w:val="both"/>
        <w:rPr>
          <w:rStyle w:val="Style8"/>
          <w:b w:val="false"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Наименование продукции (позиция №1-</w:t>
      </w:r>
      <w:r>
        <w:rPr>
          <w:b/>
          <w:bCs/>
          <w:i/>
          <w:iCs/>
          <w:sz w:val="24"/>
          <w:szCs w:val="24"/>
        </w:rPr>
        <w:t xml:space="preserve">8 </w:t>
      </w:r>
      <w:r>
        <w:rPr>
          <w:b/>
          <w:bCs/>
          <w:i/>
          <w:iCs/>
          <w:sz w:val="24"/>
          <w:szCs w:val="24"/>
        </w:rPr>
        <w:t xml:space="preserve">Таблицы 1.): </w:t>
      </w:r>
      <w:r>
        <w:rPr>
          <w:rFonts w:eastAsia="Calibri"/>
          <w:i/>
          <w:sz w:val="24"/>
          <w:szCs w:val="24"/>
          <w:lang w:eastAsia="x-none"/>
        </w:rPr>
        <w:t>Химические материалы на нужды Западных электрических сетей</w:t>
      </w:r>
    </w:p>
    <w:p>
      <w:pPr>
        <w:pStyle w:val="Normal"/>
        <w:jc w:val="both"/>
        <w:rPr>
          <w:rStyle w:val="Style8"/>
          <w:b w:val="false"/>
          <w:iCs/>
          <w:sz w:val="24"/>
          <w:szCs w:val="24"/>
        </w:rPr>
      </w:pPr>
      <w:r>
        <w:rPr/>
      </w:r>
    </w:p>
    <w:tbl>
      <w:tblPr>
        <w:tblStyle w:val="af"/>
        <w:tblW w:w="1531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0"/>
        <w:gridCol w:w="2789"/>
        <w:gridCol w:w="46"/>
        <w:gridCol w:w="4536"/>
        <w:gridCol w:w="2144"/>
        <w:gridCol w:w="2958"/>
        <w:gridCol w:w="1992"/>
      </w:tblGrid>
      <w:tr>
        <w:trPr/>
        <w:tc>
          <w:tcPr>
            <w:tcW w:w="850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835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536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102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992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5" w:type="dxa"/>
            <w:gridSpan w:val="2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53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4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9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92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835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53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14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99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0"/>
              </w:numPr>
              <w:spacing w:before="60" w:after="60"/>
              <w:ind w:left="36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1.</w:t>
            </w:r>
          </w:p>
        </w:tc>
        <w:tc>
          <w:tcPr>
            <w:tcW w:w="7371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4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9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835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eastAsia="ru-RU" w:bidi="ar-SA"/>
              </w:rPr>
              <w:t>Азот особой чистоты 99,999%, 1 сорт</w:t>
            </w:r>
          </w:p>
        </w:tc>
        <w:tc>
          <w:tcPr>
            <w:tcW w:w="4536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eastAsia="ru-RU" w:bidi="ar-SA"/>
              </w:rPr>
              <w:t>Объёмная доля азота — не менее 99,999%</w:t>
              <w:br/>
              <w:t>—Объёмная доля кислорода — не более 0,0005%</w:t>
              <w:br/>
              <w:t>—Содержание масла, механических примесей и влаги — выдерживает испытание</w:t>
              <w:br/>
              <w:t>—Объёмная доля водорода — не более 0,0002%</w:t>
              <w:br/>
              <w:t>—Объемная доля суммы углеродсодержащих соединений в пересчете на СН4 — не более 0,0003%. Объем баллона: 40 л</w:t>
              <w:br/>
              <w:t>Количество в баллоне: 5,7 м</w:t>
            </w:r>
            <w:r>
              <w:rPr>
                <w:rFonts w:eastAsia="Times New Roman" w:cs="Times New Roman"/>
                <w:color w:val="000000"/>
                <w:kern w:val="0"/>
                <w:sz w:val="22"/>
                <w:vertAlign w:val="superscript"/>
                <w:lang w:val="ru-RU" w:eastAsia="ru-RU" w:bidi="ar-SA"/>
              </w:rPr>
              <w:t>3</w:t>
            </w:r>
          </w:p>
        </w:tc>
        <w:tc>
          <w:tcPr>
            <w:tcW w:w="214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99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2835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eastAsia="ru-RU" w:bidi="ar-SA"/>
              </w:rPr>
              <w:t>Элегаз (SF 6)</w:t>
            </w:r>
          </w:p>
        </w:tc>
        <w:tc>
          <w:tcPr>
            <w:tcW w:w="45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eastAsia="ru-RU" w:bidi="ar-SA"/>
              </w:rPr>
              <w:t xml:space="preserve">Массовая доля примесей не более  0,05 % .  Массовая доля гексафторида серы [SF6], не менее 99,99 %. Массовая доля воды, не более  0,0015 % . Массовая доля гидролизуемых фторидов в пересчете на массовую долю фтористого водорода [HF], не более 0,0001 %. Объем баллона: 40 л. </w:t>
            </w:r>
          </w:p>
        </w:tc>
        <w:tc>
          <w:tcPr>
            <w:tcW w:w="2144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i/>
                <w:i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99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835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eastAsia="ru-RU" w:bidi="ar-SA"/>
              </w:rPr>
              <w:t>Силикагель КСКГ</w:t>
            </w:r>
          </w:p>
        </w:tc>
        <w:tc>
          <w:tcPr>
            <w:tcW w:w="45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eastAsia="ru-RU" w:bidi="ar-SA"/>
              </w:rPr>
              <w:t xml:space="preserve">Крупный Силикагель Крупнопористый Гранулированный. Стекловидные прозрачные или матовые зерна овальной, сферической или неправильной формы. Массовая доля зерен при размере зерен 2.8-7.0 мм, %, не менее 94. Механическая прочность, %, не менее 86. Насыпная плотность, г/дм3, не менее 400. Массовая доля потери при высушивании, %, не более 5. </w:t>
            </w:r>
          </w:p>
        </w:tc>
        <w:tc>
          <w:tcPr>
            <w:tcW w:w="2144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99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2835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eastAsia="ru-RU" w:bidi="ar-SA"/>
              </w:rPr>
              <w:t>Силикагель индикаторный</w:t>
            </w:r>
          </w:p>
        </w:tc>
        <w:tc>
          <w:tcPr>
            <w:tcW w:w="45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lang w:val="ru-RU" w:eastAsia="ru-RU" w:bidi="ar-SA"/>
              </w:rPr>
              <w:t>Мелкопористые зерна сферической формы. Цвет: от синего до светло-голубого. Массовая доля зерен размером 3,0–5,00 мм, %, не менее 90. Размер 3-5мм. Диоксид кремния, не менее 95%. Массовая доля потери при высушивании 180 гр С через 2 часа, 2%</w:t>
            </w:r>
          </w:p>
        </w:tc>
        <w:tc>
          <w:tcPr>
            <w:tcW w:w="2144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99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2835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  <w:t>Сорбент крошка для сбора нефтепродуктов Уремикс-913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r>
          </w:p>
        </w:tc>
        <w:tc>
          <w:tcPr>
            <w:tcW w:w="45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  <w:t xml:space="preserve">Cорбент «УРЕМИКС-913» предназначен для сбора разлившихся нефтепродуктов. Сорбент «УРЕМИКС-913» с большой скоростью и в огромных объемах поглощает любые нефтепродукты: от отработанных моторных масел, дизельного топлива, гидравлических жидкостей и растительных масел до таких «сложных» субстанций, как синтетические масла.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  <w:t>Д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  <w:t>ля поглощения 100 кг нефтепродуктов требуется 2,5 кг сорбента «УРЕМИКС-913».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  <w:t>Суперсорбент в виде крошки</w:t>
            </w:r>
          </w:p>
        </w:tc>
        <w:tc>
          <w:tcPr>
            <w:tcW w:w="214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58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992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2835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  <w:t>Аргон газообразный высший сорт 99.993% 40л ГОСТ 10157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r>
          </w:p>
        </w:tc>
        <w:tc>
          <w:tcPr>
            <w:tcW w:w="45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  <w:t xml:space="preserve">Аргон газообразный высший сорт 99.993% 40л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  <w:t>ГОСТ 10157-79. 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  <w:t>Кол-во газа в баллоне, м3: 6,2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  <w:t>Вместимость баллона, дм3: 40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  <w:t>Давление в баллоне при темп.20ºC, МПа: 14,7±0,5 МПа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  <w:t>Аргон, %, не менее: 99,993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  <w:t>Кислород, % не более:</w:t>
              <w:tab/>
              <w:t>0,0007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  <w:t>Объемная доля суммы углеродсодержащих соединений в пересчете на СО 2 ,% не более: 0,0005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  <w:t>Азот, % не более: 0,005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  <w:t>Влага, при н.у. млн. ˉ¹ , % не более: 0,0009</w:t>
            </w:r>
          </w:p>
        </w:tc>
        <w:tc>
          <w:tcPr>
            <w:tcW w:w="214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58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992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2835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  <w:t>Пропан сжиженный 50л баллон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r>
          </w:p>
        </w:tc>
        <w:tc>
          <w:tcPr>
            <w:tcW w:w="45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76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  <w:t>Пропан ГОСТ Р 52087-2018</w:t>
            </w:r>
          </w:p>
          <w:p>
            <w:pPr>
              <w:pStyle w:val="Normal"/>
              <w:spacing w:lineRule="auto" w:line="276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  <w:t>Химич.формула - С3Н8</w:t>
            </w:r>
          </w:p>
          <w:p>
            <w:pPr>
              <w:pStyle w:val="Normal"/>
              <w:spacing w:lineRule="auto" w:line="276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  <w:t>Молекулярный вес - 44</w:t>
            </w:r>
          </w:p>
          <w:p>
            <w:pPr>
              <w:pStyle w:val="Normal"/>
              <w:spacing w:lineRule="auto" w:line="276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  <w:t>Удельный вес - 0,510кг/л</w:t>
            </w:r>
          </w:p>
          <w:p>
            <w:pPr>
              <w:pStyle w:val="Normal"/>
              <w:spacing w:lineRule="auto" w:line="276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  <w:t>Точка кипения - (-43 Сº)</w:t>
            </w:r>
          </w:p>
          <w:p>
            <w:pPr>
              <w:pStyle w:val="Normal"/>
              <w:spacing w:lineRule="auto" w:line="276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  <w:t>Минимальная теплопроводная способность -11070Ккал/кг</w:t>
            </w:r>
          </w:p>
          <w:p>
            <w:pPr>
              <w:pStyle w:val="Normal"/>
              <w:spacing w:lineRule="auto" w:line="276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  <w:t>Температура зажигания - 510 Сº на воздухе</w:t>
            </w:r>
          </w:p>
          <w:p>
            <w:pPr>
              <w:pStyle w:val="Normal"/>
              <w:spacing w:lineRule="auto" w:line="276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  <w:t>Пределы зажигания в % от объема - от 2,1-9,5</w:t>
            </w:r>
          </w:p>
          <w:p>
            <w:pPr>
              <w:pStyle w:val="Normal"/>
              <w:spacing w:lineRule="auto" w:line="276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  <w:t>Объем, куб.м (при темп. 0 °С и дав. 1 атм) - 9</w:t>
            </w:r>
          </w:p>
          <w:p>
            <w:pPr>
              <w:pStyle w:val="Normal"/>
              <w:spacing w:lineRule="auto" w:line="276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  <w:t>Вес, кг</w:t>
              <w:tab/>
              <w:t>50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r>
          </w:p>
        </w:tc>
        <w:tc>
          <w:tcPr>
            <w:tcW w:w="214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58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992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2835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Нефрас 80/120 (бензин "Калоша")</w:t>
            </w:r>
          </w:p>
          <w:p>
            <w:pPr>
              <w:pStyle w:val="Normal"/>
              <w:bidi w:val="0"/>
              <w:jc w:val="left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</w:r>
          </w:p>
        </w:tc>
        <w:tc>
          <w:tcPr>
            <w:tcW w:w="45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8"/>
                <w:lang w:val="ru-RU" w:eastAsia="ru-RU" w:bidi="ar-SA"/>
              </w:rPr>
              <w:t>Высший сорт ТУ 38.401-67-108-92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Прозрачная, слегка желтоватая жидкость. Не содержит взвешенных и осевших на дно посторонних примесей, в том числе воды.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Применение: в качестве растворителя в резинотехнической и латексной промышленности, а также в качестве обезжиривающего растворителя, для промывки деталей электрооборудования, тканей перед покраской.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Плотность, г/см3, не более 0,700</w:t>
            </w:r>
          </w:p>
          <w:p>
            <w:pPr>
              <w:pStyle w:val="ListParagraph"/>
              <w:widowControl/>
              <w:spacing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Фракционный состав: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температура начала перегонки, °С,не ниже 80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до 110 °С, перегоняется, %, не менее 98;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до 120°С перегоняется, %, не менее –;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остаток в колбе после перегонки, %,               не более 1,0;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Бромное число, г брома на 100 см3 бензина, не более 0,08;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Массовая доля ароматических углеводородов, %, не более 1,5;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Содержание меркаптановой серы-отсутствие;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Массовая доля серы, %, не более 0,018;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Содержание водорастворимых кислот и щелочей – отсутствие;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Содержание механических примесей и воды -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отсутствие;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Испытание на образование масляного пятна – выдерживает;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Содержание тетраэтилсвинца – отсутствие.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Фасовка: канистра – 10 л.</w:t>
            </w:r>
          </w:p>
        </w:tc>
        <w:tc>
          <w:tcPr>
            <w:tcW w:w="214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58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992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371" w:type="dxa"/>
            <w:gridSpan w:val="3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качеству поставляемой продукции:</w:t>
            </w:r>
          </w:p>
        </w:tc>
        <w:tc>
          <w:tcPr>
            <w:tcW w:w="2144" w:type="dxa"/>
            <w:tcBorders/>
            <w:vAlign w:val="center"/>
          </w:tcPr>
          <w:p>
            <w:pPr>
              <w:pStyle w:val="Normal"/>
              <w:widowControl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58" w:type="dxa"/>
            <w:tcBorders/>
            <w:vAlign w:val="center"/>
          </w:tcPr>
          <w:p>
            <w:pPr>
              <w:pStyle w:val="Normal"/>
              <w:widowControl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92" w:type="dxa"/>
            <w:tcBorders/>
            <w:vAlign w:val="center"/>
          </w:tcPr>
          <w:p>
            <w:pPr>
              <w:pStyle w:val="Normal"/>
              <w:widowControl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60" w:after="60"/>
              <w:ind w:left="432" w:hanging="432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rFonts w:cs="Times New Roman"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789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left"/>
              <w:rPr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Требование к качеству</w:t>
            </w:r>
            <w:r>
              <w:rPr>
                <w:rFonts w:eastAsia="Times New Roman" w:cs="Times New Roman"/>
                <w:iCs/>
                <w:kern w:val="0"/>
                <w:sz w:val="20"/>
                <w:szCs w:val="22"/>
                <w:lang w:val="ru-RU" w:eastAsia="ru-RU" w:bidi="ar-SA"/>
              </w:rPr>
              <w:t xml:space="preserve"> </w:t>
            </w:r>
          </w:p>
        </w:tc>
        <w:tc>
          <w:tcPr>
            <w:tcW w:w="4582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Продукция должна быть новая, ранее не используемая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before="0" w:after="0"/>
              <w:contextualSpacing/>
              <w:jc w:val="both"/>
              <w:rPr>
                <w:strike/>
                <w:sz w:val="22"/>
                <w:szCs w:val="20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lang w:val="ru-RU" w:eastAsia="ru-RU" w:bidi="ar-SA"/>
              </w:rPr>
              <w:t>(Под новым следует понимать продукцию, которая не была в употреблении, не приходила ремонт, в том числе восстановление, замену составных частей, восстановление потребительских свойств).</w:t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58" w:type="dxa"/>
            <w:tcBorders/>
          </w:tcPr>
          <w:p>
            <w:pPr>
              <w:pStyle w:val="Normal"/>
              <w:widowControl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992" w:type="dxa"/>
            <w:tcBorders/>
          </w:tcPr>
          <w:p>
            <w:pPr>
              <w:pStyle w:val="Normal"/>
              <w:widowControl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60" w:after="60"/>
              <w:ind w:left="432" w:hanging="432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rFonts w:cs="Times New Roman"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78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iCs/>
                <w:sz w:val="24"/>
                <w:szCs w:val="20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 xml:space="preserve">Год выпуска продукции (оборудования) </w:t>
            </w:r>
          </w:p>
        </w:tc>
        <w:tc>
          <w:tcPr>
            <w:tcW w:w="4582" w:type="dxa"/>
            <w:gridSpan w:val="2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uppressAutoHyphens w:val="true"/>
              <w:spacing w:before="0" w:after="0"/>
              <w:contextualSpacing/>
              <w:jc w:val="center"/>
              <w:rPr>
                <w:sz w:val="24"/>
                <w:szCs w:val="20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2026-2027 гг.</w:t>
            </w:r>
          </w:p>
        </w:tc>
        <w:tc>
          <w:tcPr>
            <w:tcW w:w="2144" w:type="dxa"/>
            <w:tcBorders/>
          </w:tcPr>
          <w:p>
            <w:pPr>
              <w:pStyle w:val="Normal"/>
              <w:widowControl/>
              <w:spacing w:before="60" w:after="60"/>
              <w:jc w:val="left"/>
              <w:rPr>
                <w:sz w:val="24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58" w:type="dxa"/>
            <w:tcBorders/>
          </w:tcPr>
          <w:p>
            <w:pPr>
              <w:pStyle w:val="Normal"/>
              <w:widowControl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992" w:type="dxa"/>
            <w:tcBorders/>
          </w:tcPr>
          <w:p>
            <w:pPr>
              <w:pStyle w:val="Normal"/>
              <w:widowControl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371" w:type="dxa"/>
            <w:gridSpan w:val="3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 перемещению, условиям хранения.</w:t>
            </w:r>
          </w:p>
        </w:tc>
        <w:tc>
          <w:tcPr>
            <w:tcW w:w="2144" w:type="dxa"/>
            <w:tcBorders/>
            <w:vAlign w:val="center"/>
          </w:tcPr>
          <w:p>
            <w:pPr>
              <w:pStyle w:val="Normal"/>
              <w:widowControl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58" w:type="dxa"/>
            <w:tcBorders/>
            <w:vAlign w:val="center"/>
          </w:tcPr>
          <w:p>
            <w:pPr>
              <w:pStyle w:val="Normal"/>
              <w:widowControl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92" w:type="dxa"/>
            <w:tcBorders/>
            <w:vAlign w:val="center"/>
          </w:tcPr>
          <w:p>
            <w:pPr>
              <w:pStyle w:val="Normal"/>
              <w:widowControl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35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453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филиал Западные электрические сети ЗЭС ПАО "Якутскэнерго", 678170, Республика Саха (Якутия), г.Мирный, Ленинградский пр., 5/2</w:t>
            </w:r>
          </w:p>
        </w:tc>
        <w:tc>
          <w:tcPr>
            <w:tcW w:w="214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2"/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5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92" w:type="dxa"/>
            <w:tcBorders/>
            <w:vAlign w:val="center"/>
          </w:tcPr>
          <w:p>
            <w:pPr>
              <w:pStyle w:val="Style27"/>
              <w:keepNext w:val="false"/>
              <w:widowControl/>
              <w:numPr>
                <w:ilvl w:val="0"/>
                <w:numId w:val="0"/>
              </w:numPr>
              <w:spacing w:before="0" w:after="6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35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Условия транспортирования</w:t>
            </w:r>
          </w:p>
        </w:tc>
        <w:tc>
          <w:tcPr>
            <w:tcW w:w="453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ГОСТ 15150-69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5(ОЖ4). Обоснование: транспортировка в район Крайнего Севера</w:t>
            </w:r>
          </w:p>
        </w:tc>
        <w:tc>
          <w:tcPr>
            <w:tcW w:w="2144" w:type="dxa"/>
            <w:tcBorders/>
            <w:vAlign w:val="center"/>
          </w:tcPr>
          <w:p>
            <w:pPr>
              <w:pStyle w:val="Style27"/>
              <w:keepNext w:val="false"/>
              <w:widowControl/>
              <w:numPr>
                <w:ilvl w:val="0"/>
                <w:numId w:val="0"/>
              </w:numPr>
              <w:spacing w:before="0" w:after="60"/>
              <w:jc w:val="left"/>
              <w:outlineLvl w:val="2"/>
              <w:rPr>
                <w:rFonts w:eastAsia="Times New Roman"/>
                <w:b w:val="false"/>
                <w:sz w:val="22"/>
                <w:lang w:val="ru-RU" w:eastAsia="ru-RU"/>
              </w:rPr>
            </w:pPr>
            <w:bookmarkStart w:id="29" w:name="_Toc225320220"/>
            <w:bookmarkStart w:id="30" w:name="_Toc200446770"/>
            <w:bookmarkStart w:id="31" w:name="_Toc199338447"/>
            <w:bookmarkStart w:id="32" w:name="_Toc199336648"/>
            <w:bookmarkStart w:id="33" w:name="_Toc161745547"/>
            <w:r>
              <w:rPr>
                <w:rFonts w:eastAsia="Times New Roman" w:cs="Times New Roman"/>
                <w:b w:val="false"/>
                <w:kern w:val="0"/>
                <w:sz w:val="22"/>
                <w:szCs w:val="20"/>
                <w:lang w:val="ru-RU" w:eastAsia="ru-RU" w:bidi="ar-SA"/>
              </w:rPr>
              <w:t>Согласие с требованием</w:t>
            </w:r>
            <w:bookmarkEnd w:id="29"/>
            <w:bookmarkEnd w:id="30"/>
            <w:bookmarkEnd w:id="31"/>
            <w:bookmarkEnd w:id="32"/>
            <w:bookmarkEnd w:id="33"/>
          </w:p>
        </w:tc>
        <w:tc>
          <w:tcPr>
            <w:tcW w:w="29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92" w:type="dxa"/>
            <w:tcBorders/>
            <w:vAlign w:val="center"/>
          </w:tcPr>
          <w:p>
            <w:pPr>
              <w:pStyle w:val="Style27"/>
              <w:keepNext w:val="false"/>
              <w:widowControl/>
              <w:numPr>
                <w:ilvl w:val="0"/>
                <w:numId w:val="0"/>
              </w:numPr>
              <w:spacing w:before="0" w:after="60"/>
              <w:jc w:val="left"/>
              <w:outlineLvl w:val="2"/>
              <w:rPr>
                <w:b w:val="false"/>
                <w:lang w:val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/>
              <w:spacing w:before="60" w:after="60"/>
              <w:ind w:left="25" w:hanging="0"/>
              <w:contextualSpacing/>
              <w:jc w:val="left"/>
              <w:rPr>
                <w:b/>
              </w:rPr>
            </w:pPr>
            <w:r>
              <w:rPr>
                <w:rFonts w:cs="Times New Roman"/>
                <w:b/>
                <w:kern w:val="0"/>
                <w:lang w:val="ru-RU" w:eastAsia="ru-RU" w:bidi="ar-SA"/>
              </w:rPr>
              <w:t>4.</w:t>
            </w:r>
          </w:p>
        </w:tc>
        <w:tc>
          <w:tcPr>
            <w:tcW w:w="7371" w:type="dxa"/>
            <w:gridSpan w:val="3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технических требований, предоставляет следующие документы: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Техническое предложение, подготовленное в соответствии с настоящими ТТ по форме, представленной в документации о закупке. При описании продукции Участник обязан подтвердить соответствие поставляемой продукции требованиям в отношении всех показателей, которые установлены в ТТ. При этом должны указываться точные и не допускающие двусмысленного толкования показатели;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Отсканированную копию (полный текст) ТУ (технических условий).</w:t>
            </w:r>
          </w:p>
        </w:tc>
        <w:tc>
          <w:tcPr>
            <w:tcW w:w="2144" w:type="dxa"/>
            <w:tcBorders/>
          </w:tcPr>
          <w:p>
            <w:pPr>
              <w:pStyle w:val="Style27"/>
              <w:keepNext w:val="false"/>
              <w:widowControl/>
              <w:numPr>
                <w:ilvl w:val="0"/>
                <w:numId w:val="0"/>
              </w:numPr>
              <w:spacing w:before="0" w:after="60"/>
              <w:jc w:val="left"/>
              <w:outlineLvl w:val="2"/>
              <w:rPr>
                <w:b w:val="false"/>
                <w:sz w:val="22"/>
              </w:rPr>
            </w:pPr>
            <w:bookmarkStart w:id="34" w:name="_Toc225320221"/>
            <w:bookmarkStart w:id="35" w:name="_Toc200446771"/>
            <w:bookmarkStart w:id="36" w:name="_Toc199338448"/>
            <w:bookmarkStart w:id="37" w:name="_Toc199336649"/>
            <w:r>
              <w:rPr>
                <w:rFonts w:eastAsia="Times New Roman" w:cs="Times New Roman"/>
                <w:b w:val="false"/>
                <w:kern w:val="0"/>
                <w:sz w:val="22"/>
                <w:szCs w:val="20"/>
                <w:lang w:val="ru-RU" w:eastAsia="ru-RU" w:bidi="ar-SA"/>
              </w:rPr>
              <w:t>Предоставление подтверждающего документа</w:t>
            </w:r>
            <w:bookmarkEnd w:id="34"/>
            <w:bookmarkEnd w:id="35"/>
            <w:bookmarkEnd w:id="36"/>
            <w:bookmarkEnd w:id="37"/>
          </w:p>
        </w:tc>
        <w:tc>
          <w:tcPr>
            <w:tcW w:w="29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92" w:type="dxa"/>
            <w:tcBorders/>
            <w:vAlign w:val="center"/>
          </w:tcPr>
          <w:p>
            <w:pPr>
              <w:pStyle w:val="Style27"/>
              <w:keepNext w:val="false"/>
              <w:widowControl/>
              <w:numPr>
                <w:ilvl w:val="0"/>
                <w:numId w:val="0"/>
              </w:numPr>
              <w:spacing w:before="0" w:after="60"/>
              <w:jc w:val="left"/>
              <w:outlineLvl w:val="2"/>
              <w:rPr>
                <w:b w:val="false"/>
                <w:lang w:val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left"/>
              <w:rPr>
                <w:b/>
                <w:sz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lang w:val="ru-RU" w:eastAsia="ru-RU" w:bidi="ar-SA"/>
              </w:rPr>
              <w:t>5.</w:t>
            </w:r>
          </w:p>
        </w:tc>
        <w:tc>
          <w:tcPr>
            <w:tcW w:w="7371" w:type="dxa"/>
            <w:gridSpan w:val="3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4"/>
                <w:szCs w:val="24"/>
                <w:lang w:val="ru-RU" w:eastAsia="ru-RU" w:bidi="ar-SA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144" w:type="dxa"/>
            <w:tcBorders/>
            <w:vAlign w:val="center"/>
          </w:tcPr>
          <w:p>
            <w:pPr>
              <w:pStyle w:val="Style27"/>
              <w:keepNext w:val="false"/>
              <w:widowControl/>
              <w:numPr>
                <w:ilvl w:val="0"/>
                <w:numId w:val="0"/>
              </w:numPr>
              <w:spacing w:before="0" w:after="60"/>
              <w:jc w:val="left"/>
              <w:outlineLvl w:val="2"/>
              <w:rPr>
                <w:b w:val="false"/>
                <w:sz w:val="22"/>
              </w:rPr>
            </w:pPr>
            <w:r>
              <w:rPr>
                <w:rFonts w:eastAsia="Times New Roman" w:cs="Times New Roman"/>
                <w:b w:val="false"/>
                <w:kern w:val="0"/>
                <w:sz w:val="22"/>
                <w:szCs w:val="20"/>
                <w:lang w:val="ru-RU" w:eastAsia="ru-RU" w:bidi="ar-SA"/>
              </w:rPr>
            </w:r>
          </w:p>
        </w:tc>
        <w:tc>
          <w:tcPr>
            <w:tcW w:w="29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92" w:type="dxa"/>
            <w:tcBorders/>
            <w:vAlign w:val="center"/>
          </w:tcPr>
          <w:p>
            <w:pPr>
              <w:pStyle w:val="Style27"/>
              <w:keepNext w:val="false"/>
              <w:widowControl/>
              <w:numPr>
                <w:ilvl w:val="0"/>
                <w:numId w:val="0"/>
              </w:numPr>
              <w:spacing w:before="0" w:after="60"/>
              <w:jc w:val="left"/>
              <w:outlineLvl w:val="2"/>
              <w:rPr>
                <w:b w:val="false"/>
                <w:lang w:val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  <w:t>5.1</w:t>
            </w:r>
          </w:p>
        </w:tc>
        <w:tc>
          <w:tcPr>
            <w:tcW w:w="2835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поз. №1-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8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Таблицы 1. «Перечень и объем закупаемого товара»</w:t>
            </w:r>
          </w:p>
        </w:tc>
        <w:tc>
          <w:tcPr>
            <w:tcW w:w="453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2144" w:type="dxa"/>
            <w:tcBorders/>
            <w:vAlign w:val="center"/>
          </w:tcPr>
          <w:p>
            <w:pPr>
              <w:pStyle w:val="Style27"/>
              <w:keepNext w:val="false"/>
              <w:widowControl/>
              <w:numPr>
                <w:ilvl w:val="0"/>
                <w:numId w:val="0"/>
              </w:numPr>
              <w:spacing w:before="0" w:after="60"/>
              <w:jc w:val="left"/>
              <w:outlineLvl w:val="2"/>
              <w:rPr>
                <w:b w:val="false"/>
                <w:sz w:val="22"/>
              </w:rPr>
            </w:pPr>
            <w:bookmarkStart w:id="38" w:name="_Toc225320222"/>
            <w:bookmarkStart w:id="39" w:name="_Toc200446772"/>
            <w:bookmarkStart w:id="40" w:name="_Toc199338449"/>
            <w:bookmarkStart w:id="41" w:name="_Toc199336650"/>
            <w:r>
              <w:rPr>
                <w:rFonts w:eastAsia="Times New Roman" w:cs="Arial"/>
                <w:b w:val="false"/>
                <w:kern w:val="0"/>
                <w:sz w:val="20"/>
                <w:szCs w:val="20"/>
                <w:lang w:val="ru-RU" w:eastAsia="ru-RU" w:bidi="ar-SA"/>
              </w:rPr>
              <w:t>Указание наименования реестра и номер реестровой записи в Форме Коммерческого предложения и Структуры НМЦ</w:t>
            </w:r>
            <w:bookmarkEnd w:id="38"/>
            <w:bookmarkEnd w:id="39"/>
            <w:bookmarkEnd w:id="40"/>
            <w:bookmarkEnd w:id="41"/>
          </w:p>
        </w:tc>
        <w:tc>
          <w:tcPr>
            <w:tcW w:w="29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</w:tc>
        <w:tc>
          <w:tcPr>
            <w:tcW w:w="1992" w:type="dxa"/>
            <w:tcBorders/>
            <w:vAlign w:val="center"/>
          </w:tcPr>
          <w:p>
            <w:pPr>
              <w:pStyle w:val="Style27"/>
              <w:keepNext w:val="false"/>
              <w:widowControl/>
              <w:numPr>
                <w:ilvl w:val="0"/>
                <w:numId w:val="0"/>
              </w:numPr>
              <w:spacing w:before="0" w:after="60"/>
              <w:jc w:val="left"/>
              <w:outlineLvl w:val="2"/>
              <w:rPr>
                <w:b w:val="false"/>
                <w:lang w:val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rPr>
          <w:rFonts w:eastAsia="Calibri"/>
          <w:b/>
          <w:iCs/>
          <w:sz w:val="22"/>
          <w:lang w:eastAsia="x-none"/>
        </w:rPr>
      </w:pPr>
      <w:r>
        <w:rPr>
          <w:rFonts w:eastAsia="Calibri"/>
          <w:b/>
          <w:iCs/>
          <w:sz w:val="22"/>
          <w:lang w:eastAsia="x-none"/>
        </w:rPr>
      </w:r>
    </w:p>
    <w:p>
      <w:pPr>
        <w:pStyle w:val="Normal"/>
        <w:rPr>
          <w:rFonts w:eastAsia="Calibri"/>
          <w:b/>
          <w:iCs/>
          <w:sz w:val="22"/>
          <w:lang w:eastAsia="x-none"/>
        </w:rPr>
      </w:pPr>
      <w:r>
        <w:rPr>
          <w:rFonts w:eastAsia="Calibri"/>
          <w:b/>
          <w:iCs/>
          <w:sz w:val="22"/>
          <w:lang w:eastAsia="x-none"/>
        </w:rPr>
      </w:r>
    </w:p>
    <w:p>
      <w:pPr>
        <w:pStyle w:val="Normal"/>
        <w:rPr>
          <w:rFonts w:eastAsia="Calibri"/>
          <w:b/>
          <w:iCs/>
          <w:sz w:val="22"/>
          <w:lang w:eastAsia="x-none"/>
        </w:rPr>
      </w:pPr>
      <w:r>
        <w:rPr/>
      </w:r>
    </w:p>
    <w:p>
      <w:pPr>
        <w:pStyle w:val="Normal"/>
        <w:spacing w:before="40" w:after="120"/>
        <w:ind w:right="-28" w:hanging="0"/>
        <w:jc w:val="both"/>
        <w:rPr>
          <w:b/>
          <w:bCs/>
          <w:i/>
          <w:i/>
          <w:iCs/>
          <w:sz w:val="22"/>
          <w:szCs w:val="22"/>
        </w:rPr>
      </w:pPr>
      <w:r>
        <w:rPr/>
      </w:r>
      <w:bookmarkStart w:id="42" w:name="_Ref40301253"/>
      <w:bookmarkStart w:id="43" w:name="_Ref40301253"/>
      <w:bookmarkEnd w:id="43"/>
    </w:p>
    <w:sectPr>
      <w:headerReference w:type="default" r:id="rId5"/>
      <w:headerReference w:type="first" r:id="rId6"/>
      <w:type w:val="nextPage"/>
      <w:pgSz w:orient="landscape" w:w="16838" w:h="11906"/>
      <w:pgMar w:left="992" w:right="1134" w:gutter="0" w:header="680" w:top="737" w:footer="0" w:bottom="993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basedOn w:val="DefaultParagraphFont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3" w:customStyle="1">
    <w:name w:val="List 3"/>
    <w:basedOn w:val="Normal"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CD117-5685-46D3-943C-38D26DED4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2791</TotalTime>
  <Application>AlterOffice/3.4.0.9$Linux_X86_64 LibreOffice_project/b8daf9e823b1a5463a2f48435ddc2e8696e7d4fc</Application>
  <AppVersion>15.0000</AppVersion>
  <Pages>10</Pages>
  <Words>1404</Words>
  <Characters>9005</Characters>
  <CharactersWithSpaces>10187</CharactersWithSpaces>
  <Paragraphs>257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2023-02-28T01:07:00Z</dcterms:created>
  <dc:creator>Быстров Олег Геннадьевич</dc:creator>
  <dc:description/>
  <dc:language>ru-RU</dc:language>
  <cp:lastModifiedBy>shmelevamg</cp:lastModifiedBy>
  <cp:lastPrinted>2023-06-08T02:05:00Z</cp:lastPrinted>
  <dcterms:modified xsi:type="dcterms:W3CDTF">2026-05-19T15:37:27Z</dcterms:modified>
  <cp:revision>58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