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6.xml" ContentType="application/vnd.openxmlformats-officedocument.wordprocessingml.header+xml"/>
  <Override PartName="/word/fontTable.xml" ContentType="application/vnd.openxmlformats-officedocument.wordprocessingml.fontTabl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hanging="0"/>
        <w:jc w:val="center"/>
        <w:rPr>
          <w:b/>
          <w:bCs/>
          <w:sz w:val="24"/>
          <w:szCs w:val="24"/>
        </w:rPr>
      </w:pPr>
      <w:r>
        <w:rPr>
          <w:b/>
          <w:bCs/>
          <w:sz w:val="24"/>
          <w:szCs w:val="24"/>
        </w:rPr>
        <w:t>Договор поставки</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bCs/>
          <w:spacing w:val="4"/>
          <w:sz w:val="24"/>
          <w:szCs w:val="24"/>
        </w:rPr>
        <w:t>Акционерное общество «Дальневосточная распределительная сетевая компания» (АО «ДРСК»)</w:t>
      </w:r>
      <w:r>
        <w:rPr>
          <w:spacing w:val="4"/>
          <w:sz w:val="24"/>
          <w:szCs w:val="24"/>
        </w:rPr>
        <w:t xml:space="preserve"> (далее – «Покупатель»), в лице директора филиала АО «ДРСК» «ЭС ЕАО» </w:t>
      </w:r>
      <w:r>
        <w:rPr>
          <w:b/>
          <w:bCs/>
          <w:spacing w:val="4"/>
          <w:sz w:val="24"/>
          <w:szCs w:val="24"/>
        </w:rPr>
        <w:t>Демьянова Антона Васильевича</w:t>
      </w:r>
      <w:r>
        <w:rPr>
          <w:spacing w:val="4"/>
          <w:sz w:val="24"/>
          <w:szCs w:val="24"/>
        </w:rPr>
        <w:t xml:space="preserve">, действующего на основании доверенности от 01.01.2026г. №8, с одной стороны, и </w:t>
      </w:r>
      <w:r>
        <w:rPr>
          <w:spacing w:val="10"/>
          <w:sz w:val="24"/>
          <w:szCs w:val="24"/>
        </w:rPr>
        <w:t xml:space="preserve"> </w:t>
      </w:r>
    </w:p>
    <w:p>
      <w:pPr>
        <w:pStyle w:val="Normal"/>
        <w:ind w:firstLine="709"/>
        <w:jc w:val="both"/>
        <w:rPr>
          <w:sz w:val="24"/>
          <w:szCs w:val="24"/>
        </w:rPr>
      </w:pPr>
      <w:r>
        <w:rPr>
          <w:b/>
          <w:spacing w:val="10"/>
          <w:sz w:val="24"/>
          <w:szCs w:val="24"/>
        </w:rPr>
        <w:t xml:space="preserve">Общество с ограниченной ответственностью «______________» </w:t>
      </w:r>
      <w:r>
        <w:rPr>
          <w:sz w:val="24"/>
          <w:szCs w:val="24"/>
        </w:rPr>
        <w:t xml:space="preserve">(далее – «Поставщик»), в лице директора </w:t>
      </w:r>
      <w:r>
        <w:rPr>
          <w:b/>
          <w:bCs/>
          <w:sz w:val="24"/>
          <w:szCs w:val="24"/>
        </w:rPr>
        <w:t>__________________</w:t>
      </w:r>
      <w:r>
        <w:rPr>
          <w:sz w:val="24"/>
          <w:szCs w:val="24"/>
        </w:rPr>
        <w:t xml:space="preserve">, действующего на основании Устава,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shd w:fill="FFFFFF" w:val="clear"/>
          <w:lang w:eastAsia="en-US"/>
        </w:rPr>
        <w:t>по результатам проведенной Покупателем конкурентной процедуры по лоту № _____ и на основании Аналитической записки от «  » _______2026 г. № ____,</w:t>
      </w:r>
    </w:p>
    <w:p>
      <w:pPr>
        <w:pStyle w:val="Normal"/>
        <w:ind w:firstLine="709"/>
        <w:jc w:val="both"/>
        <w:rPr>
          <w:spacing w:val="10"/>
          <w:sz w:val="24"/>
          <w:szCs w:val="24"/>
        </w:rPr>
      </w:pPr>
      <w:r>
        <w:rPr>
          <w:spacing w:val="10"/>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false"/>
        <w:ind w:firstLine="709" w:lef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overflowPunct w:val="false"/>
        <w:ind w:firstLine="709" w:left="0"/>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overflowPunct w:val="false"/>
        <w:ind w:firstLine="709" w:lef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false"/>
        <w:ind w:firstLine="709" w:lef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overflowPunct w:val="false"/>
        <w:ind w:firstLine="709" w:lef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по количеству, </w:t>
      </w:r>
      <w:r>
        <w:rPr>
          <w:sz w:val="24"/>
          <w:szCs w:val="24"/>
          <w:shd w:fill="auto" w:val="clear"/>
          <w:lang w:eastAsia="en-US"/>
        </w:rPr>
        <w:t>качеству и комплектности.</w:t>
      </w:r>
    </w:p>
    <w:p>
      <w:pPr>
        <w:pStyle w:val="ListParagraph"/>
        <w:shd w:val="clear" w:color="auto" w:fill="FFFFFF"/>
        <w:tabs>
          <w:tab w:val="clear" w:pos="708"/>
          <w:tab w:val="left" w:pos="0" w:leader="none"/>
        </w:tabs>
        <w:overflowPunct w:val="false"/>
        <w:ind w:firstLine="709" w:left="0"/>
        <w:jc w:val="both"/>
        <w:textAlignment w:val="baseline"/>
        <w:rPr>
          <w:highlight w:val="none"/>
          <w:shd w:fill="auto" w:val="clear"/>
        </w:rPr>
      </w:pPr>
      <w:r>
        <w:rPr>
          <w:rFonts w:ascii="Liberation Serif" w:hAnsi="Liberation Serif"/>
          <w:b w:val="false"/>
          <w:bCs w:val="false"/>
          <w:i w:val="false"/>
          <w:iCs w:val="false"/>
          <w:caps w:val="false"/>
          <w:smallCaps w:val="false"/>
          <w:sz w:val="24"/>
          <w:szCs w:val="24"/>
          <w:shd w:fill="auto" w:val="clear"/>
          <w:lang w:eastAsia="en-US"/>
        </w:rPr>
        <w:t>При использовании Сторонами электронного документооборота, Стороны по договору вместо ТОРГ-12  оформляют УПД</w:t>
      </w:r>
      <w:r>
        <w:rPr>
          <w:rStyle w:val="FootnoteReference"/>
          <w:rFonts w:ascii="Liberation Serif" w:hAnsi="Liberation Serif"/>
          <w:b w:val="false"/>
          <w:bCs w:val="false"/>
          <w:i w:val="false"/>
          <w:iCs w:val="false"/>
          <w:caps w:val="false"/>
          <w:smallCaps w:val="false"/>
          <w:sz w:val="24"/>
          <w:szCs w:val="24"/>
          <w:shd w:fill="auto" w:val="clear"/>
          <w:lang w:eastAsia="en-US"/>
        </w:rPr>
        <w:footnoteReference w:id="2"/>
      </w:r>
      <w:r>
        <w:rPr>
          <w:rFonts w:ascii="Liberation Serif" w:hAnsi="Liberation Serif"/>
          <w:b w:val="false"/>
          <w:bCs w:val="false"/>
          <w:i w:val="false"/>
          <w:iCs w:val="false"/>
          <w:caps w:val="false"/>
          <w:smallCaps w:val="false"/>
          <w:sz w:val="24"/>
          <w:szCs w:val="24"/>
          <w:shd w:fill="auto" w:val="clear"/>
          <w:lang w:eastAsia="en-US"/>
        </w:rPr>
        <w:t>. В этом случае условия Договора в отношении ТОРГ-12 применяются в равной степени к УПД.</w:t>
      </w:r>
    </w:p>
    <w:p>
      <w:pPr>
        <w:pStyle w:val="ListParagraph"/>
        <w:shd w:val="clear" w:color="auto" w:fill="FFFFFF"/>
        <w:tabs>
          <w:tab w:val="clear" w:pos="708"/>
          <w:tab w:val="left" w:pos="0" w:leader="none"/>
        </w:tabs>
        <w:overflowPunct w:val="false"/>
        <w:ind w:firstLine="709" w:left="0"/>
        <w:jc w:val="both"/>
        <w:textAlignment w:val="baseline"/>
        <w:rPr>
          <w:sz w:val="24"/>
          <w:szCs w:val="24"/>
          <w:lang w:eastAsia="en-US"/>
        </w:rPr>
      </w:pPr>
      <w:r>
        <w:rPr>
          <w:b/>
          <w:sz w:val="24"/>
          <w:szCs w:val="24"/>
          <w:shd w:fill="auto" w:val="clear"/>
          <w:lang w:eastAsia="en-US"/>
        </w:rPr>
        <w:t xml:space="preserve">«Отказ от Договора» </w:t>
      </w:r>
      <w:r>
        <w:rPr>
          <w:sz w:val="24"/>
          <w:szCs w:val="24"/>
          <w:shd w:fill="auto" w:val="clear"/>
          <w:lang w:eastAsia="en-US"/>
        </w:rPr>
        <w:t>– односторонний внесудебный отказ от исполнения Договора, совершенный Стороной в соответствии со статьей 450.1 ГК</w:t>
      </w:r>
      <w:r>
        <w:rPr>
          <w:sz w:val="24"/>
          <w:szCs w:val="24"/>
          <w:lang w:eastAsia="en-US"/>
        </w:rPr>
        <w:t xml:space="preserve"> РФ в случаях, установленных Договором. </w:t>
      </w:r>
    </w:p>
    <w:p>
      <w:pPr>
        <w:pStyle w:val="Heading3"/>
        <w:keepNext w:val="false"/>
        <w:tabs>
          <w:tab w:val="clear" w:pos="708"/>
          <w:tab w:val="left" w:pos="0" w:leader="none"/>
        </w:tabs>
        <w:overflowPunct w:val="false"/>
        <w:spacing w:before="0" w:after="0"/>
        <w:ind w:firstLine="709"/>
        <w:jc w:val="both"/>
        <w:textAlignment w:val="baseline"/>
        <w:rPr>
          <w:rFonts w:ascii="Times New Roman" w:hAnsi="Times New Roman"/>
          <w:b w:val="false"/>
          <w:color w:val="00000A"/>
          <w:sz w:val="24"/>
          <w:szCs w:val="24"/>
          <w:lang w:val="ru-RU" w:eastAsia="en-US"/>
        </w:rPr>
      </w:pPr>
      <w:r>
        <w:rPr>
          <w:rFonts w:ascii="Times New Roman" w:hAnsi="Times New Roman"/>
          <w:color w:val="00000A"/>
          <w:sz w:val="24"/>
          <w:szCs w:val="24"/>
          <w:lang w:eastAsia="en-US"/>
        </w:rPr>
        <w:t xml:space="preserve">«Партия Товара» </w:t>
      </w:r>
      <w:r>
        <w:rPr>
          <w:rFonts w:ascii="Times New Roman" w:hAnsi="Times New Roman"/>
          <w:b w:val="false"/>
          <w:color w:val="00000A"/>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00000A"/>
          <w:sz w:val="24"/>
          <w:szCs w:val="24"/>
          <w:lang w:val="ru-RU" w:eastAsia="en-US"/>
        </w:rPr>
        <w:t>характеристики</w:t>
      </w:r>
      <w:r>
        <w:rPr>
          <w:rFonts w:ascii="Times New Roman" w:hAnsi="Times New Roman"/>
          <w:b w:val="false"/>
          <w:color w:val="00000A"/>
          <w:sz w:val="24"/>
          <w:szCs w:val="24"/>
          <w:lang w:eastAsia="en-US"/>
        </w:rPr>
        <w:t xml:space="preserve"> которой определя</w:t>
      </w:r>
      <w:r>
        <w:rPr>
          <w:rFonts w:ascii="Times New Roman" w:hAnsi="Times New Roman"/>
          <w:b w:val="false"/>
          <w:color w:val="00000A"/>
          <w:sz w:val="24"/>
          <w:szCs w:val="24"/>
          <w:lang w:val="ru-RU" w:eastAsia="en-US"/>
        </w:rPr>
        <w:t>ю</w:t>
      </w:r>
      <w:r>
        <w:rPr>
          <w:rFonts w:ascii="Times New Roman" w:hAnsi="Times New Roman"/>
          <w:b w:val="false"/>
          <w:color w:val="00000A"/>
          <w:sz w:val="24"/>
          <w:szCs w:val="24"/>
          <w:lang w:eastAsia="en-US"/>
        </w:rPr>
        <w:t xml:space="preserve">тся </w:t>
      </w:r>
      <w:r>
        <w:rPr>
          <w:rFonts w:ascii="Times New Roman" w:hAnsi="Times New Roman"/>
          <w:b w:val="false"/>
          <w:color w:val="00000A"/>
          <w:sz w:val="24"/>
          <w:szCs w:val="24"/>
          <w:lang w:val="ru-RU" w:eastAsia="en-US"/>
        </w:rPr>
        <w:t xml:space="preserve">Заявкой Покупателя в соответствии со </w:t>
      </w:r>
      <w:r>
        <w:rPr>
          <w:rFonts w:ascii="Times New Roman" w:hAnsi="Times New Roman"/>
          <w:b w:val="false"/>
          <w:color w:val="00000A"/>
          <w:sz w:val="24"/>
          <w:szCs w:val="24"/>
          <w:lang w:eastAsia="en-US"/>
        </w:rPr>
        <w:t>Спецификацией, являющейся приложением к Договору.</w:t>
      </w:r>
    </w:p>
    <w:p>
      <w:pPr>
        <w:pStyle w:val="Heading3"/>
        <w:keepNext w:val="false"/>
        <w:tabs>
          <w:tab w:val="clear" w:pos="708"/>
          <w:tab w:val="left" w:pos="0" w:leader="none"/>
        </w:tabs>
        <w:overflowPunct w:val="false"/>
        <w:spacing w:before="0" w:after="0"/>
        <w:ind w:firstLine="709"/>
        <w:jc w:val="both"/>
        <w:textAlignment w:val="baseline"/>
        <w:rPr>
          <w:rFonts w:ascii="Times New Roman" w:hAnsi="Times New Roman"/>
          <w:b w:val="false"/>
          <w:color w:val="00000A"/>
          <w:sz w:val="24"/>
          <w:szCs w:val="24"/>
          <w:lang w:val="ru-RU" w:eastAsia="en-US"/>
        </w:rPr>
      </w:pPr>
      <w:r>
        <w:rPr>
          <w:rFonts w:ascii="Times New Roman" w:hAnsi="Times New Roman"/>
          <w:color w:val="00000A"/>
          <w:sz w:val="24"/>
          <w:szCs w:val="24"/>
          <w:lang w:val="ru-RU" w:eastAsia="en-US"/>
        </w:rPr>
        <w:t>«Применимое право»</w:t>
      </w:r>
      <w:r>
        <w:rPr>
          <w:rFonts w:ascii="Times New Roman" w:hAnsi="Times New Roman"/>
          <w:b w:val="false"/>
          <w:color w:val="00000A"/>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Normal"/>
        <w:ind w:firstLine="709"/>
        <w:jc w:val="both"/>
        <w:rPr>
          <w:sz w:val="24"/>
          <w:szCs w:val="24"/>
          <w:lang w:eastAsia="en-US"/>
        </w:rPr>
      </w:pPr>
      <w:r>
        <w:rPr>
          <w:b/>
          <w:bCs/>
          <w:color w:val="00000A"/>
          <w:sz w:val="24"/>
          <w:szCs w:val="24"/>
          <w:shd w:fill="FFFF00" w:val="clear"/>
          <w:lang w:val="ru-RU" w:eastAsia="en-US"/>
        </w:rPr>
        <w:t xml:space="preserve">«Универсальный передаточный документ (УПД)» </w:t>
      </w:r>
      <w:r>
        <w:rPr>
          <w:b w:val="false"/>
          <w:bCs w:val="false"/>
          <w:color w:val="00000A"/>
          <w:sz w:val="24"/>
          <w:szCs w:val="24"/>
          <w:shd w:fill="FFFF00" w:val="clear"/>
          <w:lang w:val="ru-RU" w:eastAsia="en-US"/>
        </w:rPr>
        <w:t>– форма докуме</w:t>
      </w:r>
      <w:r>
        <w:rPr>
          <w:b w:val="false"/>
          <w:color w:val="00000A"/>
          <w:sz w:val="24"/>
          <w:szCs w:val="24"/>
          <w:shd w:fill="FFFF00"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tabs>
          <w:tab w:val="clear" w:pos="708"/>
          <w:tab w:val="left" w:pos="0" w:leader="none"/>
        </w:tabs>
        <w:overflowPunct w:val="false"/>
        <w:spacing w:before="0" w:after="0"/>
        <w:ind w:firstLine="709"/>
        <w:jc w:val="both"/>
        <w:textAlignment w:val="baseline"/>
        <w:rPr>
          <w:rFonts w:ascii="Times New Roman" w:hAnsi="Times New Roman"/>
          <w:b w:val="false"/>
          <w:color w:val="00000A"/>
          <w:sz w:val="24"/>
          <w:szCs w:val="24"/>
          <w:lang w:val="ru-RU" w:eastAsia="en-US"/>
        </w:rPr>
      </w:pPr>
      <w:r>
        <w:rPr>
          <w:rFonts w:ascii="Times New Roman" w:hAnsi="Times New Roman"/>
          <w:color w:val="00000A"/>
          <w:sz w:val="24"/>
          <w:szCs w:val="24"/>
          <w:lang w:val="ru-RU" w:eastAsia="en-US"/>
        </w:rPr>
        <w:t>«Цена Договора»</w:t>
      </w:r>
      <w:r>
        <w:rPr>
          <w:rFonts w:ascii="Times New Roman" w:hAnsi="Times New Roman"/>
          <w:b w:val="false"/>
          <w:color w:val="00000A"/>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numPr>
          <w:ilvl w:val="0"/>
          <w:numId w:val="0"/>
        </w:numPr>
        <w:spacing w:before="0" w:after="0"/>
        <w:ind w:hanging="0" w:left="0" w:right="0"/>
        <w:jc w:val="both"/>
        <w:rPr>
          <w:rFonts w:ascii="Liberation Serif" w:hAnsi="Liberation Serif"/>
          <w:sz w:val="24"/>
          <w:szCs w:val="24"/>
          <w:shd w:fill="auto" w:val="clear"/>
        </w:rPr>
      </w:pPr>
      <w:r>
        <w:rPr>
          <w:rFonts w:ascii="Liberation Serif" w:hAnsi="Liberation Serif"/>
          <w:sz w:val="24"/>
          <w:szCs w:val="24"/>
          <w:shd w:fill="auto" w:val="clear"/>
        </w:rPr>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firstLine="709" w:left="0"/>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
          <w:bCs/>
          <w:sz w:val="24"/>
          <w:szCs w:val="24"/>
          <w:lang w:eastAsia="en-US"/>
        </w:rPr>
        <w:t>кабель силовой с бумажной пропитанной изоляцией</w:t>
      </w:r>
      <w:r>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Поставка Товара по Договору осуществляется для нужд филиала </w:t>
      </w:r>
      <w:r>
        <w:rPr>
          <w:bCs/>
          <w:sz w:val="24"/>
          <w:szCs w:val="24"/>
          <w:shd w:fill="FFFFFF" w:val="clear"/>
        </w:rPr>
        <w:t>АО «ДРСК» «ЭС ЕАО»</w:t>
      </w:r>
    </w:p>
    <w:p>
      <w:pPr>
        <w:pStyle w:val="Normal"/>
        <w:numPr>
          <w:ilvl w:val="1"/>
          <w:numId w:val="2"/>
        </w:numPr>
        <w:shd w:val="clear" w:color="auto" w:fill="FFFFFF"/>
        <w:tabs>
          <w:tab w:val="clear" w:pos="708"/>
          <w:tab w:val="left" w:pos="0" w:leader="none"/>
          <w:tab w:val="left" w:pos="540" w:leader="none"/>
          <w:tab w:val="left" w:pos="1134" w:leader="none"/>
        </w:tabs>
        <w:ind w:firstLine="709" w:left="0"/>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Начало – с даты подписания договора;</w:t>
      </w:r>
    </w:p>
    <w:p>
      <w:pPr>
        <w:pStyle w:val="Normal"/>
        <w:numPr>
          <w:ilvl w:val="2"/>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Окончание – в течени</w:t>
      </w:r>
      <w:r>
        <w:rPr>
          <w:bCs/>
          <w:sz w:val="24"/>
          <w:szCs w:val="24"/>
        </w:rPr>
        <w:t>е</w:t>
      </w:r>
      <w:r>
        <w:rPr>
          <w:bCs/>
          <w:sz w:val="24"/>
          <w:szCs w:val="24"/>
        </w:rPr>
        <w:t xml:space="preserve"> 30 календарных дней с момента заключения договора.</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8"/>
          <w:tab w:val="left" w:pos="1418" w:leader="none"/>
        </w:tabs>
        <w:ind w:firstLine="709" w:left="0"/>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Оплата по Договору осуществляется Покупателем в течение 20 (двадцати) календарных дней</w:t>
      </w:r>
      <w:r>
        <w:rPr>
          <w:rStyle w:val="FootnoteReference"/>
          <w:sz w:val="24"/>
          <w:szCs w:val="24"/>
        </w:rPr>
        <w:footnoteReference w:id="3"/>
      </w:r>
      <w:r>
        <w:rPr>
          <w:sz w:val="24"/>
          <w:szCs w:val="24"/>
        </w:rPr>
        <w:t xml:space="preserve"> /  45 (сорока пяти) календарных дней</w:t>
      </w:r>
      <w:r>
        <w:rPr>
          <w:rStyle w:val="FootnoteReference"/>
          <w:sz w:val="24"/>
          <w:szCs w:val="24"/>
        </w:rPr>
        <w:footnoteReference w:id="4"/>
      </w:r>
      <w:r>
        <w:rPr>
          <w:sz w:val="24"/>
          <w:szCs w:val="24"/>
        </w:rPr>
        <w:t xml:space="preserve"> / 7 (семи) рабочих дней</w:t>
      </w:r>
      <w:r>
        <w:rPr>
          <w:rStyle w:val="FootnoteReference"/>
          <w:sz w:val="24"/>
          <w:szCs w:val="24"/>
        </w:rPr>
        <w:footnoteReference w:id="5"/>
      </w:r>
      <w:r>
        <w:rPr>
          <w:sz w:val="24"/>
          <w:szCs w:val="24"/>
        </w:rPr>
        <w:t xml:space="preserve"> с даты подписания Сторонами </w:t>
      </w:r>
      <w:r>
        <w:rPr>
          <w:sz w:val="24"/>
          <w:szCs w:val="24"/>
          <w:shd w:fill="auto" w:val="clear"/>
        </w:rPr>
        <w:t>Накладной ТОРГ-12/УПД на осн</w:t>
      </w:r>
      <w:r>
        <w:rPr>
          <w:sz w:val="24"/>
          <w:szCs w:val="24"/>
        </w:rPr>
        <w:t>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8"/>
          <w:tab w:val="left" w:pos="0" w:leader="none"/>
          <w:tab w:val="left" w:pos="1134" w:leader="none"/>
          <w:tab w:val="left" w:pos="1276" w:leader="none"/>
        </w:tabs>
        <w:ind w:firstLine="709" w:left="0"/>
        <w:jc w:val="both"/>
        <w:rPr>
          <w:sz w:val="24"/>
          <w:szCs w:val="24"/>
        </w:rPr>
      </w:pPr>
      <w:r>
        <w:rPr>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w:t>
      </w:r>
      <w:r>
        <w:rPr>
          <w:sz w:val="24"/>
          <w:szCs w:val="24"/>
          <w:shd w:fill="auto" w:val="clear"/>
        </w:rPr>
        <w:t>чем за 10 (десят</w:t>
      </w:r>
      <w:bookmarkStart w:id="0" w:name="_GoBack"/>
      <w:bookmarkEnd w:id="0"/>
      <w:r>
        <w:rPr>
          <w:sz w:val="24"/>
          <w:szCs w:val="24"/>
          <w:shd w:fill="auto" w:val="clear"/>
        </w:rPr>
        <w:t xml:space="preserve">ь) </w:t>
      </w:r>
      <w:r>
        <w:rPr>
          <w:sz w:val="24"/>
          <w:szCs w:val="24"/>
        </w:rPr>
        <w:t>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highlight w:val="lightGray"/>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(УПД), выставленные в сроки и оформленные в порядке, установленном законодательством Российской Федерации</w:t>
      </w:r>
      <w:r>
        <w:rPr>
          <w:rStyle w:val="FootnoteReference"/>
          <w:sz w:val="24"/>
          <w:szCs w:val="24"/>
          <w:highlight w:val="lightGray"/>
        </w:rPr>
        <w:footnoteReference w:id="6"/>
      </w:r>
      <w:r>
        <w:rPr>
          <w:sz w:val="24"/>
          <w:szCs w:val="24"/>
          <w:highlight w:val="lightGray"/>
        </w:rPr>
        <w:t>.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 (УПД)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7"/>
      </w:r>
    </w:p>
    <w:p>
      <w:pPr>
        <w:pStyle w:val="Normal"/>
        <w:numPr>
          <w:ilvl w:val="1"/>
          <w:numId w:val="2"/>
        </w:numPr>
        <w:shd w:val="clear" w:color="auto" w:fill="FFFFFF"/>
        <w:tabs>
          <w:tab w:val="clear" w:pos="708"/>
          <w:tab w:val="left" w:pos="1134" w:leader="none"/>
        </w:tabs>
        <w:ind w:firstLine="709" w:left="0"/>
        <w:jc w:val="both"/>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8"/>
          <w:tab w:val="left" w:pos="1134" w:leader="none"/>
        </w:tabs>
        <w:ind w:firstLine="709" w:left="0"/>
        <w:jc w:val="both"/>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sz w:val="24"/>
          <w:szCs w:val="24"/>
          <w:shd w:fill="auto" w:val="clear"/>
        </w:rPr>
        <w:t>Товара, поставленного Поставщиком.</w:t>
      </w:r>
    </w:p>
    <w:p>
      <w:pPr>
        <w:pStyle w:val="Normal"/>
        <w:shd w:val="clear" w:color="auto" w:fill="FFFFFF"/>
        <w:tabs>
          <w:tab w:val="clear" w:pos="708"/>
          <w:tab w:val="left" w:pos="1134" w:leader="none"/>
        </w:tabs>
        <w:ind w:firstLine="709" w:left="0"/>
        <w:jc w:val="both"/>
        <w:rPr>
          <w:highlight w:val="yellow"/>
        </w:rPr>
      </w:pPr>
      <w:r>
        <w:rPr>
          <w:sz w:val="24"/>
          <w:szCs w:val="24"/>
          <w:shd w:fill="auto" w:val="clear"/>
        </w:rPr>
        <w:t>Покупатель направляет Поставщику уведомление о проведении сальдо взаимных обязательств Сторон по Договору.</w:t>
      </w:r>
    </w:p>
    <w:p>
      <w:pPr>
        <w:pStyle w:val="Normal"/>
        <w:shd w:val="clear" w:color="auto" w:fill="FFFFFF"/>
        <w:tabs>
          <w:tab w:val="clear" w:pos="708"/>
          <w:tab w:val="left" w:pos="1134" w:leader="none"/>
        </w:tabs>
        <w:ind w:firstLine="709" w:left="0"/>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8"/>
          <w:tab w:val="left" w:pos="993" w:leader="none"/>
          <w:tab w:val="left" w:pos="1418" w:leader="none"/>
        </w:tabs>
        <w:ind w:firstLine="709" w:left="0"/>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8"/>
          <w:tab w:val="left" w:pos="993" w:leader="none"/>
          <w:tab w:val="left" w:pos="1418" w:leader="none"/>
        </w:tabs>
        <w:ind w:firstLine="709" w:left="0"/>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8"/>
          <w:tab w:val="left" w:pos="993" w:leader="none"/>
          <w:tab w:val="left" w:pos="1418" w:leader="none"/>
        </w:tabs>
        <w:ind w:firstLine="709" w:left="0"/>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8"/>
          <w:tab w:val="left" w:pos="993" w:leader="none"/>
          <w:tab w:val="left" w:pos="1418" w:leader="none"/>
        </w:tabs>
        <w:ind w:firstLine="709" w:left="0"/>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11.2 Договора.</w:t>
      </w:r>
    </w:p>
    <w:p>
      <w:pPr>
        <w:pStyle w:val="ListParagraph"/>
        <w:widowControl/>
        <w:numPr>
          <w:ilvl w:val="2"/>
          <w:numId w:val="2"/>
        </w:numPr>
        <w:tabs>
          <w:tab w:val="clear" w:pos="708"/>
          <w:tab w:val="left" w:pos="993" w:leader="none"/>
          <w:tab w:val="left" w:pos="1418" w:leader="none"/>
        </w:tabs>
        <w:ind w:firstLine="709" w:left="0"/>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Качество, комплектность, количество и ассортимент поставляемого по Договору Товара должны с</w:t>
      </w:r>
      <w:r>
        <w:rPr>
          <w:bCs/>
          <w:sz w:val="24"/>
          <w:szCs w:val="24"/>
          <w:shd w:fill="auto" w:val="clear"/>
        </w:rPr>
        <w:t xml:space="preserve">оответствовать Заявке, требованиям Договора, </w:t>
      </w:r>
      <w:r>
        <w:rPr>
          <w:b/>
          <w:bCs/>
          <w:sz w:val="24"/>
          <w:szCs w:val="24"/>
          <w:shd w:fill="auto" w:val="clear"/>
        </w:rPr>
        <w:t xml:space="preserve"> </w:t>
      </w:r>
      <w:r>
        <w:rPr>
          <w:bCs/>
          <w:sz w:val="24"/>
          <w:szCs w:val="24"/>
          <w:shd w:fill="auto" w:val="clear"/>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8"/>
          <w:tab w:val="left" w:pos="1134" w:leader="none"/>
        </w:tabs>
        <w:ind w:firstLine="709"/>
        <w:jc w:val="both"/>
        <w:rPr>
          <w:highlight w:val="none"/>
          <w:shd w:fill="auto" w:val="clear"/>
        </w:rPr>
      </w:pPr>
      <w:r>
        <w:rPr>
          <w:bCs/>
          <w:sz w:val="24"/>
          <w:szCs w:val="24"/>
          <w:shd w:fill="auto" w:val="clear"/>
        </w:rPr>
        <w:t>Поставщик не вправе производить замену Товара, содержащегося в одном из реестров, предусмотренных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иной Товар, не включенный в такие реестры.</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shd w:fill="auto" w:val="clear"/>
        </w:rPr>
        <w:t>Поставляемый Товар дол</w:t>
      </w:r>
      <w:r>
        <w:rPr>
          <w:bCs/>
          <w:sz w:val="24"/>
          <w:szCs w:val="24"/>
        </w:rPr>
        <w:t>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firstLine="709" w:left="0"/>
        <w:jc w:val="both"/>
        <w:rPr>
          <w:sz w:val="24"/>
          <w:szCs w:val="24"/>
        </w:rPr>
      </w:pPr>
      <w:r>
        <w:rPr>
          <w:sz w:val="24"/>
          <w:szCs w:val="24"/>
        </w:rPr>
        <w:t>сертификат качеств</w:t>
      </w:r>
      <w:r>
        <w:rPr>
          <w:sz w:val="24"/>
          <w:szCs w:val="24"/>
          <w:shd w:fill="FFFFFF" w:val="clear"/>
        </w:rPr>
        <w:t>а в 1 (один) экз.;</w:t>
      </w:r>
    </w:p>
    <w:p>
      <w:pPr>
        <w:pStyle w:val="Normal"/>
        <w:numPr>
          <w:ilvl w:val="0"/>
          <w:numId w:val="4"/>
        </w:numPr>
        <w:tabs>
          <w:tab w:val="clear" w:pos="708"/>
          <w:tab w:val="left" w:pos="1418" w:leader="none"/>
        </w:tabs>
        <w:ind w:firstLine="709" w:left="0"/>
        <w:jc w:val="both"/>
        <w:rPr>
          <w:shd w:fill="FFFFFF" w:val="clear"/>
        </w:rPr>
      </w:pPr>
      <w:r>
        <w:rPr>
          <w:sz w:val="24"/>
          <w:szCs w:val="24"/>
          <w:shd w:fill="FFFFFF" w:val="clear"/>
        </w:rPr>
        <w:t>технический паспорт на русском языке в 1 (один) экз.;</w:t>
      </w:r>
    </w:p>
    <w:p>
      <w:pPr>
        <w:pStyle w:val="Normal"/>
        <w:numPr>
          <w:ilvl w:val="0"/>
          <w:numId w:val="4"/>
        </w:numPr>
        <w:tabs>
          <w:tab w:val="clear" w:pos="708"/>
          <w:tab w:val="left" w:pos="1418" w:leader="none"/>
        </w:tabs>
        <w:ind w:firstLine="709" w:left="0"/>
        <w:jc w:val="both"/>
        <w:rPr>
          <w:shd w:fill="FFFFFF" w:val="clear"/>
        </w:rPr>
      </w:pPr>
      <w:r>
        <w:rPr>
          <w:sz w:val="24"/>
          <w:szCs w:val="24"/>
          <w:shd w:fill="FFFFFF" w:val="clear"/>
        </w:rPr>
        <w:t>инструкция по эксплуатации на русском языке в 1 (один) экз.;</w:t>
      </w:r>
    </w:p>
    <w:p>
      <w:pPr>
        <w:pStyle w:val="Normal"/>
        <w:numPr>
          <w:ilvl w:val="0"/>
          <w:numId w:val="4"/>
        </w:numPr>
        <w:tabs>
          <w:tab w:val="clear" w:pos="708"/>
          <w:tab w:val="left" w:pos="1418" w:leader="none"/>
        </w:tabs>
        <w:ind w:firstLine="709" w:left="0"/>
        <w:jc w:val="both"/>
        <w:rPr>
          <w:shd w:fill="FFFFFF" w:val="clear"/>
        </w:rPr>
      </w:pPr>
      <w:r>
        <w:rPr>
          <w:sz w:val="24"/>
          <w:szCs w:val="24"/>
          <w:shd w:fill="FFFFFF" w:val="clear"/>
        </w:rPr>
        <w:t>упаковочный лист в 1 (один) экз.;</w:t>
      </w:r>
    </w:p>
    <w:p>
      <w:pPr>
        <w:pStyle w:val="Normal"/>
        <w:numPr>
          <w:ilvl w:val="0"/>
          <w:numId w:val="4"/>
        </w:numPr>
        <w:tabs>
          <w:tab w:val="clear" w:pos="708"/>
          <w:tab w:val="left" w:pos="1418" w:leader="none"/>
        </w:tabs>
        <w:ind w:firstLine="709" w:left="0"/>
        <w:jc w:val="both"/>
        <w:rPr>
          <w:highlight w:val="none"/>
          <w:shd w:fill="auto" w:val="clear"/>
        </w:rPr>
      </w:pPr>
      <w:r>
        <w:rPr>
          <w:sz w:val="24"/>
          <w:szCs w:val="24"/>
          <w:shd w:fill="auto" w:val="clear"/>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Pr>
          <w:color w:val="000000"/>
          <w:sz w:val="24"/>
          <w:szCs w:val="24"/>
          <w:shd w:fill="auto" w:val="clear"/>
        </w:rPr>
        <w:t xml:space="preserve">сертификат о происхождении товара </w:t>
      </w:r>
      <w:r>
        <w:rPr>
          <w:sz w:val="24"/>
          <w:szCs w:val="24"/>
          <w:shd w:fill="auto" w:val="clear"/>
        </w:rPr>
        <w:t>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firstLine="709" w:left="0"/>
        <w:jc w:val="both"/>
        <w:rPr>
          <w:highlight w:val="none"/>
          <w:shd w:fill="FFFFFF" w:val="clear"/>
        </w:rPr>
      </w:pPr>
      <w:r>
        <w:rPr>
          <w:sz w:val="24"/>
          <w:szCs w:val="24"/>
          <w:shd w:fill="FFFFFF" w:val="clear"/>
        </w:rPr>
        <w:t>накладная ТОРГ-12 / УПД в 2 (двух) экз.</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firstLine="709" w:left="0"/>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bookmarkStart w:id="2" w:name="_Ref361396594"/>
      <w:r>
        <w:rPr>
          <w:sz w:val="24"/>
          <w:szCs w:val="24"/>
        </w:rPr>
        <w:t>Датой поставки Товара является дата подписания Сторонами Накладной</w:t>
        <w:br/>
      </w:r>
      <w:r>
        <w:rPr>
          <w:sz w:val="24"/>
          <w:szCs w:val="24"/>
          <w:shd w:fill="CCCCCC" w:val="clear"/>
        </w:rPr>
        <w:t>ТОРГ-12 / УПД.</w:t>
      </w:r>
      <w:bookmarkEnd w:id="2"/>
      <w:r>
        <w:rPr>
          <w:sz w:val="24"/>
          <w:szCs w:val="24"/>
          <w:shd w:fill="CCCCCC" w:val="clear"/>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по осуществляется Покупателем в дату поставки Товара. </w:t>
      </w:r>
    </w:p>
    <w:p>
      <w:pPr>
        <w:pStyle w:val="ListParagraph"/>
        <w:numPr>
          <w:ilvl w:val="1"/>
          <w:numId w:val="2"/>
        </w:numPr>
        <w:tabs>
          <w:tab w:val="clear" w:pos="708"/>
          <w:tab w:val="left" w:pos="1418" w:leader="none"/>
        </w:tabs>
        <w:ind w:firstLine="709" w:left="0"/>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w:t>
      </w:r>
      <w:r>
        <w:rPr>
          <w:sz w:val="24"/>
          <w:szCs w:val="24"/>
          <w:shd w:fill="auto" w:val="clear"/>
        </w:rPr>
        <w:t>-12 / УПД.</w:t>
      </w:r>
    </w:p>
    <w:p>
      <w:pPr>
        <w:pStyle w:val="ListParagraph"/>
        <w:numPr>
          <w:ilvl w:val="1"/>
          <w:numId w:val="2"/>
        </w:numPr>
        <w:tabs>
          <w:tab w:val="clear" w:pos="708"/>
          <w:tab w:val="left" w:pos="1418" w:leader="none"/>
        </w:tabs>
        <w:ind w:firstLine="709" w:lef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3" w:name="_Ref361408232"/>
      <w:bookmarkEnd w:id="3"/>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p>
    <w:p>
      <w:pPr>
        <w:pStyle w:val="ListParagraph"/>
        <w:numPr>
          <w:ilvl w:val="1"/>
          <w:numId w:val="2"/>
        </w:numPr>
        <w:shd w:val="clear" w:color="auto" w:fill="FFFFFF"/>
        <w:tabs>
          <w:tab w:val="clear" w:pos="708"/>
          <w:tab w:val="left" w:pos="1418" w:leader="none"/>
          <w:tab w:val="left" w:pos="1851" w:leader="none"/>
        </w:tabs>
        <w:ind w:firstLine="709" w:left="0"/>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3.12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Право собственности на Товар, а также риск его случайной гибели или случайного повреждения п</w:t>
      </w:r>
      <w:r>
        <w:rPr>
          <w:sz w:val="24"/>
          <w:szCs w:val="24"/>
          <w:shd w:fill="auto" w:val="clear"/>
        </w:rPr>
        <w:t>ереходит от Поставщика к Покупателю с момента подписания Сторонами Накладной ТОРГ-12 / УПД.</w:t>
      </w:r>
    </w:p>
    <w:p>
      <w:pPr>
        <w:pStyle w:val="ListParagraph"/>
        <w:numPr>
          <w:ilvl w:val="1"/>
          <w:numId w:val="2"/>
        </w:numPr>
        <w:tabs>
          <w:tab w:val="clear" w:pos="708"/>
          <w:tab w:val="left" w:pos="1418" w:leader="none"/>
        </w:tabs>
        <w:ind w:firstLine="709" w:left="0"/>
        <w:jc w:val="both"/>
        <w:rPr>
          <w:sz w:val="24"/>
          <w:szCs w:val="24"/>
        </w:rPr>
      </w:pPr>
      <w:r>
        <w:rPr>
          <w:sz w:val="24"/>
          <w:szCs w:val="24"/>
        </w:rPr>
        <w:t>Поставщик обязан не более чем за 5 рабочих дней до даты начала отгрузки Товара (Оборудования) в адрес Покупателя (Грузополучателя), направить Покупателю письменное уведомление с указанием Грузоотправителя Товара и Транспортной компании, обеспечивающей доставку Товара (Оборудования) до места поставки. Уведомление составляется по форме приложения №4 к настоящему договору.</w:t>
      </w:r>
    </w:p>
    <w:p>
      <w:pPr>
        <w:pStyle w:val="Normal"/>
        <w:ind w:firstLine="709"/>
        <w:jc w:val="both"/>
        <w:rPr>
          <w:sz w:val="24"/>
          <w:szCs w:val="24"/>
        </w:rPr>
      </w:pPr>
      <w:r>
        <w:rPr>
          <w:sz w:val="24"/>
          <w:szCs w:val="24"/>
        </w:rPr>
        <w:t>В случае поступления на склад Грузополучателя Товара (Оборудования) без вышеуказанного уведомления, Покупатель вправе:</w:t>
      </w:r>
    </w:p>
    <w:p>
      <w:pPr>
        <w:pStyle w:val="Normal"/>
        <w:ind w:firstLine="709"/>
        <w:jc w:val="both"/>
        <w:rPr>
          <w:sz w:val="24"/>
          <w:szCs w:val="24"/>
        </w:rPr>
      </w:pPr>
      <w:r>
        <w:rPr>
          <w:sz w:val="24"/>
          <w:szCs w:val="24"/>
        </w:rPr>
        <w:t>- принять Товар (Оборудование) на ответственное хранение и считается, что Поставщик не исполнил свои обязательства по поставке Товара (Оборудования) до момента поступления таких документов;</w:t>
      </w:r>
    </w:p>
    <w:p>
      <w:pPr>
        <w:pStyle w:val="Normal"/>
        <w:ind w:firstLine="709"/>
        <w:jc w:val="both"/>
        <w:rPr>
          <w:sz w:val="24"/>
          <w:szCs w:val="24"/>
        </w:rPr>
      </w:pPr>
      <w:r>
        <w:rPr>
          <w:sz w:val="24"/>
          <w:szCs w:val="24"/>
        </w:rPr>
        <w:t>либо</w:t>
      </w:r>
    </w:p>
    <w:p>
      <w:pPr>
        <w:pStyle w:val="Normal"/>
        <w:ind w:firstLine="709"/>
        <w:jc w:val="both"/>
        <w:rPr>
          <w:color w:val="000000"/>
          <w:sz w:val="24"/>
          <w:szCs w:val="24"/>
        </w:rPr>
      </w:pPr>
      <w:r>
        <w:rPr>
          <w:sz w:val="24"/>
          <w:szCs w:val="24"/>
        </w:rPr>
        <w:t xml:space="preserve">- принять Товар (Оборудование) в соответствии с условиями договора и предъявить Поставщику требование об уплате штрафа в размере 20% от стоимости поставленного Товара (Оборудования). Удержание штрафа, подлежащего уплате Поставщиком, может быть произведено, по усмотрению Покупателя, путем вычета суммы штрафа из подлежащей оплате стоимости поставленного Покупателю Товара (Оборудования). </w:t>
      </w:r>
    </w:p>
    <w:p>
      <w:pPr>
        <w:pStyle w:val="Normal"/>
        <w:ind w:firstLine="709"/>
        <w:jc w:val="both"/>
        <w:rPr>
          <w:bCs/>
          <w:sz w:val="24"/>
          <w:szCs w:val="24"/>
        </w:rPr>
      </w:pPr>
      <w:r>
        <w:rPr>
          <w:bCs/>
          <w:sz w:val="24"/>
          <w:szCs w:val="24"/>
        </w:rPr>
        <w:t xml:space="preserve">В случае предъявления налоговыми органами претензий и требований к Покупателю, связанных с предоставлением Поставщиком недостоверных сведений о </w:t>
      </w:r>
      <w:r>
        <w:rPr>
          <w:sz w:val="24"/>
          <w:szCs w:val="24"/>
        </w:rPr>
        <w:t>Грузоотправителя Товара и Транспортной компании</w:t>
      </w:r>
      <w:r>
        <w:rPr>
          <w:bCs/>
          <w:sz w:val="24"/>
          <w:szCs w:val="24"/>
        </w:rPr>
        <w:t>, Поставщик обязан компенсировать все убытки Покупателя, вызванные такими претензиями и требованиями.</w:t>
      </w:r>
    </w:p>
    <w:p>
      <w:pPr>
        <w:pStyle w:val="Normal"/>
        <w:ind w:firstLine="709"/>
        <w:jc w:val="both"/>
        <w:rPr>
          <w:bCs/>
          <w:sz w:val="24"/>
          <w:szCs w:val="24"/>
        </w:rPr>
      </w:pPr>
      <w:r>
        <w:rPr>
          <w:b/>
          <w:bCs/>
          <w:sz w:val="24"/>
          <w:szCs w:val="24"/>
        </w:rPr>
        <w:t xml:space="preserve">3.17 </w:t>
      </w:r>
      <w:r>
        <w:rPr>
          <w:bCs/>
          <w:sz w:val="24"/>
          <w:szCs w:val="24"/>
        </w:rPr>
        <w:t>Возможная допустимость отклонения по количеству поставляемого Товара составляет (+/-) 5 (пять)% (процентов), при этом Покупатель оплачивает фактическое количество поставляемого и принятого Товара по цене договора</w:t>
      </w:r>
    </w:p>
    <w:p>
      <w:pPr>
        <w:pStyle w:val="ListParagraph"/>
        <w:numPr>
          <w:ilvl w:val="0"/>
          <w:numId w:val="2"/>
        </w:numPr>
        <w:shd w:val="clear" w:color="auto" w:fill="FFFFFF"/>
        <w:ind w:hanging="0" w:left="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8"/>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w:t>
      </w:r>
      <w:r>
        <w:rPr>
          <w:sz w:val="24"/>
          <w:szCs w:val="24"/>
          <w:shd w:fill="auto" w:val="clear"/>
        </w:rPr>
        <w:t>2 / УПД.</w:t>
      </w:r>
      <w:r>
        <w:rPr>
          <w:sz w:val="24"/>
          <w:szCs w:val="24"/>
        </w:rPr>
        <w:t xml:space="preserve">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firstLine="709" w:lef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8"/>
          <w:tab w:val="left" w:pos="1134" w:leader="none"/>
          <w:tab w:val="left" w:pos="1276" w:leader="none"/>
        </w:tabs>
        <w:ind w:firstLine="709" w:left="0"/>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widowControl/>
        <w:shd w:val="clear" w:color="auto" w:fill="FFFFFF"/>
        <w:tabs>
          <w:tab w:val="clear" w:pos="708"/>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8"/>
          <w:tab w:val="left" w:pos="1134" w:leader="none"/>
          <w:tab w:val="left" w:pos="1276" w:leader="none"/>
        </w:tabs>
        <w:ind w:firstLine="709" w:lef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ind w:firstLine="709"/>
        <w:jc w:val="both"/>
        <w:rPr>
          <w:sz w:val="24"/>
          <w:szCs w:val="24"/>
        </w:rPr>
      </w:pPr>
      <w:r>
        <w:rPr>
          <w:sz w:val="24"/>
          <w:szCs w:val="24"/>
        </w:rPr>
      </w:r>
    </w:p>
    <w:p>
      <w:pPr>
        <w:pStyle w:val="Normal"/>
        <w:numPr>
          <w:ilvl w:val="0"/>
          <w:numId w:val="2"/>
        </w:numPr>
        <w:shd w:val="clear" w:color="auto" w:fill="FFFFFF"/>
        <w:ind w:hanging="0" w:left="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276" w:leader="none"/>
        </w:tabs>
        <w:ind w:firstLine="709"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276" w:leader="none"/>
        </w:tabs>
        <w:ind w:firstLine="709" w:left="0"/>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w:t>
      </w:r>
      <w:r>
        <w:rPr>
          <w:sz w:val="24"/>
          <w:szCs w:val="24"/>
        </w:rPr>
        <w:t>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numPr>
          <w:ilvl w:val="1"/>
          <w:numId w:val="2"/>
        </w:numPr>
        <w:tabs>
          <w:tab w:val="clear" w:pos="708"/>
          <w:tab w:val="left" w:pos="1276" w:leader="none"/>
        </w:tabs>
        <w:ind w:firstLine="709" w:left="0"/>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ind w:firstLine="724" w:left="-15" w:right="135"/>
        <w:rPr>
          <w:sz w:val="24"/>
          <w:szCs w:val="24"/>
        </w:rPr>
      </w:pPr>
      <w:r>
        <w:rPr>
          <w:sz w:val="24"/>
          <w:szCs w:val="24"/>
        </w:rPr>
        <w:t xml:space="preserve">В случае несвоевременного устранения Поставщиком выявленных недостатков товара, Покупатель вправе потребовать уплаты Поставщиком: </w:t>
      </w:r>
    </w:p>
    <w:p>
      <w:pPr>
        <w:pStyle w:val="Normal"/>
        <w:widowControl/>
        <w:numPr>
          <w:ilvl w:val="0"/>
          <w:numId w:val="13"/>
        </w:numPr>
        <w:tabs>
          <w:tab w:val="clear" w:pos="708"/>
          <w:tab w:val="left" w:pos="993" w:leader="none"/>
        </w:tabs>
        <w:spacing w:lineRule="auto" w:line="247" w:before="0" w:after="5"/>
        <w:ind w:firstLine="700" w:right="135"/>
        <w:jc w:val="both"/>
        <w:rPr>
          <w:sz w:val="24"/>
          <w:szCs w:val="24"/>
        </w:rPr>
      </w:pPr>
      <w:r>
        <w:rPr>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 </w:t>
      </w:r>
    </w:p>
    <w:p>
      <w:pPr>
        <w:pStyle w:val="Normal"/>
        <w:widowControl/>
        <w:numPr>
          <w:ilvl w:val="0"/>
          <w:numId w:val="13"/>
        </w:numPr>
        <w:tabs>
          <w:tab w:val="clear" w:pos="708"/>
          <w:tab w:val="left" w:pos="993" w:leader="none"/>
        </w:tabs>
        <w:spacing w:lineRule="auto" w:line="247" w:before="0" w:after="5"/>
        <w:ind w:firstLine="700" w:right="135"/>
        <w:jc w:val="both"/>
        <w:rPr>
          <w:sz w:val="24"/>
          <w:szCs w:val="24"/>
        </w:rPr>
      </w:pPr>
      <w:r>
        <w:rPr>
          <w:sz w:val="24"/>
          <w:szCs w:val="24"/>
        </w:rPr>
        <w:t xml:space="preserve">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 </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8"/>
          <w:tab w:val="left" w:pos="1276" w:leader="none"/>
        </w:tabs>
        <w:ind w:firstLine="709" w:left="0"/>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1276" w:leader="none"/>
        </w:tabs>
        <w:ind w:firstLine="709" w:left="0"/>
        <w:jc w:val="both"/>
        <w:rPr>
          <w:bCs/>
          <w:sz w:val="24"/>
          <w:szCs w:val="24"/>
        </w:rPr>
      </w:pPr>
      <w:r>
        <w:rPr>
          <w:bCs/>
          <w:sz w:val="24"/>
          <w:szCs w:val="24"/>
        </w:rPr>
        <w:t>В случае нарушения Поставщиком сроков предоставления счетов-фактур (УПД),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9"/>
      </w:r>
      <w:r>
        <w:rPr>
          <w:bCs/>
          <w:sz w:val="24"/>
          <w:szCs w:val="24"/>
        </w:rPr>
        <w:t>.</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sz w:val="24"/>
          <w:szCs w:val="24"/>
        </w:rP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оборудования. Уплата (удержание) неустойки не освобождает стороны от исполнения своего обязательства в натуре</w:t>
      </w:r>
      <w:r>
        <w:rPr>
          <w:bCs/>
          <w:sz w:val="24"/>
          <w:szCs w:val="24"/>
        </w:rPr>
        <w:t>.</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rFonts w:cs="Times New Roman" w:ascii="Liberation Serif" w:hAnsi="Liberation Serif"/>
          <w:b w:val="false"/>
          <w:bCs/>
          <w:i w:val="false"/>
          <w:iCs w:val="false"/>
          <w:sz w:val="24"/>
          <w:szCs w:val="24"/>
          <w:shd w:fill="DDDDDD" w:val="clear"/>
          <w:lang w:eastAsia="ru-RU"/>
        </w:rPr>
        <w:t>В случае выявления Покупателем в течение гарантийного срока более 2% брака в принятой Покупателем партии Товара</w:t>
      </w:r>
      <w:r>
        <w:rPr>
          <w:rFonts w:cs="Times New Roman" w:ascii="Liberation Serif" w:hAnsi="Liberation Serif"/>
          <w:b w:val="false"/>
          <w:bCs w:val="false"/>
          <w:i w:val="false"/>
          <w:iCs w:val="false"/>
          <w:sz w:val="24"/>
          <w:szCs w:val="24"/>
          <w:shd w:fill="DDDDDD" w:val="clear"/>
          <w:lang w:eastAsia="ru-RU"/>
        </w:rPr>
        <w:t>, Покупатель вправе потребовать уплаты Поставщиком штрафа в размере 2 % от партии Товара</w:t>
      </w:r>
      <w:r>
        <w:rPr>
          <w:rStyle w:val="FootnoteReference"/>
          <w:rFonts w:cs="Times New Roman" w:ascii="Liberation Serif" w:hAnsi="Liberation Serif"/>
          <w:b w:val="false"/>
          <w:bCs w:val="false"/>
          <w:i w:val="false"/>
          <w:iCs w:val="false"/>
          <w:sz w:val="24"/>
          <w:szCs w:val="24"/>
          <w:shd w:fill="DDDDDD" w:val="clear"/>
          <w:lang w:eastAsia="ru-RU"/>
        </w:rPr>
        <w:footnoteReference w:id="10"/>
      </w:r>
      <w:r>
        <w:rPr>
          <w:rFonts w:cs="Times New Roman" w:ascii="Liberation Serif" w:hAnsi="Liberation Serif"/>
          <w:b w:val="false"/>
          <w:bCs w:val="false"/>
          <w:i w:val="false"/>
          <w:iCs w:val="false"/>
          <w:sz w:val="24"/>
          <w:szCs w:val="24"/>
          <w:shd w:fill="DDDDDD" w:val="clear"/>
          <w:lang w:eastAsia="ru-RU"/>
        </w:rPr>
        <w:t>.</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s>
        <w:ind w:hanging="0" w:left="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bookmarkStart w:id="7" w:name="_Ref361337832"/>
      <w:bookmarkEnd w:id="7"/>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bookmarkStart w:id="8" w:name="_Ref361337863"/>
      <w:bookmarkEnd w:id="8"/>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12"/>
        </w:numPr>
        <w:shd w:val="clear" w:color="auto" w:fill="FFFFFF"/>
        <w:tabs>
          <w:tab w:val="clear" w:pos="708"/>
          <w:tab w:val="left" w:pos="426" w:leader="none"/>
        </w:tabs>
        <w:jc w:val="center"/>
        <w:rPr>
          <w:b/>
          <w:bCs/>
          <w:sz w:val="24"/>
          <w:szCs w:val="24"/>
        </w:rPr>
      </w:pPr>
      <w:r>
        <w:rPr>
          <w:b/>
          <w:bCs/>
          <w:sz w:val="24"/>
          <w:szCs w:val="24"/>
        </w:rPr>
        <w:t>Антикоррупционная оговорка</w:t>
      </w:r>
    </w:p>
    <w:p>
      <w:pPr>
        <w:pStyle w:val="ListParagraph"/>
        <w:widowControl/>
        <w:numPr>
          <w:ilvl w:val="1"/>
          <w:numId w:val="12"/>
        </w:numPr>
        <w:shd w:val="clear" w:color="auto" w:fill="FFFFFF"/>
        <w:tabs>
          <w:tab w:val="clear" w:pos="708"/>
          <w:tab w:val="left" w:pos="1418" w:leader="none"/>
        </w:tabs>
        <w:ind w:firstLine="709" w:left="0"/>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12"/>
        </w:numPr>
        <w:shd w:val="clear" w:color="auto" w:fill="FFFFFF"/>
        <w:tabs>
          <w:tab w:val="clear" w:pos="708"/>
          <w:tab w:val="left" w:pos="1418" w:leader="none"/>
        </w:tabs>
        <w:ind w:firstLine="709" w:left="0"/>
        <w:jc w:val="both"/>
        <w:rPr>
          <w:bCs/>
          <w:color w:val="000000"/>
          <w:sz w:val="24"/>
          <w:szCs w:val="24"/>
        </w:rPr>
      </w:pPr>
      <w:r>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Pr>
          <w:bCs/>
          <w:color w:val="000000"/>
          <w:sz w:val="24"/>
          <w:szCs w:val="24"/>
          <w:shd w:fill="auto" w:val="clear"/>
        </w:rPr>
        <w:t>Применимым правом</w:t>
      </w:r>
      <w:r>
        <w:rPr>
          <w:bCs/>
          <w:color w:val="000000"/>
          <w:sz w:val="24"/>
          <w:szCs w:val="24"/>
        </w:rPr>
        <w:t xml:space="preserve">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2"/>
        </w:numPr>
        <w:shd w:val="clear" w:color="auto" w:fill="FFFFFF"/>
        <w:tabs>
          <w:tab w:val="clear" w:pos="708"/>
          <w:tab w:val="left" w:pos="1418" w:leader="none"/>
        </w:tabs>
        <w:ind w:firstLine="709" w:left="0"/>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2"/>
        </w:numPr>
        <w:shd w:val="clear" w:color="auto" w:fill="FFFFFF"/>
        <w:tabs>
          <w:tab w:val="clear" w:pos="708"/>
          <w:tab w:val="left" w:pos="1418" w:leader="none"/>
        </w:tabs>
        <w:ind w:firstLine="709" w:left="0"/>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2"/>
        </w:numPr>
        <w:shd w:val="clear" w:color="auto" w:fill="FFFFFF"/>
        <w:tabs>
          <w:tab w:val="clear" w:pos="708"/>
          <w:tab w:val="left" w:pos="1418" w:leader="none"/>
        </w:tabs>
        <w:ind w:firstLine="709" w:left="0"/>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12"/>
        </w:numPr>
        <w:shd w:val="clear" w:color="auto" w:fill="FFFFFF"/>
        <w:tabs>
          <w:tab w:val="clear" w:pos="708"/>
          <w:tab w:val="left" w:pos="1418" w:leader="none"/>
        </w:tabs>
        <w:ind w:firstLine="709" w:left="0"/>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12"/>
        </w:numPr>
        <w:shd w:val="clear" w:color="auto" w:fill="FFFFFF"/>
        <w:tabs>
          <w:tab w:val="clear" w:pos="708"/>
          <w:tab w:val="left" w:pos="567" w:leader="none"/>
          <w:tab w:val="left" w:pos="1418" w:leader="none"/>
        </w:tabs>
        <w:ind w:firstLine="709" w:left="0"/>
        <w:jc w:val="both"/>
        <w:rPr>
          <w:color w:val="000000"/>
          <w:sz w:val="24"/>
          <w:szCs w:val="24"/>
        </w:rPr>
      </w:pPr>
      <w:r>
        <w:rPr>
          <w:color w:val="000000"/>
          <w:sz w:val="24"/>
          <w:szCs w:val="24"/>
        </w:rPr>
        <w:t xml:space="preserve">Каналы связи Линия доверия Группы РусГидро: </w:t>
      </w:r>
    </w:p>
    <w:p>
      <w:pPr>
        <w:pStyle w:val="ListParagraph"/>
        <w:numPr>
          <w:ilvl w:val="2"/>
          <w:numId w:val="12"/>
        </w:numPr>
        <w:shd w:val="clear" w:color="auto" w:fill="FFFFFF"/>
        <w:tabs>
          <w:tab w:val="clear" w:pos="708"/>
          <w:tab w:val="left" w:pos="567" w:leader="none"/>
          <w:tab w:val="left" w:pos="1418" w:leader="none"/>
        </w:tabs>
        <w:ind w:firstLine="709" w:left="0"/>
        <w:jc w:val="both"/>
        <w:rPr>
          <w:sz w:val="24"/>
          <w:szCs w:val="24"/>
        </w:rPr>
      </w:pPr>
      <w:r>
        <w:rPr>
          <w:sz w:val="24"/>
          <w:szCs w:val="24"/>
        </w:rPr>
        <w:t>Электронная почта: ld@rushydro.ru.</w:t>
      </w:r>
    </w:p>
    <w:p>
      <w:pPr>
        <w:pStyle w:val="ListParagraph"/>
        <w:numPr>
          <w:ilvl w:val="2"/>
          <w:numId w:val="12"/>
        </w:numPr>
        <w:shd w:val="clear" w:color="auto" w:fill="FFFFFF"/>
        <w:tabs>
          <w:tab w:val="clear" w:pos="708"/>
          <w:tab w:val="left" w:pos="567" w:leader="none"/>
          <w:tab w:val="left" w:pos="1418" w:leader="none"/>
        </w:tabs>
        <w:ind w:firstLine="709" w:left="0"/>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2"/>
        </w:numPr>
        <w:tabs>
          <w:tab w:val="clear" w:pos="708"/>
          <w:tab w:val="left" w:pos="1418" w:leader="none"/>
        </w:tabs>
        <w:spacing w:lineRule="auto" w:line="259" w:before="0" w:after="160"/>
        <w:ind w:firstLine="709" w:left="0"/>
        <w:contextualSpacing/>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firstLine="709" w:left="0"/>
        <w:jc w:val="both"/>
        <w:rPr>
          <w:b/>
          <w:bCs/>
          <w:sz w:val="24"/>
          <w:szCs w:val="24"/>
        </w:rPr>
      </w:pPr>
      <w:r>
        <w:rPr>
          <w:b/>
          <w:bCs/>
          <w:sz w:val="24"/>
          <w:szCs w:val="24"/>
        </w:rPr>
      </w:r>
    </w:p>
    <w:p>
      <w:pPr>
        <w:pStyle w:val="ListParagraph"/>
        <w:widowControl/>
        <w:numPr>
          <w:ilvl w:val="0"/>
          <w:numId w:val="12"/>
        </w:numPr>
        <w:shd w:val="clear" w:color="auto" w:fill="FFFFFF"/>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2"/>
        </w:numPr>
        <w:shd w:val="clear" w:color="auto" w:fill="FFFFFF"/>
        <w:tabs>
          <w:tab w:val="clear" w:pos="708"/>
          <w:tab w:val="left" w:pos="0" w:leader="none"/>
          <w:tab w:val="left" w:pos="568" w:leader="none"/>
          <w:tab w:val="left" w:pos="1134" w:leader="none"/>
          <w:tab w:val="left" w:pos="1418" w:leader="none"/>
        </w:tabs>
        <w:ind w:firstLine="709" w:lef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12"/>
        </w:numPr>
        <w:shd w:val="clear" w:color="auto" w:fill="FFFFFF"/>
        <w:spacing w:before="0" w:after="0"/>
        <w:ind w:hanging="0" w:left="0"/>
        <w:contextualSpacing/>
        <w:jc w:val="center"/>
        <w:rPr>
          <w:b/>
          <w:bCs/>
          <w:sz w:val="24"/>
          <w:szCs w:val="24"/>
        </w:rPr>
      </w:pPr>
      <w:r>
        <w:rPr>
          <w:b/>
          <w:bCs/>
          <w:sz w:val="24"/>
          <w:szCs w:val="24"/>
        </w:rPr>
        <w:t>Особые положения</w:t>
      </w:r>
    </w:p>
    <w:p>
      <w:pPr>
        <w:pStyle w:val="ListParagraph"/>
        <w:widowControl/>
        <w:numPr>
          <w:ilvl w:val="1"/>
          <w:numId w:val="12"/>
        </w:numPr>
        <w:shd w:val="clear" w:color="auto" w:fill="FFFFFF"/>
        <w:tabs>
          <w:tab w:val="clear" w:pos="708"/>
          <w:tab w:val="left" w:pos="0" w:leader="none"/>
          <w:tab w:val="left" w:pos="568" w:leader="none"/>
        </w:tabs>
        <w:ind w:firstLine="709" w:left="0"/>
        <w:jc w:val="both"/>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sz w:val="24"/>
            <w:szCs w:val="24"/>
          </w:rPr>
          <w:t>№ 18162/09</w:t>
        </w:r>
      </w:hyperlink>
      <w:r>
        <w:rPr>
          <w:bCs/>
          <w:sz w:val="24"/>
          <w:szCs w:val="24"/>
        </w:rPr>
        <w:t xml:space="preserve"> и от 25.05.2010 </w:t>
      </w:r>
      <w:hyperlink r:id="rId3">
        <w:r>
          <w:rPr>
            <w:rStyle w:val="Hyperlink"/>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12"/>
        </w:numPr>
        <w:shd w:val="clear" w:color="auto" w:fill="FFFFFF"/>
        <w:tabs>
          <w:tab w:val="clear" w:pos="708"/>
          <w:tab w:val="left" w:pos="0" w:leader="none"/>
          <w:tab w:val="left" w:pos="568" w:leader="none"/>
        </w:tabs>
        <w:ind w:firstLine="709" w:left="0"/>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2"/>
        </w:numPr>
        <w:shd w:val="clear" w:color="auto" w:fill="FFFFFF"/>
        <w:tabs>
          <w:tab w:val="clear" w:pos="708"/>
          <w:tab w:val="left" w:pos="0" w:leader="none"/>
          <w:tab w:val="left" w:pos="568" w:leader="none"/>
        </w:tabs>
        <w:ind w:firstLine="709" w:left="0"/>
        <w:jc w:val="both"/>
        <w:rPr>
          <w:bCs/>
          <w:sz w:val="24"/>
          <w:szCs w:val="24"/>
        </w:rPr>
      </w:pPr>
      <w:r>
        <w:rPr>
          <w:bCs/>
          <w:sz w:val="24"/>
          <w:szCs w:val="24"/>
        </w:rPr>
        <w:t>В случае нарушения Поставщиком обязательств, установленных пунктами 9.1, 9.2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2"/>
        </w:numPr>
        <w:shd w:val="clear" w:color="auto" w:fill="FFFFFF"/>
        <w:tabs>
          <w:tab w:val="clear" w:pos="708"/>
          <w:tab w:val="left" w:pos="0" w:leader="none"/>
          <w:tab w:val="left" w:pos="568" w:leader="none"/>
        </w:tabs>
        <w:ind w:firstLine="709" w:left="0"/>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2"/>
        </w:numPr>
        <w:shd w:val="clear" w:color="auto" w:fill="FFFFFF"/>
        <w:tabs>
          <w:tab w:val="clear" w:pos="708"/>
          <w:tab w:val="left" w:pos="0" w:leader="none"/>
          <w:tab w:val="left" w:pos="568" w:leader="none"/>
        </w:tabs>
        <w:ind w:firstLine="709" w:left="0"/>
        <w:jc w:val="both"/>
        <w:rPr>
          <w:bCs/>
          <w:sz w:val="24"/>
          <w:szCs w:val="24"/>
        </w:rPr>
      </w:pPr>
      <w:r>
        <w:rPr>
          <w:bCs/>
          <w:sz w:val="24"/>
          <w:szCs w:val="24"/>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2"/>
        </w:numPr>
        <w:shd w:val="clear" w:color="auto" w:fill="FFFFFF"/>
        <w:tabs>
          <w:tab w:val="clear" w:pos="708"/>
          <w:tab w:val="left" w:pos="142" w:leader="none"/>
          <w:tab w:val="left" w:pos="568" w:leader="none"/>
        </w:tabs>
        <w:ind w:firstLine="709" w:left="0"/>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12"/>
        </w:numPr>
        <w:shd w:val="clear" w:color="auto" w:fill="FFFFFF"/>
        <w:tabs>
          <w:tab w:val="clear" w:pos="708"/>
          <w:tab w:val="left" w:pos="142" w:leader="none"/>
          <w:tab w:val="left" w:pos="568" w:leader="none"/>
        </w:tabs>
        <w:ind w:firstLine="709" w:left="0"/>
        <w:jc w:val="both"/>
        <w:rPr>
          <w:bCs/>
          <w:sz w:val="24"/>
          <w:szCs w:val="24"/>
        </w:rPr>
      </w:pPr>
      <w:r>
        <w:rPr>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hanging="0" w:left="0"/>
        <w:jc w:val="both"/>
        <w:rPr>
          <w:bCs/>
          <w:sz w:val="24"/>
          <w:szCs w:val="24"/>
        </w:rPr>
      </w:pPr>
      <w:r>
        <w:rPr>
          <w:bCs/>
          <w:sz w:val="24"/>
          <w:szCs w:val="24"/>
        </w:rPr>
      </w:r>
    </w:p>
    <w:p>
      <w:pPr>
        <w:pStyle w:val="ListParagraph"/>
        <w:widowControl/>
        <w:numPr>
          <w:ilvl w:val="0"/>
          <w:numId w:val="12"/>
        </w:numPr>
        <w:shd w:val="clear" w:color="auto" w:fill="FFFFFF"/>
        <w:ind w:hanging="0" w:lef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12"/>
        </w:numPr>
        <w:shd w:val="clear" w:color="auto" w:fill="FFFFFF"/>
        <w:tabs>
          <w:tab w:val="clear" w:pos="708"/>
          <w:tab w:val="left" w:pos="1134" w:leader="none"/>
          <w:tab w:val="left" w:pos="1418" w:leader="none"/>
        </w:tabs>
        <w:ind w:firstLine="709" w:lef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2"/>
        </w:numPr>
        <w:shd w:val="clear" w:color="auto" w:fill="FFFFFF"/>
        <w:tabs>
          <w:tab w:val="clear" w:pos="708"/>
          <w:tab w:val="left" w:pos="1418" w:leader="none"/>
        </w:tabs>
        <w:ind w:firstLine="709" w:lef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clear" w:pos="708"/>
          <w:tab w:val="left" w:pos="0" w:leader="none"/>
          <w:tab w:val="left" w:pos="709"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clear" w:pos="708"/>
          <w:tab w:val="left" w:pos="0" w:leader="none"/>
          <w:tab w:val="left" w:pos="709"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12"/>
        </w:numPr>
        <w:tabs>
          <w:tab w:val="clear" w:pos="708"/>
          <w:tab w:val="left" w:pos="1418" w:leader="none"/>
        </w:tabs>
        <w:ind w:firstLine="709" w:lef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2"/>
        </w:numPr>
        <w:shd w:val="clear" w:color="auto" w:fill="FFFFFF"/>
        <w:tabs>
          <w:tab w:val="clear" w:pos="708"/>
          <w:tab w:val="left" w:pos="1418" w:leader="none"/>
        </w:tabs>
        <w:ind w:firstLine="709" w:lef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2"/>
        </w:numPr>
        <w:shd w:val="clear" w:color="auto" w:fill="FFFFFF"/>
        <w:tabs>
          <w:tab w:val="clear" w:pos="708"/>
          <w:tab w:val="left" w:pos="1418" w:leader="none"/>
        </w:tabs>
        <w:ind w:firstLine="709" w:left="0"/>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firstLine="709" w:left="0"/>
        <w:jc w:val="both"/>
        <w:rPr>
          <w:sz w:val="24"/>
          <w:szCs w:val="24"/>
        </w:rPr>
      </w:pPr>
      <w:r>
        <w:rPr>
          <w:sz w:val="24"/>
          <w:szCs w:val="24"/>
        </w:rPr>
      </w:r>
    </w:p>
    <w:p>
      <w:pPr>
        <w:pStyle w:val="ListParagraph"/>
        <w:widowControl/>
        <w:numPr>
          <w:ilvl w:val="0"/>
          <w:numId w:val="12"/>
        </w:numPr>
        <w:shd w:val="clear" w:color="auto" w:fill="FFFFFF"/>
        <w:ind w:hanging="0" w:lef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12"/>
        </w:numPr>
        <w:shd w:val="clear" w:color="auto" w:fill="FFFFFF"/>
        <w:tabs>
          <w:tab w:val="clear" w:pos="708"/>
          <w:tab w:val="left" w:pos="1418" w:leader="none"/>
        </w:tabs>
        <w:ind w:firstLine="709"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12"/>
        </w:numPr>
        <w:shd w:val="clear" w:color="auto" w:fill="FFFFFF"/>
        <w:tabs>
          <w:tab w:val="clear" w:pos="708"/>
          <w:tab w:val="left" w:pos="1418" w:leader="none"/>
        </w:tabs>
        <w:ind w:firstLine="709" w:left="0"/>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2"/>
        </w:numPr>
        <w:shd w:val="clear" w:color="auto" w:fill="FFFFFF"/>
        <w:tabs>
          <w:tab w:val="clear" w:pos="708"/>
          <w:tab w:val="left" w:pos="709" w:leader="none"/>
          <w:tab w:val="left" w:pos="1418" w:leader="none"/>
        </w:tabs>
        <w:ind w:firstLine="709" w:left="0"/>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8"/>
          <w:tab w:val="left" w:pos="1134" w:leader="none"/>
          <w:tab w:val="left" w:pos="1418" w:leader="none"/>
        </w:tabs>
        <w:ind w:firstLine="709" w:left="0"/>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8"/>
          <w:tab w:val="left" w:pos="1418" w:leader="none"/>
        </w:tabs>
        <w:spacing w:beforeAutospacing="0" w:before="0" w:afterAutospacing="0" w:after="0"/>
        <w:ind w:firstLine="709" w:left="0"/>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8"/>
          <w:tab w:val="left" w:pos="1418" w:leader="none"/>
        </w:tabs>
        <w:spacing w:beforeAutospacing="0" w:before="0" w:afterAutospacing="0" w:after="0"/>
        <w:ind w:firstLine="709" w:left="0"/>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8"/>
          <w:tab w:val="left" w:pos="1418" w:leader="none"/>
        </w:tabs>
        <w:spacing w:beforeAutospacing="0" w:before="0" w:afterAutospacing="0" w:after="0"/>
        <w:ind w:firstLine="709" w:left="0"/>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8"/>
          <w:tab w:val="left" w:pos="1418" w:leader="none"/>
        </w:tabs>
        <w:spacing w:beforeAutospacing="0" w:before="0" w:afterAutospacing="0" w:after="0"/>
        <w:ind w:firstLine="709" w:left="0"/>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8"/>
          <w:tab w:val="left" w:pos="1418" w:leader="none"/>
        </w:tabs>
        <w:ind w:firstLine="709" w:left="0"/>
        <w:jc w:val="both"/>
        <w:rPr>
          <w:sz w:val="24"/>
          <w:szCs w:val="24"/>
        </w:rPr>
      </w:pPr>
      <w:r>
        <w:rPr>
          <w:sz w:val="24"/>
          <w:szCs w:val="24"/>
        </w:rPr>
        <w:t>В случае отказа Покупателя от Договора в случаях, предусмотренных пунктами 11.2,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firstLine="709" w:lef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firstLine="709" w:lef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hanging="0" w:left="709"/>
        <w:jc w:val="both"/>
        <w:rPr>
          <w:sz w:val="24"/>
          <w:szCs w:val="24"/>
        </w:rPr>
      </w:pPr>
      <w:r>
        <w:rPr>
          <w:sz w:val="24"/>
          <w:szCs w:val="24"/>
        </w:rPr>
      </w:r>
    </w:p>
    <w:p>
      <w:pPr>
        <w:pStyle w:val="ListParagraph"/>
        <w:widowControl/>
        <w:shd w:val="clear" w:color="auto" w:fill="FFFFFF"/>
        <w:tabs>
          <w:tab w:val="clear" w:pos="708"/>
          <w:tab w:val="left" w:pos="1134" w:leader="none"/>
        </w:tabs>
        <w:ind w:firstLine="709" w:left="0"/>
        <w:jc w:val="both"/>
        <w:rPr>
          <w:sz w:val="24"/>
          <w:szCs w:val="24"/>
        </w:rPr>
      </w:pPr>
      <w:r>
        <w:rPr>
          <w:sz w:val="24"/>
          <w:szCs w:val="24"/>
        </w:rPr>
      </w:r>
    </w:p>
    <w:p>
      <w:pPr>
        <w:pStyle w:val="ListParagraph"/>
        <w:widowControl/>
        <w:numPr>
          <w:ilvl w:val="0"/>
          <w:numId w:val="12"/>
        </w:numPr>
        <w:shd w:val="clear" w:color="auto" w:fill="FFFFFF"/>
        <w:ind w:hanging="0" w:left="0"/>
        <w:jc w:val="center"/>
        <w:rPr>
          <w:b/>
          <w:bCs/>
          <w:sz w:val="24"/>
          <w:szCs w:val="24"/>
        </w:rPr>
      </w:pPr>
      <w:r>
        <w:rPr>
          <w:b/>
          <w:bCs/>
          <w:sz w:val="24"/>
          <w:szCs w:val="24"/>
        </w:rPr>
        <w:t>Разрешение споров</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pPr>
      <w:r>
        <w:rPr>
          <w:bCs/>
          <w:sz w:val="24"/>
          <w:szCs w:val="24"/>
        </w:rPr>
        <w:t xml:space="preserve">Споры, указанные в пункте 12.1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ListParagraph"/>
        <w:widowControl/>
        <w:shd w:val="clear" w:color="auto" w:fill="FFFFFF"/>
        <w:tabs>
          <w:tab w:val="clear" w:pos="708"/>
          <w:tab w:val="left" w:pos="142" w:leader="none"/>
        </w:tabs>
        <w:ind w:hanging="0" w:left="0"/>
        <w:jc w:val="both"/>
        <w:rPr>
          <w:bCs/>
          <w:sz w:val="24"/>
          <w:szCs w:val="24"/>
        </w:rPr>
      </w:pPr>
      <w:r>
        <w:rPr>
          <w:bCs/>
          <w:sz w:val="24"/>
          <w:szCs w:val="24"/>
        </w:rPr>
      </w:r>
    </w:p>
    <w:p>
      <w:pPr>
        <w:pStyle w:val="ListParagraph"/>
        <w:widowControl/>
        <w:numPr>
          <w:ilvl w:val="0"/>
          <w:numId w:val="12"/>
        </w:numPr>
        <w:shd w:val="clear" w:color="auto" w:fill="FFFFFF"/>
        <w:ind w:hanging="0" w:left="0"/>
        <w:jc w:val="center"/>
        <w:rPr>
          <w:b/>
          <w:bCs/>
          <w:sz w:val="24"/>
          <w:szCs w:val="24"/>
        </w:rPr>
      </w:pPr>
      <w:r>
        <w:rPr>
          <w:b/>
          <w:bCs/>
          <w:sz w:val="24"/>
          <w:szCs w:val="24"/>
        </w:rPr>
        <w:t>Заключительные положения</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snapToGrid w:val="false"/>
        <w:ind w:hanging="0" w:left="0"/>
        <w:jc w:val="both"/>
        <w:rPr/>
      </w:pPr>
      <w:r>
        <w:rPr/>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13.7 Договора. </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13.8 Договора. Использование </w:t>
      </w:r>
      <w:r>
        <w:rPr>
          <w:sz w:val="24"/>
          <w:szCs w:val="24"/>
          <w:shd w:fill="auto" w:val="clear"/>
        </w:rPr>
        <w:t xml:space="preserve">средств электронной связи </w:t>
      </w:r>
      <w:r>
        <w:rPr>
          <w:sz w:val="24"/>
          <w:szCs w:val="24"/>
        </w:rPr>
        <w:t>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bCs/>
          <w:sz w:val="24"/>
          <w:szCs w:val="24"/>
        </w:rPr>
      </w:pPr>
      <w:bookmarkStart w:id="10" w:name="_Ref361338019"/>
      <w:bookmarkEnd w:id="10"/>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w:t>
      </w:r>
      <w:r>
        <w:rPr>
          <w:sz w:val="24"/>
          <w:szCs w:val="24"/>
          <w:shd w:fill="auto" w:val="clear"/>
        </w:rPr>
        <w:t>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shd w:fill="auto" w:val="clear"/>
        </w:rPr>
        <w:t xml:space="preserve"> будет считаться полученным</w:t>
      </w:r>
      <w:r>
        <w:rPr>
          <w:sz w:val="24"/>
          <w:szCs w:val="24"/>
          <w:shd w:fill="auto" w:val="clear"/>
        </w:rPr>
        <w:t xml:space="preserve">: </w:t>
      </w:r>
    </w:p>
    <w:p>
      <w:pPr>
        <w:pStyle w:val="ListParagraph"/>
        <w:numPr>
          <w:ilvl w:val="2"/>
          <w:numId w:val="12"/>
        </w:numPr>
        <w:ind w:firstLine="709" w:left="0"/>
        <w:jc w:val="both"/>
        <w:rPr>
          <w:highlight w:val="none"/>
          <w:shd w:fill="auto" w:val="clear"/>
        </w:rPr>
      </w:pPr>
      <w:r>
        <w:rPr>
          <w:bCs/>
          <w:sz w:val="24"/>
          <w:szCs w:val="24"/>
          <w:shd w:fill="auto" w:val="clear"/>
        </w:rPr>
        <w:t xml:space="preserve">Заказным почтовым отправлением с уведомлением о вручении – </w:t>
      </w:r>
      <w:r>
        <w:rPr>
          <w:sz w:val="24"/>
          <w:szCs w:val="24"/>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2"/>
        </w:numPr>
        <w:ind w:firstLine="709" w:left="0"/>
        <w:jc w:val="both"/>
        <w:rPr>
          <w:highlight w:val="none"/>
          <w:shd w:fill="auto" w:val="clear"/>
        </w:rPr>
      </w:pPr>
      <w:bookmarkStart w:id="11" w:name="_Ref3613380191"/>
      <w:bookmarkEnd w:id="11"/>
      <w:r>
        <w:rPr>
          <w:bCs/>
          <w:sz w:val="24"/>
          <w:szCs w:val="24"/>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bookmarkStart w:id="12" w:name="_Ref361338032"/>
      <w:r>
        <w:rPr>
          <w:sz w:val="24"/>
          <w:szCs w:val="24"/>
          <w:shd w:fill="auto" w:val="clear"/>
        </w:rPr>
        <w:t xml:space="preserve">; </w:t>
      </w:r>
    </w:p>
    <w:p>
      <w:pPr>
        <w:pStyle w:val="ListParagraph"/>
        <w:ind w:firstLine="720" w:left="0"/>
        <w:jc w:val="both"/>
        <w:rPr>
          <w:highlight w:val="none"/>
          <w:shd w:fill="auto" w:val="clear"/>
        </w:rPr>
      </w:pPr>
      <w:r>
        <w:rPr>
          <w:bCs/>
          <w:sz w:val="24"/>
          <w:szCs w:val="24"/>
          <w:shd w:fill="auto" w:val="clear"/>
        </w:rPr>
        <w:t xml:space="preserve">13.8.3. </w:t>
      </w:r>
      <w:bookmarkEnd w:id="12"/>
      <w:r>
        <w:rPr>
          <w:bCs/>
          <w:sz w:val="24"/>
          <w:szCs w:val="24"/>
          <w:shd w:fill="auto" w:val="clear"/>
        </w:rPr>
        <w:t>Посредством электронной почты (</w:t>
      </w:r>
      <w:r>
        <w:rPr>
          <w:bCs/>
          <w:sz w:val="24"/>
          <w:szCs w:val="24"/>
          <w:shd w:fill="auto" w:val="clear"/>
          <w:lang w:val="en-US"/>
        </w:rPr>
        <w:t>e</w:t>
      </w:r>
      <w:r>
        <w:rPr>
          <w:bCs/>
          <w:sz w:val="24"/>
          <w:szCs w:val="24"/>
          <w:shd w:fill="auto" w:val="clear"/>
        </w:rPr>
        <w:t>-</w:t>
      </w:r>
      <w:r>
        <w:rPr>
          <w:bCs/>
          <w:sz w:val="24"/>
          <w:szCs w:val="24"/>
          <w:shd w:fill="auto" w:val="clear"/>
          <w:lang w:val="en-US"/>
        </w:rPr>
        <w:t>mail</w:t>
      </w:r>
      <w:r>
        <w:rPr>
          <w:bCs/>
          <w:sz w:val="24"/>
          <w:szCs w:val="24"/>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firstLine="709" w:left="0"/>
        <w:jc w:val="both"/>
        <w:rPr>
          <w:bCs/>
          <w:sz w:val="24"/>
          <w:szCs w:val="24"/>
        </w:rPr>
      </w:pPr>
      <w:r>
        <w:rPr>
          <w:bCs/>
          <w:sz w:val="24"/>
          <w:szCs w:val="24"/>
          <w:shd w:fill="auto" w:val="clear"/>
        </w:rPr>
        <w:t>Оригиналы документ</w:t>
      </w:r>
      <w:r>
        <w:rPr>
          <w:bCs/>
          <w:sz w:val="24"/>
          <w:szCs w:val="24"/>
        </w:rPr>
        <w:t>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w:t>
      </w:r>
    </w:p>
    <w:p>
      <w:pPr>
        <w:pStyle w:val="ListParagraph"/>
        <w:shd w:val="clear" w:color="auto" w:fill="FFFFFF"/>
        <w:tabs>
          <w:tab w:val="clear" w:pos="708"/>
          <w:tab w:val="left" w:pos="0" w:leader="none"/>
          <w:tab w:val="left" w:pos="1134" w:leader="none"/>
          <w:tab w:val="left" w:pos="1418" w:leader="none"/>
          <w:tab w:val="left" w:pos="1701" w:leader="none"/>
        </w:tabs>
        <w:ind w:firstLine="709" w:left="0"/>
        <w:jc w:val="both"/>
        <w:rPr>
          <w:bCs/>
          <w:iCs/>
          <w:color w:val="000000"/>
          <w:sz w:val="24"/>
          <w:szCs w:val="24"/>
        </w:rPr>
      </w:pPr>
      <w:r>
        <w:rPr>
          <w:bCs/>
          <w:sz w:val="24"/>
          <w:szCs w:val="24"/>
        </w:rPr>
        <w:t xml:space="preserve">В случае заключения Соглашения, согласно которому </w:t>
      </w:r>
      <w:r>
        <w:rPr>
          <w:sz w:val="24"/>
          <w:szCs w:val="24"/>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z w:val="24"/>
          <w:szCs w:val="24"/>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ListParagraph"/>
        <w:widowControl/>
        <w:numPr>
          <w:ilvl w:val="1"/>
          <w:numId w:val="12"/>
        </w:numPr>
        <w:tabs>
          <w:tab w:val="clear" w:pos="708"/>
          <w:tab w:val="left" w:pos="0" w:leader="none"/>
          <w:tab w:val="left" w:pos="1418" w:leader="none"/>
        </w:tabs>
        <w:ind w:firstLine="709" w:lef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ListParagraph"/>
        <w:widowControl/>
        <w:numPr>
          <w:ilvl w:val="1"/>
          <w:numId w:val="12"/>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s>
        <w:ind w:firstLine="709" w:left="0"/>
        <w:jc w:val="both"/>
        <w:rPr>
          <w:sz w:val="24"/>
          <w:szCs w:val="24"/>
        </w:rPr>
      </w:pPr>
      <w:r>
        <w:rPr>
          <w:sz w:val="24"/>
        </w:rPr>
        <w:t xml:space="preserve">Со стороны Покупателя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(наименование филиала) расположенный по адресу: (индекс, город, обл., улица номер дома.) ИНН ________, КПП _________,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tabs>
          <w:tab w:val="clear" w:pos="708"/>
          <w:tab w:val="left" w:pos="993" w:leader="none"/>
        </w:tabs>
        <w:ind w:firstLine="709" w:right="-2"/>
        <w:jc w:val="both"/>
        <w:rPr>
          <w:bCs/>
          <w:iCs/>
          <w:sz w:val="24"/>
        </w:rPr>
      </w:pPr>
      <w:r>
        <w:rPr>
          <w:bCs/>
          <w:iCs/>
          <w:sz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s>
        <w:ind w:firstLine="709"/>
        <w:jc w:val="both"/>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widowControl/>
        <w:shd w:val="clear" w:color="auto" w:fill="FFFFFF"/>
        <w:tabs>
          <w:tab w:val="clear" w:pos="708"/>
          <w:tab w:val="left" w:pos="0" w:leader="none"/>
          <w:tab w:val="left" w:pos="1418" w:leader="none"/>
        </w:tabs>
        <w:ind w:firstLine="709" w:left="0"/>
        <w:jc w:val="both"/>
        <w:rPr>
          <w:sz w:val="24"/>
          <w:szCs w:val="24"/>
        </w:rPr>
      </w:pPr>
      <w:r>
        <w:rPr>
          <w:sz w:val="24"/>
          <w:szCs w:val="24"/>
        </w:rPr>
      </w:r>
    </w:p>
    <w:p>
      <w:pPr>
        <w:pStyle w:val="Normal"/>
        <w:widowControl/>
        <w:numPr>
          <w:ilvl w:val="0"/>
          <w:numId w:val="12"/>
        </w:numPr>
        <w:shd w:val="clear" w:color="auto" w:fill="FFFFFF"/>
        <w:spacing w:before="0" w:after="0"/>
        <w:ind w:hanging="0" w:left="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suppressAutoHyphens w:val="true"/>
        <w:ind w:firstLine="709"/>
        <w:jc w:val="both"/>
        <w:rPr>
          <w:sz w:val="24"/>
          <w:szCs w:val="24"/>
          <w:lang w:eastAsia="x-none"/>
        </w:rPr>
      </w:pPr>
      <w:bookmarkStart w:id="13" w:name="sub_1"/>
      <w:r>
        <w:rPr>
          <w:sz w:val="24"/>
          <w:szCs w:val="24"/>
          <w:lang w:eastAsia="x-none"/>
        </w:rPr>
        <w:t>Приложение № 2 –</w:t>
      </w:r>
      <w:bookmarkEnd w:id="13"/>
      <w:r>
        <w:rPr>
          <w:rFonts w:eastAsia="Calibri"/>
          <w:sz w:val="24"/>
          <w:szCs w:val="24"/>
          <w:lang w:eastAsia="en-US"/>
        </w:rPr>
        <w:t xml:space="preserve"> Форма Заявки на поставку Товара;</w:t>
      </w:r>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t>Приложение № 4 – Уведомление (форма).</w:t>
      </w:r>
    </w:p>
    <w:p>
      <w:pPr>
        <w:pStyle w:val="Normal"/>
        <w:ind w:firstLine="709"/>
        <w:jc w:val="both"/>
        <w:rPr>
          <w:bCs/>
          <w:sz w:val="24"/>
          <w:szCs w:val="24"/>
        </w:rPr>
      </w:pPr>
      <w:r>
        <w:rPr>
          <w:bCs/>
          <w:sz w:val="24"/>
          <w:szCs w:val="24"/>
        </w:rPr>
      </w:r>
    </w:p>
    <w:p>
      <w:pPr>
        <w:pStyle w:val="ListParagraph"/>
        <w:widowControl/>
        <w:numPr>
          <w:ilvl w:val="0"/>
          <w:numId w:val="12"/>
        </w:numPr>
        <w:shd w:val="clear" w:color="auto" w:fill="FFFFFF"/>
        <w:ind w:hanging="0" w:left="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firstLine="709" w:left="0"/>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631"/>
        <w:gridCol w:w="130"/>
        <w:gridCol w:w="3929"/>
        <w:gridCol w:w="91"/>
      </w:tblGrid>
      <w:tr>
        <w:trPr/>
        <w:tc>
          <w:tcPr>
            <w:tcW w:w="5761" w:type="dxa"/>
            <w:gridSpan w:val="2"/>
            <w:tcBorders/>
            <w:shd w:fill="auto" w:val="clear"/>
          </w:tcPr>
          <w:p>
            <w:pPr>
              <w:pStyle w:val="Normal"/>
              <w:spacing w:lineRule="auto" w:line="360"/>
              <w:rPr>
                <w:b/>
                <w:bCs/>
              </w:rPr>
            </w:pPr>
            <w:r>
              <w:rPr>
                <w:b/>
                <w:bCs/>
              </w:rPr>
              <w:t>ПОКУПАТЕЛЬ:</w:t>
            </w:r>
            <w:r>
              <w:rPr>
                <w:b/>
                <w:bCs/>
                <w:u w:val="single"/>
              </w:rPr>
              <w:t xml:space="preserve"> </w:t>
            </w:r>
          </w:p>
          <w:p>
            <w:pPr>
              <w:pStyle w:val="Style40"/>
              <w:rPr>
                <w:sz w:val="22"/>
                <w:szCs w:val="22"/>
              </w:rPr>
            </w:pPr>
            <w:r>
              <w:rPr>
                <w:rFonts w:ascii="Times New Roman" w:hAnsi="Times New Roman"/>
                <w:b/>
                <w:bCs/>
                <w:sz w:val="22"/>
                <w:szCs w:val="22"/>
              </w:rPr>
              <w:t>Акционерное общество</w:t>
            </w:r>
          </w:p>
          <w:p>
            <w:pPr>
              <w:pStyle w:val="Style40"/>
              <w:rPr>
                <w:sz w:val="22"/>
                <w:szCs w:val="22"/>
              </w:rPr>
            </w:pPr>
            <w:r>
              <w:rPr>
                <w:rFonts w:ascii="Times New Roman" w:hAnsi="Times New Roman"/>
                <w:b/>
                <w:bCs/>
                <w:sz w:val="22"/>
                <w:szCs w:val="22"/>
              </w:rPr>
              <w:t xml:space="preserve"> </w:t>
            </w:r>
            <w:r>
              <w:rPr>
                <w:rFonts w:ascii="Times New Roman" w:hAnsi="Times New Roman"/>
                <w:b/>
                <w:bCs/>
                <w:sz w:val="22"/>
                <w:szCs w:val="22"/>
              </w:rPr>
              <w:t>«Дальневосточная распределительная</w:t>
            </w:r>
          </w:p>
          <w:p>
            <w:pPr>
              <w:pStyle w:val="Style40"/>
              <w:rPr>
                <w:sz w:val="22"/>
                <w:szCs w:val="22"/>
              </w:rPr>
            </w:pPr>
            <w:r>
              <w:rPr>
                <w:rFonts w:ascii="Times New Roman" w:hAnsi="Times New Roman"/>
                <w:b/>
                <w:bCs/>
                <w:sz w:val="22"/>
                <w:szCs w:val="22"/>
              </w:rPr>
              <w:t xml:space="preserve"> </w:t>
            </w:r>
            <w:r>
              <w:rPr>
                <w:rFonts w:ascii="Times New Roman" w:hAnsi="Times New Roman"/>
                <w:b/>
                <w:bCs/>
                <w:sz w:val="22"/>
                <w:szCs w:val="22"/>
              </w:rPr>
              <w:t>сетевая компания» (АО «ДРСК»)</w:t>
            </w:r>
          </w:p>
          <w:p>
            <w:pPr>
              <w:pStyle w:val="Style40"/>
              <w:rPr>
                <w:sz w:val="22"/>
                <w:szCs w:val="22"/>
              </w:rPr>
            </w:pPr>
            <w:r>
              <w:rPr>
                <w:rFonts w:ascii="Times New Roman" w:hAnsi="Times New Roman"/>
                <w:sz w:val="22"/>
                <w:szCs w:val="22"/>
              </w:rPr>
              <w:t>Юридический адрес:</w:t>
            </w:r>
          </w:p>
          <w:p>
            <w:pPr>
              <w:pStyle w:val="Style40"/>
              <w:rPr>
                <w:sz w:val="22"/>
                <w:szCs w:val="22"/>
              </w:rPr>
            </w:pPr>
            <w:r>
              <w:rPr>
                <w:rFonts w:ascii="Times New Roman" w:hAnsi="Times New Roman"/>
                <w:sz w:val="22"/>
                <w:szCs w:val="22"/>
              </w:rPr>
              <w:t>Российская Федерация, Амурская область</w:t>
            </w:r>
          </w:p>
          <w:p>
            <w:pPr>
              <w:pStyle w:val="Normal"/>
              <w:jc w:val="both"/>
              <w:rPr>
                <w:sz w:val="22"/>
                <w:szCs w:val="22"/>
              </w:rPr>
            </w:pPr>
            <w:r>
              <w:rPr>
                <w:sz w:val="22"/>
                <w:szCs w:val="22"/>
              </w:rPr>
              <w:t xml:space="preserve">675004 г. Благовещенск, ул. Шевченко, д.32 </w:t>
            </w:r>
          </w:p>
          <w:p>
            <w:pPr>
              <w:pStyle w:val="Normal"/>
              <w:jc w:val="both"/>
              <w:rPr>
                <w:sz w:val="22"/>
                <w:szCs w:val="22"/>
              </w:rPr>
            </w:pPr>
            <w:r>
              <w:rPr>
                <w:sz w:val="22"/>
                <w:szCs w:val="22"/>
              </w:rPr>
              <w:t>ИНН 2801108200</w:t>
            </w:r>
          </w:p>
          <w:p>
            <w:pPr>
              <w:pStyle w:val="Normal"/>
              <w:jc w:val="both"/>
              <w:rPr>
                <w:sz w:val="22"/>
                <w:szCs w:val="22"/>
              </w:rPr>
            </w:pPr>
            <w:r>
              <w:rPr>
                <w:sz w:val="22"/>
                <w:szCs w:val="22"/>
              </w:rPr>
              <w:t>КПП 775050001</w:t>
            </w:r>
          </w:p>
          <w:p>
            <w:pPr>
              <w:pStyle w:val="Normal"/>
              <w:rPr>
                <w:sz w:val="22"/>
                <w:szCs w:val="22"/>
              </w:rPr>
            </w:pPr>
            <w:r>
              <w:rPr>
                <w:color w:val="000000"/>
                <w:sz w:val="22"/>
                <w:szCs w:val="22"/>
              </w:rPr>
              <w:t>Р/сч 40702810003010113258</w:t>
            </w:r>
          </w:p>
          <w:p>
            <w:pPr>
              <w:pStyle w:val="Normal"/>
              <w:rPr>
                <w:sz w:val="22"/>
                <w:szCs w:val="22"/>
              </w:rPr>
            </w:pPr>
            <w:r>
              <w:rPr>
                <w:bCs/>
                <w:iCs/>
                <w:color w:val="000000"/>
                <w:sz w:val="22"/>
                <w:szCs w:val="22"/>
              </w:rPr>
              <w:t xml:space="preserve">ДАЛЬНЕВОСТОЧНЫЙ БАНК </w:t>
            </w:r>
          </w:p>
          <w:p>
            <w:pPr>
              <w:pStyle w:val="Normal"/>
              <w:rPr>
                <w:sz w:val="22"/>
                <w:szCs w:val="22"/>
              </w:rPr>
            </w:pPr>
            <w:r>
              <w:rPr>
                <w:bCs/>
                <w:iCs/>
                <w:color w:val="000000"/>
                <w:sz w:val="22"/>
                <w:szCs w:val="22"/>
              </w:rPr>
              <w:t>ПАО "СБЕРБАНК РОССИИ"</w:t>
            </w:r>
          </w:p>
          <w:p>
            <w:pPr>
              <w:pStyle w:val="Normal"/>
              <w:rPr>
                <w:sz w:val="22"/>
                <w:szCs w:val="22"/>
              </w:rPr>
            </w:pPr>
            <w:r>
              <w:rPr>
                <w:bCs/>
                <w:iCs/>
                <w:color w:val="000000"/>
                <w:sz w:val="22"/>
                <w:szCs w:val="22"/>
              </w:rPr>
              <w:t>Г. ХАБАРОВСК</w:t>
            </w:r>
          </w:p>
          <w:p>
            <w:pPr>
              <w:pStyle w:val="Normal"/>
              <w:rPr>
                <w:sz w:val="22"/>
                <w:szCs w:val="22"/>
              </w:rPr>
            </w:pPr>
            <w:r>
              <w:rPr>
                <w:color w:val="000000"/>
                <w:sz w:val="22"/>
                <w:szCs w:val="22"/>
              </w:rPr>
              <w:t>К/сч 30101810600000000608</w:t>
            </w:r>
          </w:p>
          <w:p>
            <w:pPr>
              <w:pStyle w:val="Normal"/>
              <w:rPr>
                <w:sz w:val="22"/>
                <w:szCs w:val="22"/>
              </w:rPr>
            </w:pPr>
            <w:r>
              <w:rPr>
                <w:color w:val="000000"/>
                <w:sz w:val="22"/>
                <w:szCs w:val="22"/>
              </w:rPr>
              <w:t>БИК 040813608</w:t>
            </w:r>
          </w:p>
          <w:p>
            <w:pPr>
              <w:pStyle w:val="Normal"/>
              <w:jc w:val="both"/>
              <w:rPr>
                <w:sz w:val="22"/>
                <w:szCs w:val="22"/>
              </w:rPr>
            </w:pPr>
            <w:r>
              <w:rPr>
                <w:sz w:val="22"/>
                <w:szCs w:val="22"/>
                <w:u w:val="single"/>
              </w:rPr>
              <w:t>Почтовый адрес</w:t>
            </w:r>
            <w:r>
              <w:rPr>
                <w:sz w:val="22"/>
                <w:szCs w:val="22"/>
              </w:rPr>
              <w:t>:</w:t>
            </w:r>
          </w:p>
          <w:p>
            <w:pPr>
              <w:pStyle w:val="Normal"/>
              <w:jc w:val="both"/>
              <w:rPr>
                <w:sz w:val="22"/>
                <w:szCs w:val="22"/>
              </w:rPr>
            </w:pPr>
            <w:r>
              <w:rPr>
                <w:sz w:val="22"/>
                <w:szCs w:val="22"/>
              </w:rPr>
              <w:t>679011 г. Биробиджан, ул. Черноморская д.6</w:t>
            </w:r>
          </w:p>
          <w:p>
            <w:pPr>
              <w:pStyle w:val="Normal"/>
              <w:jc w:val="both"/>
              <w:rPr>
                <w:sz w:val="22"/>
                <w:szCs w:val="22"/>
              </w:rPr>
            </w:pPr>
            <w:r>
              <w:rPr>
                <w:b/>
                <w:bCs/>
                <w:iCs/>
                <w:sz w:val="22"/>
                <w:szCs w:val="22"/>
              </w:rPr>
              <w:t>Филиал АО «ДРСК» «ЭС ЕАО»</w:t>
            </w:r>
            <w:r>
              <w:rPr>
                <w:b/>
                <w:bCs/>
                <w:i/>
                <w:iCs/>
                <w:sz w:val="22"/>
                <w:szCs w:val="22"/>
              </w:rPr>
              <w:t xml:space="preserve"> </w:t>
            </w:r>
          </w:p>
          <w:p>
            <w:pPr>
              <w:pStyle w:val="Normal"/>
              <w:jc w:val="both"/>
              <w:rPr>
                <w:sz w:val="22"/>
                <w:szCs w:val="22"/>
              </w:rPr>
            </w:pPr>
            <w:r>
              <w:rPr>
                <w:sz w:val="22"/>
                <w:szCs w:val="22"/>
              </w:rPr>
              <w:t>КПП 790102001</w:t>
            </w:r>
          </w:p>
          <w:p>
            <w:pPr>
              <w:pStyle w:val="LO-Normal"/>
              <w:rPr>
                <w:sz w:val="22"/>
                <w:szCs w:val="22"/>
              </w:rPr>
            </w:pPr>
            <w:r>
              <w:rPr>
                <w:sz w:val="22"/>
                <w:szCs w:val="22"/>
              </w:rPr>
              <w:t>Контактный телефон: (426-22) 4-09-31</w:t>
            </w:r>
          </w:p>
        </w:tc>
        <w:tc>
          <w:tcPr>
            <w:tcW w:w="4020" w:type="dxa"/>
            <w:gridSpan w:val="2"/>
            <w:tcBorders/>
            <w:shd w:fill="auto" w:val="clear"/>
          </w:tcPr>
          <w:p>
            <w:pPr>
              <w:pStyle w:val="Normal"/>
              <w:widowControl w:val="false"/>
              <w:rPr>
                <w:b/>
                <w:sz w:val="24"/>
                <w:szCs w:val="24"/>
              </w:rPr>
            </w:pPr>
            <w:r>
              <w:rPr>
                <w:b/>
                <w:sz w:val="24"/>
                <w:szCs w:val="24"/>
              </w:rPr>
              <w:t>Поставщик:</w:t>
            </w:r>
          </w:p>
        </w:tc>
      </w:tr>
      <w:tr>
        <w:trPr/>
        <w:tc>
          <w:tcPr>
            <w:tcW w:w="5761" w:type="dxa"/>
            <w:gridSpan w:val="2"/>
            <w:tcBorders/>
            <w:shd w:color="auto" w:fill="BFBFBF" w:val="clear"/>
          </w:tcPr>
          <w:p>
            <w:pPr>
              <w:pStyle w:val="BodyText"/>
              <w:rPr/>
            </w:pPr>
            <w:r>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shd w:color="auto" w:fill="auto" w:val="clear"/>
                </w:tcPr>
                <w:p>
                  <w:pPr>
                    <w:pStyle w:val="Normal"/>
                    <w:rPr>
                      <w:b/>
                      <w:sz w:val="24"/>
                    </w:rPr>
                  </w:pPr>
                  <w:r>
                    <w:rPr>
                      <w:b/>
                      <w:sz w:val="24"/>
                    </w:rPr>
                    <w:t>Покупатель:</w:t>
                  </w:r>
                </w:p>
              </w:tc>
              <w:tc>
                <w:tcPr>
                  <w:tcW w:w="4805" w:type="dxa"/>
                  <w:tcBorders/>
                  <w:shd w:color="auto" w:fill="auto" w:val="clear"/>
                </w:tcPr>
                <w:p>
                  <w:pPr>
                    <w:pStyle w:val="Normal"/>
                    <w:rPr>
                      <w:b/>
                      <w:sz w:val="24"/>
                    </w:rPr>
                  </w:pPr>
                  <w:r>
                    <w:rPr>
                      <w:b/>
                      <w:sz w:val="24"/>
                    </w:rPr>
                  </w:r>
                </w:p>
              </w:tc>
            </w:tr>
          </w:tbl>
          <w:p>
            <w:pPr>
              <w:pStyle w:val="Normal"/>
              <w:rPr>
                <w:sz w:val="24"/>
                <w:szCs w:val="24"/>
              </w:rPr>
            </w:pPr>
            <w:r>
              <w:rPr>
                <w:sz w:val="24"/>
                <w:szCs w:val="24"/>
              </w:rPr>
            </w:r>
          </w:p>
          <w:p>
            <w:pPr>
              <w:pStyle w:val="Normal"/>
              <w:rPr>
                <w:sz w:val="24"/>
                <w:szCs w:val="24"/>
              </w:rPr>
            </w:pPr>
            <w:r>
              <w:rPr>
                <w:sz w:val="24"/>
                <w:szCs w:val="24"/>
              </w:rPr>
              <w:t>Директор</w:t>
            </w:r>
          </w:p>
          <w:p>
            <w:pPr>
              <w:pStyle w:val="Normal"/>
              <w:rPr>
                <w:sz w:val="24"/>
                <w:szCs w:val="24"/>
              </w:rPr>
            </w:pPr>
            <w:r>
              <w:rPr>
                <w:sz w:val="24"/>
                <w:szCs w:val="24"/>
              </w:rPr>
            </w:r>
          </w:p>
          <w:p>
            <w:pPr>
              <w:pStyle w:val="Normal"/>
              <w:rPr>
                <w:sz w:val="24"/>
                <w:szCs w:val="24"/>
              </w:rPr>
            </w:pPr>
            <w:r>
              <w:rPr>
                <w:bCs/>
              </w:rPr>
              <w:t xml:space="preserve"> </w:t>
            </w:r>
            <w:r>
              <w:rPr>
                <w:bCs/>
              </w:rPr>
              <w:t>____________________ /</w:t>
            </w:r>
            <w:r>
              <w:rPr>
                <w:b/>
                <w:bCs/>
                <w:sz w:val="24"/>
                <w:szCs w:val="24"/>
              </w:rPr>
              <w:t>Демьянов А.В.</w:t>
            </w:r>
            <w:r>
              <w:rPr>
                <w:bCs/>
                <w:sz w:val="22"/>
                <w:szCs w:val="22"/>
              </w:rPr>
              <w:tab/>
              <w:t xml:space="preserve">   </w:t>
            </w:r>
            <w:r>
              <w:rPr>
                <w:bCs/>
              </w:rPr>
              <w:t xml:space="preserve">                                       _</w:t>
            </w:r>
          </w:p>
        </w:tc>
        <w:tc>
          <w:tcPr>
            <w:tcW w:w="4020"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r>
      <w:tr>
        <w:trPr/>
        <w:tc>
          <w:tcPr>
            <w:tcW w:w="5631" w:type="dxa"/>
            <w:tcBorders/>
            <w:shd w:fill="auto" w:val="clear"/>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059" w:type="dxa"/>
            <w:gridSpan w:val="2"/>
            <w:tcBorders/>
            <w:shd w:fill="auto" w:val="clear"/>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91" w:type="dxa"/>
            <w:tcBorders/>
            <w:shd w:fill="auto" w:val="clear"/>
          </w:tcPr>
          <w:p>
            <w:pPr>
              <w:pStyle w:val="Normal"/>
              <w:widowControl w:val="false"/>
              <w:rPr/>
            </w:pPr>
            <w:r>
              <w:rPr/>
            </w:r>
          </w:p>
        </w:tc>
      </w:tr>
    </w:tbl>
    <w:p>
      <w:pPr>
        <w:sectPr>
          <w:headerReference w:type="default" r:id="rId5"/>
          <w:headerReference w:type="first" r:id="rId6"/>
          <w:footnotePr>
            <w:numFmt w:val="decimal"/>
          </w:footnotePr>
          <w:type w:val="nextPage"/>
          <w:pgSz w:w="11906" w:h="16838"/>
          <w:pgMar w:left="1418" w:right="851" w:gutter="0" w:header="709" w:top="1134" w:footer="0" w:bottom="1134"/>
          <w:pgNumType w:fmt="decimal"/>
          <w:formProt w:val="false"/>
          <w:titlePg/>
          <w:textDirection w:val="lrTb"/>
          <w:docGrid w:type="default" w:linePitch="360" w:charSpace="1638"/>
        </w:sectPr>
      </w:pPr>
    </w:p>
    <w:p>
      <w:pPr>
        <w:pStyle w:val="Normal"/>
        <w:suppressAutoHyphens w:val="true"/>
        <w:ind w:firstLine="4820"/>
        <w:rPr>
          <w:sz w:val="22"/>
          <w:szCs w:val="22"/>
        </w:rPr>
      </w:pPr>
      <w:r>
        <w:rPr>
          <w:sz w:val="22"/>
          <w:szCs w:val="22"/>
        </w:rPr>
        <w:t>Приложение № 1</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_____20 _ г. № _____</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highlight w:val="yellow"/>
        </w:rPr>
      </w:pPr>
      <w:r>
        <w:rPr>
          <w:b/>
          <w:sz w:val="24"/>
          <w:szCs w:val="24"/>
        </w:rPr>
        <w:t>СПЕЦИФИКАЦИЯ</w:t>
      </w:r>
      <w:r>
        <w:rPr>
          <w:b/>
          <w:sz w:val="24"/>
          <w:szCs w:val="24"/>
          <w:shd w:fill="auto" w:val="clear"/>
        </w:rPr>
        <w:t xml:space="preserve"> </w:t>
      </w:r>
    </w:p>
    <w:p>
      <w:pPr>
        <w:pStyle w:val="Normal"/>
        <w:jc w:val="center"/>
        <w:rPr>
          <w:b/>
          <w:sz w:val="24"/>
          <w:szCs w:val="24"/>
          <w:shd w:fill="FFFF00" w:val="clear"/>
        </w:rPr>
      </w:pPr>
      <w:r>
        <w:rPr>
          <w:b/>
          <w:sz w:val="24"/>
          <w:szCs w:val="24"/>
          <w:shd w:fill="FFFF00" w:val="clear"/>
        </w:rPr>
      </w:r>
    </w:p>
    <w:tbl>
      <w:tblPr>
        <w:tblW w:w="10454" w:type="dxa"/>
        <w:jc w:val="left"/>
        <w:tblInd w:w="-714" w:type="dxa"/>
        <w:tblLayout w:type="fixed"/>
        <w:tblCellMar>
          <w:top w:w="0" w:type="dxa"/>
          <w:left w:w="103" w:type="dxa"/>
          <w:bottom w:w="0" w:type="dxa"/>
          <w:right w:w="108" w:type="dxa"/>
        </w:tblCellMar>
        <w:tblLook w:val="04a0" w:noHBand="0" w:noVBand="1" w:firstColumn="1" w:lastRow="0" w:lastColumn="0" w:firstRow="1"/>
      </w:tblPr>
      <w:tblGrid>
        <w:gridCol w:w="451"/>
        <w:gridCol w:w="392"/>
        <w:gridCol w:w="602"/>
        <w:gridCol w:w="613"/>
        <w:gridCol w:w="611"/>
        <w:gridCol w:w="773"/>
        <w:gridCol w:w="741"/>
        <w:gridCol w:w="618"/>
        <w:gridCol w:w="731"/>
        <w:gridCol w:w="691"/>
        <w:gridCol w:w="516"/>
        <w:gridCol w:w="646"/>
        <w:gridCol w:w="553"/>
        <w:gridCol w:w="517"/>
        <w:gridCol w:w="717"/>
        <w:gridCol w:w="1279"/>
      </w:tblGrid>
      <w:tr>
        <w:trPr>
          <w:trHeight w:val="526" w:hRule="atLeast"/>
        </w:trPr>
        <w:tc>
          <w:tcPr>
            <w:tcW w:w="45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 xml:space="preserve">№ </w:t>
            </w:r>
            <w:r>
              <w:rPr>
                <w:bCs/>
              </w:rPr>
              <w:t>партии</w:t>
            </w:r>
          </w:p>
        </w:tc>
        <w:tc>
          <w:tcPr>
            <w:tcW w:w="39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 xml:space="preserve">№ </w:t>
            </w:r>
            <w:r>
              <w:rPr>
                <w:bCs/>
              </w:rPr>
              <w:t>поз.</w:t>
            </w:r>
          </w:p>
        </w:tc>
        <w:tc>
          <w:tcPr>
            <w:tcW w:w="60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Наименование Товара</w:t>
            </w:r>
          </w:p>
        </w:tc>
        <w:tc>
          <w:tcPr>
            <w:tcW w:w="6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Завод изготовитель</w:t>
            </w:r>
          </w:p>
        </w:tc>
        <w:tc>
          <w:tcPr>
            <w:tcW w:w="77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1"/>
            </w:r>
          </w:p>
        </w:tc>
        <w:tc>
          <w:tcPr>
            <w:tcW w:w="74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t>Страна регистрации производителя Товара</w:t>
            </w:r>
          </w:p>
        </w:tc>
        <w:tc>
          <w:tcPr>
            <w:tcW w:w="61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Код ОКПД 2 (с наименованием)</w:t>
            </w:r>
          </w:p>
        </w:tc>
        <w:tc>
          <w:tcPr>
            <w:tcW w:w="73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Единица измерения</w:t>
            </w:r>
          </w:p>
        </w:tc>
        <w:tc>
          <w:tcPr>
            <w:tcW w:w="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2"/>
            </w:r>
          </w:p>
          <w:p>
            <w:pPr>
              <w:pStyle w:val="Normal"/>
              <w:widowControl w:val="false"/>
              <w:jc w:val="center"/>
              <w:rPr>
                <w:bCs/>
              </w:rPr>
            </w:pPr>
            <w:r>
              <w:rPr>
                <w:bCs/>
              </w:rPr>
            </w:r>
          </w:p>
        </w:tc>
        <w:tc>
          <w:tcPr>
            <w:tcW w:w="51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Количество</w:t>
            </w:r>
          </w:p>
        </w:tc>
        <w:tc>
          <w:tcPr>
            <w:tcW w:w="6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Цена за единицу, руб. без НДС</w:t>
            </w:r>
          </w:p>
        </w:tc>
        <w:tc>
          <w:tcPr>
            <w:tcW w:w="55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Цена, руб. без НДС</w:t>
            </w:r>
          </w:p>
        </w:tc>
        <w:tc>
          <w:tcPr>
            <w:tcW w:w="5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Стоимость, руб., с НДС</w:t>
            </w:r>
          </w:p>
        </w:tc>
        <w:tc>
          <w:tcPr>
            <w:tcW w:w="127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1" w:type="dxa"/>
            <w:vMerge w:val="restart"/>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highlight w:val="lightGray"/>
              </w:rPr>
            </w:pPr>
            <w:r>
              <w:rPr>
                <w:bCs/>
                <w:highlight w:val="lightGray"/>
              </w:rPr>
              <w:t>1</w:t>
            </w:r>
          </w:p>
        </w:tc>
        <w:tc>
          <w:tcPr>
            <w:tcW w:w="39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lightGray"/>
              </w:rPr>
            </w:pPr>
            <w:r>
              <w:rPr>
                <w:highlight w:val="lightGray"/>
              </w:rPr>
              <w:t>1</w:t>
            </w:r>
          </w:p>
        </w:tc>
        <w:tc>
          <w:tcPr>
            <w:tcW w:w="60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6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1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7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1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3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51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6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55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5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c>
          <w:tcPr>
            <w:tcW w:w="7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127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highlight w:val="lightGray"/>
              </w:rPr>
            </w:pPr>
            <w:r>
              <w:rPr>
                <w:bCs/>
                <w:highlight w:val="lightGray"/>
              </w:rPr>
            </w:r>
          </w:p>
        </w:tc>
        <w:tc>
          <w:tcPr>
            <w:tcW w:w="39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lightGray"/>
              </w:rPr>
            </w:pPr>
            <w:r>
              <w:rPr>
                <w:highlight w:val="lightGray"/>
              </w:rPr>
              <w:t>2</w:t>
            </w:r>
          </w:p>
        </w:tc>
        <w:tc>
          <w:tcPr>
            <w:tcW w:w="60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6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1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7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1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3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51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6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55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5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c>
          <w:tcPr>
            <w:tcW w:w="7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127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r>
      <w:tr>
        <w:trPr>
          <w:trHeight w:val="62" w:hRule="atLeast"/>
        </w:trPr>
        <w:tc>
          <w:tcPr>
            <w:tcW w:w="8455" w:type="dxa"/>
            <w:gridSpan w:val="14"/>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highlight w:val="yellow"/>
              </w:rPr>
            </w:pPr>
            <w:r>
              <w:rPr>
                <w:highlight w:val="lightGray"/>
              </w:rPr>
              <w:t>Итого стоимость партии Товара №1</w:t>
            </w:r>
            <w:r>
              <w:rPr/>
              <w:t>, руб. с НДС</w:t>
            </w:r>
          </w:p>
        </w:tc>
        <w:tc>
          <w:tcPr>
            <w:tcW w:w="1996" w:type="dxa"/>
            <w:gridSpan w:val="2"/>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r>
      <w:tr>
        <w:trPr>
          <w:trHeight w:val="538" w:hRule="atLeast"/>
        </w:trPr>
        <w:tc>
          <w:tcPr>
            <w:tcW w:w="451" w:type="dxa"/>
            <w:vMerge w:val="restart"/>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highlight w:val="lightGray"/>
              </w:rPr>
            </w:pPr>
            <w:r>
              <w:rPr>
                <w:bCs/>
                <w:highlight w:val="lightGray"/>
              </w:rPr>
              <w:t>2</w:t>
            </w:r>
          </w:p>
        </w:tc>
        <w:tc>
          <w:tcPr>
            <w:tcW w:w="39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lightGray"/>
              </w:rPr>
            </w:pPr>
            <w:r>
              <w:rPr>
                <w:highlight w:val="lightGray"/>
              </w:rPr>
              <w:t>3</w:t>
            </w:r>
          </w:p>
        </w:tc>
        <w:tc>
          <w:tcPr>
            <w:tcW w:w="60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6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1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7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1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3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51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6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55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5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c>
          <w:tcPr>
            <w:tcW w:w="7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127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highlight w:val="lightGray"/>
              </w:rPr>
            </w:pPr>
            <w:r>
              <w:rPr>
                <w:bCs/>
                <w:highlight w:val="lightGray"/>
              </w:rPr>
            </w:r>
          </w:p>
        </w:tc>
        <w:tc>
          <w:tcPr>
            <w:tcW w:w="39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lightGray"/>
              </w:rPr>
            </w:pPr>
            <w:r>
              <w:rPr>
                <w:highlight w:val="lightGray"/>
              </w:rPr>
              <w:t>4</w:t>
            </w:r>
          </w:p>
        </w:tc>
        <w:tc>
          <w:tcPr>
            <w:tcW w:w="60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6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1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7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1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73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highlight w:val="yellow"/>
              </w:rPr>
            </w:pPr>
            <w:r>
              <w:rPr>
                <w:highlight w:val="yellow"/>
              </w:rPr>
            </w:r>
          </w:p>
        </w:tc>
        <w:tc>
          <w:tcPr>
            <w:tcW w:w="51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6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55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5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c>
          <w:tcPr>
            <w:tcW w:w="71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rPr>
                <w:highlight w:val="yellow"/>
              </w:rPr>
            </w:pPr>
            <w:r>
              <w:rPr>
                <w:highlight w:val="yellow"/>
              </w:rPr>
            </w:r>
          </w:p>
        </w:tc>
        <w:tc>
          <w:tcPr>
            <w:tcW w:w="127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r>
      <w:tr>
        <w:trPr>
          <w:trHeight w:val="62" w:hRule="atLeast"/>
        </w:trPr>
        <w:tc>
          <w:tcPr>
            <w:tcW w:w="8455" w:type="dxa"/>
            <w:gridSpan w:val="14"/>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highlight w:val="yellow"/>
              </w:rPr>
            </w:pPr>
            <w:r>
              <w:rPr>
                <w:highlight w:val="lightGray"/>
              </w:rPr>
              <w:t>Итого стоимость партии Товара №2</w:t>
            </w:r>
            <w:r>
              <w:rPr/>
              <w:t>, руб. с НДС</w:t>
            </w:r>
          </w:p>
        </w:tc>
        <w:tc>
          <w:tcPr>
            <w:tcW w:w="1996" w:type="dxa"/>
            <w:gridSpan w:val="2"/>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r>
      <w:tr>
        <w:trPr>
          <w:trHeight w:val="262" w:hRule="atLeast"/>
        </w:trPr>
        <w:tc>
          <w:tcPr>
            <w:tcW w:w="8455" w:type="dxa"/>
            <w:gridSpan w:val="14"/>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996" w:type="dxa"/>
            <w:gridSpan w:val="2"/>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numPr>
          <w:ilvl w:val="0"/>
          <w:numId w:val="0"/>
        </w:numPr>
        <w:ind w:hanging="0" w:left="0"/>
        <w:jc w:val="center"/>
        <w:outlineLvl w:val="0"/>
        <w:rPr>
          <w:b/>
          <w:bCs/>
          <w:sz w:val="24"/>
          <w:szCs w:val="24"/>
        </w:rPr>
      </w:pPr>
      <w:r>
        <w:rPr>
          <w:b/>
          <w:bCs/>
          <w:sz w:val="24"/>
          <w:szCs w:val="24"/>
        </w:rPr>
        <w:t>ПОДПИСИ СТОРОН:</w:t>
      </w:r>
    </w:p>
    <w:p>
      <w:pPr>
        <w:pStyle w:val="Normal"/>
        <w:numPr>
          <w:ilvl w:val="0"/>
          <w:numId w:val="0"/>
        </w:numPr>
        <w:ind w:firstLine="709" w:left="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suppressAutoHyphens w:val="true"/>
        <w:ind w:firstLine="4820"/>
        <w:rPr>
          <w:sz w:val="22"/>
          <w:szCs w:val="22"/>
        </w:rPr>
      </w:pPr>
      <w:r>
        <w:rPr>
          <w:sz w:val="22"/>
          <w:szCs w:val="22"/>
        </w:rPr>
        <w:t>Приложение № 2</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__________ 20 _ г. № ____</w:t>
      </w:r>
    </w:p>
    <w:p>
      <w:pPr>
        <w:pStyle w:val="Normal"/>
        <w:suppressAutoHyphens w:val="true"/>
        <w:ind w:firstLine="5812"/>
        <w:jc w:val="center"/>
        <w:rPr>
          <w:b/>
          <w:sz w:val="24"/>
          <w:szCs w:val="24"/>
        </w:rPr>
      </w:pPr>
      <w:r>
        <w:rPr>
          <w:b/>
          <w:sz w:val="24"/>
          <w:szCs w:val="24"/>
        </w:rPr>
      </w:r>
    </w:p>
    <w:p>
      <w:pPr>
        <w:pStyle w:val="Normal"/>
        <w:suppressAutoHyphens w:val="true"/>
        <w:ind w:firstLine="5812"/>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jc w:val="center"/>
        <w:rPr>
          <w:i/>
          <w:i/>
          <w:sz w:val="24"/>
          <w:szCs w:val="24"/>
        </w:rPr>
      </w:pPr>
      <w:r>
        <w:rPr>
          <w:i/>
          <w:sz w:val="24"/>
          <w:szCs w:val="24"/>
        </w:rPr>
        <w:t>(форма)</w:t>
      </w:r>
    </w:p>
    <w:p>
      <w:pPr>
        <w:pStyle w:val="Normal"/>
        <w:tabs>
          <w:tab w:val="clear" w:pos="708"/>
          <w:tab w:val="left" w:pos="2700" w:leader="none"/>
        </w:tabs>
        <w:ind w:firstLine="709"/>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_____201_ г. </w:t>
      </w:r>
    </w:p>
    <w:p>
      <w:pPr>
        <w:pStyle w:val="Normal"/>
        <w:suppressAutoHyphens w:val="true"/>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3" w:type="dxa"/>
          <w:bottom w:w="0" w:type="dxa"/>
          <w:right w:w="108" w:type="dxa"/>
        </w:tblCellMar>
        <w:tblLook w:val="04a0" w:noHBand="0" w:noVBand="1" w:firstColumn="1" w:lastRow="0" w:lastColumn="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color w:val="000000"/>
                <w:sz w:val="22"/>
                <w:szCs w:val="22"/>
              </w:rPr>
            </w:pPr>
            <w:r>
              <w:rPr>
                <w:bCs/>
                <w:color w:val="000000"/>
                <w:sz w:val="22"/>
                <w:szCs w:val="22"/>
              </w:rPr>
              <w:t>Артикул, тип, марка</w:t>
            </w:r>
          </w:p>
        </w:tc>
        <w:tc>
          <w:tcPr>
            <w:tcW w:w="70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firstLine="709" w:left="0"/>
        <w:jc w:val="center"/>
        <w:outlineLvl w:val="0"/>
        <w:rPr>
          <w:b/>
          <w:bCs/>
          <w:sz w:val="24"/>
          <w:szCs w:val="24"/>
        </w:rPr>
      </w:pPr>
      <w:r>
        <w:rPr>
          <w:b/>
          <w:bCs/>
          <w:sz w:val="24"/>
          <w:szCs w:val="24"/>
        </w:rPr>
      </w:r>
    </w:p>
    <w:p>
      <w:pPr>
        <w:pStyle w:val="Normal"/>
        <w:numPr>
          <w:ilvl w:val="0"/>
          <w:numId w:val="0"/>
        </w:numPr>
        <w:ind w:firstLine="709" w:left="0"/>
        <w:jc w:val="center"/>
        <w:outlineLvl w:val="0"/>
        <w:rPr>
          <w:b/>
          <w:bCs/>
          <w:sz w:val="24"/>
          <w:szCs w:val="24"/>
        </w:rPr>
      </w:pPr>
      <w:r>
        <w:rPr>
          <w:b/>
          <w:bCs/>
          <w:sz w:val="24"/>
          <w:szCs w:val="24"/>
        </w:rPr>
      </w:r>
    </w:p>
    <w:p>
      <w:pPr>
        <w:pStyle w:val="Normal"/>
        <w:numPr>
          <w:ilvl w:val="0"/>
          <w:numId w:val="0"/>
        </w:numPr>
        <w:ind w:hanging="0" w:left="0"/>
        <w:jc w:val="center"/>
        <w:outlineLvl w:val="0"/>
        <w:rPr>
          <w:b/>
          <w:bCs/>
          <w:sz w:val="24"/>
          <w:szCs w:val="24"/>
        </w:rPr>
      </w:pPr>
      <w:r>
        <w:rPr>
          <w:b/>
          <w:bCs/>
          <w:sz w:val="24"/>
          <w:szCs w:val="24"/>
        </w:rPr>
        <w:t>ПОДПИСИ СТОРОН:</w:t>
      </w:r>
    </w:p>
    <w:p>
      <w:pPr>
        <w:pStyle w:val="Normal"/>
        <w:numPr>
          <w:ilvl w:val="0"/>
          <w:numId w:val="0"/>
        </w:numPr>
        <w:ind w:firstLine="709" w:left="0"/>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hanging="0" w:left="0"/>
        <w:jc w:val="center"/>
        <w:outlineLvl w:val="0"/>
        <w:rPr>
          <w:b/>
          <w:bCs/>
          <w:sz w:val="24"/>
          <w:szCs w:val="24"/>
        </w:rPr>
      </w:pPr>
      <w:r>
        <w:rPr>
          <w:b/>
          <w:bCs/>
          <w:sz w:val="24"/>
          <w:szCs w:val="24"/>
        </w:rPr>
        <w:t>ПОДПИСИ СТОРОН:</w:t>
      </w:r>
    </w:p>
    <w:p>
      <w:pPr>
        <w:pStyle w:val="Normal"/>
        <w:numPr>
          <w:ilvl w:val="0"/>
          <w:numId w:val="0"/>
        </w:numPr>
        <w:ind w:firstLine="709" w:left="0"/>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suppressAutoHyphens w:val="true"/>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suppressAutoHyphens w:val="true"/>
        <w:ind w:firstLine="4820"/>
        <w:rPr>
          <w:sz w:val="22"/>
          <w:szCs w:val="22"/>
        </w:rPr>
      </w:pPr>
      <w:r>
        <w:rPr>
          <w:sz w:val="22"/>
          <w:szCs w:val="22"/>
        </w:rPr>
        <w:t>Приложение № 3</w:t>
      </w:r>
    </w:p>
    <w:p>
      <w:pPr>
        <w:pStyle w:val="Normal"/>
        <w:suppressAutoHyphens w:val="true"/>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8"/>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3"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b/>
                <w:sz w:val="24"/>
                <w:szCs w:val="24"/>
              </w:rPr>
            </w:pPr>
            <w:r>
              <w:rPr>
                <w:b/>
                <w:sz w:val="24"/>
                <w:szCs w:val="24"/>
              </w:rPr>
              <w:t>Виды нарушений</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hanging="0" w:left="0"/>
        <w:jc w:val="center"/>
        <w:outlineLvl w:val="0"/>
        <w:rPr>
          <w:b/>
          <w:bCs/>
          <w:sz w:val="24"/>
          <w:szCs w:val="24"/>
        </w:rPr>
      </w:pPr>
      <w:r>
        <w:rPr>
          <w:b/>
          <w:bCs/>
          <w:sz w:val="24"/>
          <w:szCs w:val="24"/>
        </w:rPr>
        <w:t>ПОДПИСИ СТОРОН:</w:t>
      </w:r>
    </w:p>
    <w:p>
      <w:pPr>
        <w:pStyle w:val="Normal"/>
        <w:numPr>
          <w:ilvl w:val="0"/>
          <w:numId w:val="0"/>
        </w:numPr>
        <w:ind w:firstLine="709" w:left="0"/>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sectPr>
          <w:headerReference w:type="default" r:id="rId7"/>
          <w:headerReference w:type="first" r:id="rId8"/>
          <w:footnotePr>
            <w:numFmt w:val="decimal"/>
          </w:footnotePr>
          <w:type w:val="nextPage"/>
          <w:pgSz w:w="11906" w:h="16838"/>
          <w:pgMar w:left="1418" w:right="851" w:gutter="0" w:header="709" w:top="1134" w:footer="0" w:bottom="1134"/>
          <w:pgNumType w:fmt="decimal"/>
          <w:formProt w:val="false"/>
          <w:textDirection w:val="lrTb"/>
          <w:docGrid w:type="default" w:linePitch="299" w:charSpace="1638"/>
        </w:sectPr>
      </w:pPr>
    </w:p>
    <w:p>
      <w:pPr>
        <w:pStyle w:val="Normal"/>
        <w:tabs>
          <w:tab w:val="clear" w:pos="708"/>
          <w:tab w:val="left" w:pos="1725" w:leader="none"/>
        </w:tabs>
        <w:jc w:val="both"/>
        <w:rPr>
          <w:b/>
          <w:sz w:val="22"/>
          <w:szCs w:val="22"/>
        </w:rPr>
      </w:pPr>
      <w:r>
        <w:rPr>
          <w:b/>
          <w:sz w:val="22"/>
          <w:szCs w:val="22"/>
        </w:rPr>
      </w:r>
    </w:p>
    <w:tbl>
      <w:tblPr>
        <w:tblpPr w:vertAnchor="text" w:horzAnchor="margin" w:tblpXSpec="center" w:leftFromText="180" w:rightFromText="180" w:tblpY="223"/>
        <w:tblW w:w="1622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750"/>
        <w:gridCol w:w="2362"/>
        <w:gridCol w:w="1318"/>
        <w:gridCol w:w="1660"/>
        <w:gridCol w:w="2023"/>
        <w:gridCol w:w="2476"/>
        <w:gridCol w:w="1521"/>
        <w:gridCol w:w="2114"/>
      </w:tblGrid>
      <w:tr>
        <w:trPr>
          <w:trHeight w:val="288" w:hRule="atLeas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635" w:type="dxa"/>
            <w:gridSpan w:val="2"/>
            <w:tcBorders/>
            <w:shd w:color="auto" w:fill="auto" w:val="clear"/>
            <w:vAlign w:val="center"/>
          </w:tcPr>
          <w:p>
            <w:pPr>
              <w:pStyle w:val="Normal"/>
              <w:widowControl w:val="false"/>
              <w:jc w:val="right"/>
              <w:rPr>
                <w:rFonts w:ascii="Calibri" w:hAnsi="Calibri"/>
                <w:color w:val="000000"/>
              </w:rPr>
            </w:pPr>
            <w:r>
              <w:rPr>
                <w:rFonts w:ascii="Calibri" w:hAnsi="Calibri"/>
                <w:color w:val="000000"/>
              </w:rPr>
              <w:t>Приложение №4</w:t>
            </w:r>
          </w:p>
        </w:tc>
      </w:tr>
      <w:tr>
        <w:trPr>
          <w:trHeight w:val="288" w:hRule="atLeas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635" w:type="dxa"/>
            <w:gridSpan w:val="2"/>
            <w:tcBorders/>
            <w:shd w:color="auto" w:fill="auto" w:val="clear"/>
            <w:vAlign w:val="center"/>
          </w:tcPr>
          <w:p>
            <w:pPr>
              <w:pStyle w:val="Normal"/>
              <w:widowControl w:val="false"/>
              <w:jc w:val="right"/>
              <w:rPr>
                <w:rFonts w:ascii="Calibri" w:hAnsi="Calibri"/>
                <w:color w:val="000000"/>
              </w:rPr>
            </w:pPr>
            <w:r>
              <w:rPr>
                <w:rFonts w:ascii="Calibri" w:hAnsi="Calibri"/>
                <w:color w:val="000000"/>
              </w:rPr>
              <w:t xml:space="preserve">к договору _______ </w:t>
            </w:r>
          </w:p>
          <w:p>
            <w:pPr>
              <w:pStyle w:val="Normal"/>
              <w:widowControl w:val="false"/>
              <w:jc w:val="right"/>
              <w:rPr>
                <w:rFonts w:ascii="Calibri" w:hAnsi="Calibri"/>
                <w:color w:val="000000"/>
              </w:rPr>
            </w:pPr>
            <w:r>
              <w:rPr>
                <w:rFonts w:ascii="Calibri" w:hAnsi="Calibri"/>
                <w:color w:val="000000"/>
              </w:rPr>
              <w:t xml:space="preserve">№ </w:t>
            </w:r>
            <w:r>
              <w:rPr>
                <w:rFonts w:ascii="Calibri" w:hAnsi="Calibri"/>
                <w:color w:val="000000"/>
              </w:rPr>
              <w:t>_____________</w:t>
            </w:r>
          </w:p>
        </w:tc>
      </w:tr>
      <w:tr>
        <w:trPr>
          <w:trHeight w:val="288" w:hRule="atLeast"/>
        </w:trPr>
        <w:tc>
          <w:tcPr>
            <w:tcW w:w="2750" w:type="dxa"/>
            <w:tcBorders/>
            <w:shd w:color="auto" w:fill="auto" w:val="clear"/>
            <w:vAlign w:val="bottom"/>
          </w:tcPr>
          <w:p>
            <w:pPr>
              <w:pStyle w:val="Normal"/>
              <w:widowControl w:val="false"/>
              <w:rPr>
                <w:rFonts w:ascii="Calibri" w:hAnsi="Calibri"/>
                <w:b/>
                <w:color w:val="000000"/>
              </w:rPr>
            </w:pPr>
            <w:r>
              <w:rPr>
                <w:rFonts w:ascii="Calibri" w:hAnsi="Calibri"/>
                <w:b/>
                <w:color w:val="000000"/>
              </w:rPr>
              <w:t>Ф О Р М А</w:t>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635" w:type="dxa"/>
            <w:gridSpan w:val="2"/>
            <w:tcBorders/>
            <w:shd w:color="auto" w:fill="auto" w:val="clear"/>
            <w:vAlign w:val="center"/>
          </w:tcPr>
          <w:p>
            <w:pPr>
              <w:pStyle w:val="Normal"/>
              <w:widowControl w:val="false"/>
              <w:jc w:val="right"/>
              <w:rPr>
                <w:rFonts w:ascii="Calibri" w:hAnsi="Calibri"/>
                <w:color w:val="000000"/>
              </w:rPr>
            </w:pPr>
            <w:r>
              <w:rPr>
                <w:rFonts w:ascii="Calibri" w:hAnsi="Calibri"/>
                <w:color w:val="000000"/>
              </w:rPr>
              <w:t>от _________________201_г.</w:t>
            </w:r>
          </w:p>
        </w:tc>
      </w:tr>
      <w:tr>
        <w:trPr>
          <w:trHeight w:val="288"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center"/>
          </w:tcPr>
          <w:p>
            <w:pPr>
              <w:pStyle w:val="Normal"/>
              <w:widowControl w:val="false"/>
              <w:jc w:val="right"/>
              <w:rPr>
                <w:rFonts w:ascii="Calibri" w:hAnsi="Calibri"/>
                <w:color w:val="000000"/>
              </w:rPr>
            </w:pPr>
            <w:r>
              <w:rPr>
                <w:rFonts w:ascii="Calibri" w:hAnsi="Calibri"/>
                <w:color w:val="000000"/>
              </w:rPr>
            </w:r>
          </w:p>
        </w:tc>
        <w:tc>
          <w:tcPr>
            <w:tcW w:w="1521" w:type="dxa"/>
            <w:tcBorders/>
            <w:shd w:color="auto" w:fill="auto" w:val="clear"/>
            <w:vAlign w:val="center"/>
          </w:tcPr>
          <w:p>
            <w:pPr>
              <w:pStyle w:val="Normal"/>
              <w:widowControl w:val="false"/>
              <w:jc w:val="right"/>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300" w:hRule="atLeas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9839" w:type="dxa"/>
            <w:gridSpan w:val="5"/>
            <w:tcBorders/>
            <w:shd w:color="auto" w:fill="auto" w:val="clear"/>
            <w:vAlign w:val="bottom"/>
          </w:tcPr>
          <w:p>
            <w:pPr>
              <w:pStyle w:val="Normal"/>
              <w:widowControl w:val="false"/>
              <w:jc w:val="center"/>
              <w:rPr>
                <w:rFonts w:ascii="Calibri" w:hAnsi="Calibri"/>
                <w:color w:val="000000"/>
                <w:sz w:val="28"/>
                <w:szCs w:val="28"/>
              </w:rPr>
            </w:pPr>
            <w:r>
              <w:rPr>
                <w:rFonts w:ascii="Calibri" w:hAnsi="Calibri"/>
                <w:color w:val="000000"/>
                <w:sz w:val="28"/>
                <w:szCs w:val="28"/>
              </w:rPr>
              <w:t>Уведомление</w:t>
            </w:r>
          </w:p>
          <w:p>
            <w:pPr>
              <w:pStyle w:val="Normal"/>
              <w:widowControl w:val="false"/>
              <w:jc w:val="center"/>
              <w:rPr>
                <w:rFonts w:ascii="Calibri" w:hAnsi="Calibri"/>
                <w:color w:val="000000"/>
                <w:sz w:val="28"/>
                <w:szCs w:val="28"/>
              </w:rPr>
            </w:pPr>
            <w:r>
              <w:rPr>
                <w:rFonts w:ascii="Calibri" w:hAnsi="Calibri"/>
                <w:color w:val="000000"/>
                <w:sz w:val="28"/>
                <w:szCs w:val="28"/>
              </w:rPr>
              <w:t>Информация об отгрузке и по доставке ТМЦ</w:t>
            </w:r>
          </w:p>
        </w:tc>
        <w:tc>
          <w:tcPr>
            <w:tcW w:w="1521" w:type="dxa"/>
            <w:tcBorders/>
            <w:shd w:color="auto" w:fill="auto" w:val="clear"/>
            <w:vAlign w:val="center"/>
          </w:tcPr>
          <w:p>
            <w:pPr>
              <w:pStyle w:val="Normal"/>
              <w:widowControl w:val="false"/>
              <w:jc w:val="right"/>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300"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21"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88" w:hRule="atLeast"/>
        </w:trPr>
        <w:tc>
          <w:tcPr>
            <w:tcW w:w="2750" w:type="dxa"/>
            <w:vMerge w:val="restart"/>
            <w:tcBorders>
              <w:top w:val="single" w:sz="8" w:space="0" w:color="000001"/>
              <w:left w:val="single" w:sz="8" w:space="0" w:color="000001"/>
              <w:bottom w:val="single" w:sz="8"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Поставщик (в соответствии с условиями договора)***</w:t>
            </w:r>
          </w:p>
        </w:tc>
        <w:tc>
          <w:tcPr>
            <w:tcW w:w="7363" w:type="dxa"/>
            <w:gridSpan w:val="4"/>
            <w:tcBorders>
              <w:top w:val="single" w:sz="8" w:space="0" w:color="000001"/>
              <w:left w:val="single" w:sz="8" w:space="0" w:color="000001"/>
              <w:bottom w:val="single" w:sz="4" w:space="0" w:color="000001"/>
              <w:right w:val="single" w:sz="4"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Грузоотправитель (место отгрузки товара)*</w:t>
            </w:r>
          </w:p>
        </w:tc>
        <w:tc>
          <w:tcPr>
            <w:tcW w:w="6111" w:type="dxa"/>
            <w:gridSpan w:val="3"/>
            <w:tcBorders>
              <w:top w:val="single" w:sz="8" w:space="0" w:color="000001"/>
              <w:left w:val="single" w:sz="8" w:space="0" w:color="000001"/>
              <w:bottom w:val="single" w:sz="4" w:space="0" w:color="000001"/>
              <w:right w:val="single" w:sz="8"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Транспортная компания (перевозчик)</w:t>
            </w:r>
          </w:p>
        </w:tc>
      </w:tr>
      <w:tr>
        <w:trPr>
          <w:trHeight w:val="564" w:hRule="atLeast"/>
        </w:trPr>
        <w:tc>
          <w:tcPr>
            <w:tcW w:w="2750" w:type="dxa"/>
            <w:vMerge w:val="continue"/>
            <w:tcBorders>
              <w:top w:val="single" w:sz="8" w:space="0" w:color="000001"/>
              <w:left w:val="single" w:sz="8" w:space="0" w:color="000001"/>
              <w:bottom w:val="single" w:sz="8" w:space="0" w:color="000001"/>
            </w:tcBorders>
            <w:shd w:fill="auto" w:val="clear"/>
            <w:tcMar>
              <w:left w:w="98" w:type="dxa"/>
            </w:tcMar>
            <w:vAlign w:val="center"/>
          </w:tcPr>
          <w:p>
            <w:pPr>
              <w:pStyle w:val="Normal"/>
              <w:widowControl w:val="false"/>
              <w:rPr>
                <w:rFonts w:ascii="Calibri" w:hAnsi="Calibri"/>
                <w:color w:val="000000"/>
              </w:rPr>
            </w:pPr>
            <w:r>
              <w:rPr>
                <w:rFonts w:ascii="Calibri" w:hAnsi="Calibri"/>
                <w:color w:val="000000"/>
              </w:rPr>
            </w:r>
          </w:p>
        </w:tc>
        <w:tc>
          <w:tcPr>
            <w:tcW w:w="2362" w:type="dxa"/>
            <w:tcBorders>
              <w:left w:val="single" w:sz="8" w:space="0" w:color="000001"/>
              <w:bottom w:val="single" w:sz="8" w:space="0" w:color="000001"/>
              <w:right w:val="single" w:sz="4"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Наименование контрагента</w:t>
            </w:r>
          </w:p>
        </w:tc>
        <w:tc>
          <w:tcPr>
            <w:tcW w:w="1318"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ИНН/КПП</w:t>
            </w:r>
          </w:p>
        </w:tc>
        <w:tc>
          <w:tcPr>
            <w:tcW w:w="1660"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Адрес склада</w:t>
            </w:r>
          </w:p>
        </w:tc>
        <w:tc>
          <w:tcPr>
            <w:tcW w:w="2023" w:type="dxa"/>
            <w:tcBorders>
              <w:bottom w:val="single" w:sz="8"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w:t>
            </w:r>
            <w:r>
              <w:rPr>
                <w:rFonts w:ascii="Calibri" w:hAnsi="Calibri"/>
                <w:color w:val="000000"/>
              </w:rPr>
              <w:t>, дата договора, (соглашения)**</w:t>
            </w:r>
          </w:p>
        </w:tc>
        <w:tc>
          <w:tcPr>
            <w:tcW w:w="2476" w:type="dxa"/>
            <w:tcBorders>
              <w:left w:val="single" w:sz="8" w:space="0" w:color="000001"/>
              <w:bottom w:val="single" w:sz="8" w:space="0" w:color="000001"/>
              <w:right w:val="single" w:sz="4"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Наименование контрагента</w:t>
            </w:r>
          </w:p>
        </w:tc>
        <w:tc>
          <w:tcPr>
            <w:tcW w:w="1521"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ИНН/КПП</w:t>
            </w:r>
          </w:p>
        </w:tc>
        <w:tc>
          <w:tcPr>
            <w:tcW w:w="2114" w:type="dxa"/>
            <w:tcBorders>
              <w:bottom w:val="single" w:sz="8" w:space="0" w:color="000001"/>
              <w:right w:val="single" w:sz="8"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w:t>
            </w:r>
            <w:r>
              <w:rPr>
                <w:rFonts w:ascii="Calibri" w:hAnsi="Calibri"/>
                <w:color w:val="000000"/>
              </w:rPr>
              <w:t>, дата договора, (соглашения)**</w:t>
            </w:r>
          </w:p>
        </w:tc>
      </w:tr>
      <w:tr>
        <w:trPr>
          <w:trHeight w:val="300" w:hRule="atLeast"/>
        </w:trPr>
        <w:tc>
          <w:tcPr>
            <w:tcW w:w="2750" w:type="dxa"/>
            <w:tcBorders>
              <w:left w:val="single" w:sz="8" w:space="0" w:color="000001"/>
              <w:bottom w:val="single" w:sz="8"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1</w:t>
            </w:r>
          </w:p>
        </w:tc>
        <w:tc>
          <w:tcPr>
            <w:tcW w:w="2362" w:type="dxa"/>
            <w:tcBorders>
              <w:left w:val="single" w:sz="8" w:space="0" w:color="000001"/>
              <w:bottom w:val="single" w:sz="8" w:space="0" w:color="000001"/>
              <w:right w:val="single" w:sz="4"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2</w:t>
            </w:r>
          </w:p>
        </w:tc>
        <w:tc>
          <w:tcPr>
            <w:tcW w:w="1318"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3</w:t>
            </w:r>
          </w:p>
        </w:tc>
        <w:tc>
          <w:tcPr>
            <w:tcW w:w="1660"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4</w:t>
            </w:r>
          </w:p>
        </w:tc>
        <w:tc>
          <w:tcPr>
            <w:tcW w:w="2023" w:type="dxa"/>
            <w:tcBorders>
              <w:bottom w:val="single" w:sz="8" w:space="0" w:color="000001"/>
              <w:right w:val="single" w:sz="8"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5</w:t>
            </w:r>
          </w:p>
        </w:tc>
        <w:tc>
          <w:tcPr>
            <w:tcW w:w="2476"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6</w:t>
            </w:r>
          </w:p>
        </w:tc>
        <w:tc>
          <w:tcPr>
            <w:tcW w:w="1521"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7</w:t>
            </w:r>
          </w:p>
        </w:tc>
        <w:tc>
          <w:tcPr>
            <w:tcW w:w="2114" w:type="dxa"/>
            <w:tcBorders>
              <w:bottom w:val="single" w:sz="8" w:space="0" w:color="000001"/>
              <w:right w:val="single" w:sz="8"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8</w:t>
            </w:r>
          </w:p>
        </w:tc>
      </w:tr>
      <w:tr>
        <w:trPr>
          <w:trHeight w:val="288" w:hRule="atLeast"/>
        </w:trPr>
        <w:tc>
          <w:tcPr>
            <w:tcW w:w="2750" w:type="dxa"/>
            <w:tcBorders>
              <w:left w:val="single" w:sz="8" w:space="0" w:color="000001"/>
              <w:bottom w:val="single" w:sz="4" w:space="0" w:color="000001"/>
            </w:tcBorders>
            <w:shd w:color="auto" w:fill="auto" w:val="clear"/>
            <w:tcMar>
              <w:left w:w="98" w:type="dxa"/>
            </w:tcMar>
            <w:vAlign w:val="center"/>
          </w:tcPr>
          <w:p>
            <w:pPr>
              <w:pStyle w:val="Normal"/>
              <w:widowControl w:val="false"/>
              <w:jc w:val="center"/>
              <w:rPr>
                <w:rFonts w:ascii="Calibri" w:hAnsi="Calibri"/>
                <w:color w:val="000000"/>
              </w:rPr>
            </w:pPr>
            <w:r>
              <w:rPr>
                <w:rFonts w:ascii="Calibri" w:hAnsi="Calibri"/>
                <w:color w:val="000000"/>
              </w:rPr>
              <w:t>ООО «…»</w:t>
            </w:r>
          </w:p>
        </w:tc>
        <w:tc>
          <w:tcPr>
            <w:tcW w:w="2362" w:type="dxa"/>
            <w:tcBorders>
              <w:left w:val="single" w:sz="8" w:space="0" w:color="000001"/>
              <w:bottom w:val="single" w:sz="4" w:space="0" w:color="000001"/>
              <w:right w:val="single" w:sz="4"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ОАО "…"</w:t>
            </w:r>
          </w:p>
        </w:tc>
        <w:tc>
          <w:tcPr>
            <w:tcW w:w="1318"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660"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023"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476"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ООО "______"</w:t>
            </w:r>
          </w:p>
        </w:tc>
        <w:tc>
          <w:tcPr>
            <w:tcW w:w="1521"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4"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r>
      <w:tr>
        <w:trPr>
          <w:trHeight w:val="288" w:hRule="atLeast"/>
        </w:trPr>
        <w:tc>
          <w:tcPr>
            <w:tcW w:w="2750" w:type="dxa"/>
            <w:tcBorders>
              <w:left w:val="single" w:sz="8" w:space="0" w:color="000001"/>
              <w:bottom w:val="single" w:sz="4" w:space="0" w:color="000001"/>
            </w:tcBorders>
            <w:shd w:color="auto" w:fill="auto" w:val="clear"/>
            <w:tcMar>
              <w:left w:w="98" w:type="dxa"/>
            </w:tcMar>
            <w:vAlign w:val="center"/>
          </w:tcPr>
          <w:p>
            <w:pPr>
              <w:pStyle w:val="Normal"/>
              <w:widowControl w:val="false"/>
              <w:jc w:val="center"/>
              <w:rPr>
                <w:rFonts w:ascii="Calibri" w:hAnsi="Calibri"/>
                <w:color w:val="000000"/>
              </w:rPr>
            </w:pPr>
            <w:r>
              <w:rPr>
                <w:rFonts w:ascii="Calibri" w:hAnsi="Calibri"/>
                <w:color w:val="000000"/>
              </w:rPr>
              <w:t> </w:t>
            </w:r>
          </w:p>
        </w:tc>
        <w:tc>
          <w:tcPr>
            <w:tcW w:w="2362" w:type="dxa"/>
            <w:tcBorders>
              <w:left w:val="single" w:sz="8" w:space="0" w:color="000001"/>
              <w:bottom w:val="single" w:sz="4" w:space="0" w:color="000001"/>
              <w:right w:val="single" w:sz="4"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 </w:t>
            </w:r>
          </w:p>
        </w:tc>
        <w:tc>
          <w:tcPr>
            <w:tcW w:w="1318"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660"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023"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476"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521"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4"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r>
      <w:tr>
        <w:trPr>
          <w:trHeight w:val="288" w:hRule="atLeast"/>
        </w:trPr>
        <w:tc>
          <w:tcPr>
            <w:tcW w:w="2750" w:type="dxa"/>
            <w:tcBorders>
              <w:left w:val="single" w:sz="8" w:space="0" w:color="000001"/>
              <w:bottom w:val="single" w:sz="4" w:space="0" w:color="000001"/>
            </w:tcBorders>
            <w:shd w:color="auto" w:fill="auto" w:val="clear"/>
            <w:tcMar>
              <w:left w:w="98" w:type="dxa"/>
            </w:tcMar>
            <w:vAlign w:val="center"/>
          </w:tcPr>
          <w:p>
            <w:pPr>
              <w:pStyle w:val="Normal"/>
              <w:widowControl w:val="false"/>
              <w:jc w:val="center"/>
              <w:rPr>
                <w:rFonts w:ascii="Calibri" w:hAnsi="Calibri"/>
                <w:color w:val="000000"/>
              </w:rPr>
            </w:pPr>
            <w:r>
              <w:rPr>
                <w:rFonts w:ascii="Calibri" w:hAnsi="Calibri"/>
                <w:color w:val="000000"/>
              </w:rPr>
              <w:t> </w:t>
            </w:r>
          </w:p>
        </w:tc>
        <w:tc>
          <w:tcPr>
            <w:tcW w:w="2362" w:type="dxa"/>
            <w:tcBorders>
              <w:left w:val="single" w:sz="8" w:space="0" w:color="000001"/>
              <w:bottom w:val="single" w:sz="4" w:space="0" w:color="000001"/>
              <w:right w:val="single" w:sz="4"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 </w:t>
            </w:r>
          </w:p>
        </w:tc>
        <w:tc>
          <w:tcPr>
            <w:tcW w:w="1318"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660"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023"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476"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521"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4"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r>
      <w:tr>
        <w:trPr>
          <w:trHeight w:val="300" w:hRule="atLeast"/>
        </w:trPr>
        <w:tc>
          <w:tcPr>
            <w:tcW w:w="2750" w:type="dxa"/>
            <w:tcBorders>
              <w:left w:val="single" w:sz="8" w:space="0" w:color="000001"/>
              <w:bottom w:val="single" w:sz="8"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 </w:t>
            </w:r>
          </w:p>
        </w:tc>
        <w:tc>
          <w:tcPr>
            <w:tcW w:w="2362" w:type="dxa"/>
            <w:tcBorders>
              <w:left w:val="single" w:sz="8" w:space="0" w:color="000001"/>
              <w:bottom w:val="single" w:sz="8" w:space="0" w:color="000001"/>
              <w:right w:val="single" w:sz="4"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 </w:t>
            </w:r>
          </w:p>
        </w:tc>
        <w:tc>
          <w:tcPr>
            <w:tcW w:w="1318" w:type="dxa"/>
            <w:tcBorders>
              <w:bottom w:val="single" w:sz="8"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660" w:type="dxa"/>
            <w:tcBorders>
              <w:bottom w:val="single" w:sz="8"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023" w:type="dxa"/>
            <w:tcBorders>
              <w:bottom w:val="single" w:sz="8"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476" w:type="dxa"/>
            <w:tcBorders>
              <w:bottom w:val="single" w:sz="8"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521" w:type="dxa"/>
            <w:tcBorders>
              <w:bottom w:val="single" w:sz="8"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4" w:type="dxa"/>
            <w:tcBorders>
              <w:bottom w:val="single" w:sz="8"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r>
      <w:tr>
        <w:trPr>
          <w:trHeight w:val="288"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21"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88"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21"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88" w:hRule="atLeast"/>
        </w:trPr>
        <w:tc>
          <w:tcPr>
            <w:tcW w:w="5112" w:type="dxa"/>
            <w:gridSpan w:val="2"/>
            <w:tcBorders>
              <w:bottom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bottom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521" w:type="dxa"/>
            <w:tcBorders>
              <w:bottom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28" w:hRule="atLeast"/>
        </w:trPr>
        <w:tc>
          <w:tcPr>
            <w:tcW w:w="5112" w:type="dxa"/>
            <w:gridSpan w:val="2"/>
            <w:tcBorders>
              <w:top w:val="single" w:sz="4" w:space="0" w:color="000001"/>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t>поставщик</w:t>
            </w:r>
          </w:p>
        </w:tc>
        <w:tc>
          <w:tcPr>
            <w:tcW w:w="1318"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r>
          </w:p>
        </w:tc>
        <w:tc>
          <w:tcPr>
            <w:tcW w:w="1660"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r>
          </w:p>
        </w:tc>
        <w:tc>
          <w:tcPr>
            <w:tcW w:w="2023"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r>
          </w:p>
        </w:tc>
        <w:tc>
          <w:tcPr>
            <w:tcW w:w="2476"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t>подпись</w:t>
            </w:r>
          </w:p>
        </w:tc>
        <w:tc>
          <w:tcPr>
            <w:tcW w:w="1521"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t>ФИО</w:t>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88"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21"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5112"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w:t>
            </w:r>
            <w:r>
              <w:rPr>
                <w:rFonts w:ascii="Calibri" w:hAnsi="Calibri"/>
                <w:color w:val="000000"/>
                <w:sz w:val="16"/>
                <w:szCs w:val="16"/>
              </w:rPr>
              <w:t xml:space="preserve">ТОРГ-12 </w:t>
            </w:r>
            <w:r>
              <w:rPr>
                <w:rFonts w:ascii="Calibri" w:hAnsi="Calibri"/>
                <w:color w:val="000000"/>
                <w:sz w:val="16"/>
                <w:szCs w:val="16"/>
                <w:shd w:fill="FFFF00" w:val="clear"/>
              </w:rPr>
              <w:t>/ УПД</w:t>
            </w:r>
            <w:r>
              <w:rPr>
                <w:rFonts w:ascii="Calibri" w:hAnsi="Calibri"/>
                <w:color w:val="000000"/>
                <w:sz w:val="16"/>
                <w:szCs w:val="16"/>
              </w:rPr>
              <w:t>, счет-фактура - по строке грузоотправитель указывается организация грузоотправителя</w:t>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21"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5112"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w:t>
            </w:r>
            <w:r>
              <w:rPr>
                <w:rFonts w:ascii="Calibri" w:hAnsi="Calibri"/>
                <w:color w:val="000000"/>
                <w:sz w:val="16"/>
                <w:szCs w:val="16"/>
              </w:rPr>
              <w:t>Реквизиты документа, согласно которому поставщиком передана обязанность по поставке груза</w:t>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21"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5112"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 xml:space="preserve">*** </w:t>
            </w:r>
            <w:r>
              <w:rPr>
                <w:rFonts w:ascii="Calibri" w:hAnsi="Calibri"/>
                <w:color w:val="000000"/>
                <w:sz w:val="16"/>
                <w:szCs w:val="16"/>
              </w:rPr>
              <w:t>В случае поставки товара силами поставщика в графе 2,6 проставляется "он же"</w:t>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21"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4"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bl>
    <w:p>
      <w:pPr>
        <w:pStyle w:val="Normal"/>
        <w:rPr>
          <w:b/>
          <w:bCs/>
          <w:sz w:val="24"/>
          <w:szCs w:val="24"/>
        </w:rPr>
      </w:pPr>
      <w:r>
        <w:rPr>
          <w:b/>
          <w:bCs/>
          <w:sz w:val="24"/>
          <w:szCs w:val="24"/>
        </w:rPr>
      </w:r>
    </w:p>
    <w:tbl>
      <w:tblPr>
        <w:tblW w:w="1325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502"/>
        <w:gridCol w:w="3470"/>
        <w:gridCol w:w="5286"/>
      </w:tblGrid>
      <w:tr>
        <w:trPr>
          <w:trHeight w:val="218" w:hRule="atLeast"/>
        </w:trPr>
        <w:tc>
          <w:tcPr>
            <w:tcW w:w="4502" w:type="dxa"/>
            <w:tcBorders/>
            <w:shd w:fill="auto" w:val="clear"/>
          </w:tcPr>
          <w:p>
            <w:pPr>
              <w:pStyle w:val="BodyText"/>
              <w:widowControl w:val="false"/>
              <w:numPr>
                <w:ilvl w:val="0"/>
                <w:numId w:val="0"/>
              </w:numPr>
              <w:ind w:hanging="0" w:left="0"/>
              <w:jc w:val="center"/>
              <w:rPr>
                <w:b/>
                <w:sz w:val="22"/>
                <w:szCs w:val="22"/>
              </w:rPr>
            </w:pPr>
            <w:r>
              <w:rPr>
                <w:b/>
                <w:sz w:val="22"/>
                <w:szCs w:val="22"/>
              </w:rPr>
              <w:t>ПОСТАВЩИК</w:t>
            </w:r>
          </w:p>
          <w:p>
            <w:pPr>
              <w:pStyle w:val="BodyText"/>
              <w:widowControl w:val="false"/>
              <w:numPr>
                <w:ilvl w:val="0"/>
                <w:numId w:val="0"/>
              </w:numPr>
              <w:spacing w:before="0" w:after="120"/>
              <w:ind w:hanging="0" w:left="0"/>
              <w:jc w:val="center"/>
              <w:rPr>
                <w:b/>
                <w:sz w:val="22"/>
                <w:szCs w:val="22"/>
              </w:rPr>
            </w:pPr>
            <w:r>
              <w:rPr>
                <w:b/>
                <w:sz w:val="22"/>
                <w:szCs w:val="22"/>
              </w:rPr>
            </w:r>
          </w:p>
        </w:tc>
        <w:tc>
          <w:tcPr>
            <w:tcW w:w="3470" w:type="dxa"/>
            <w:tcBorders/>
            <w:shd w:fill="auto" w:val="clear"/>
          </w:tcPr>
          <w:p>
            <w:pPr>
              <w:pStyle w:val="BodyText"/>
              <w:widowControl w:val="false"/>
              <w:numPr>
                <w:ilvl w:val="0"/>
                <w:numId w:val="0"/>
              </w:numPr>
              <w:spacing w:before="0" w:after="120"/>
              <w:ind w:hanging="0" w:left="0"/>
              <w:rPr>
                <w:sz w:val="22"/>
                <w:szCs w:val="22"/>
              </w:rPr>
            </w:pPr>
            <w:r>
              <w:rPr>
                <w:sz w:val="22"/>
                <w:szCs w:val="22"/>
              </w:rPr>
            </w:r>
          </w:p>
        </w:tc>
        <w:tc>
          <w:tcPr>
            <w:tcW w:w="5286" w:type="dxa"/>
            <w:tcBorders/>
            <w:shd w:fill="auto" w:val="clear"/>
          </w:tcPr>
          <w:p>
            <w:pPr>
              <w:pStyle w:val="BodyText"/>
              <w:widowControl w:val="false"/>
              <w:numPr>
                <w:ilvl w:val="0"/>
                <w:numId w:val="0"/>
              </w:numPr>
              <w:ind w:hanging="0" w:left="0"/>
              <w:jc w:val="center"/>
              <w:rPr>
                <w:b/>
                <w:sz w:val="22"/>
                <w:szCs w:val="22"/>
              </w:rPr>
            </w:pPr>
            <w:r>
              <w:rPr>
                <w:b/>
                <w:sz w:val="22"/>
                <w:szCs w:val="22"/>
              </w:rPr>
              <w:t>ПОКУПАТЕЛЬ</w:t>
            </w:r>
          </w:p>
          <w:p>
            <w:pPr>
              <w:pStyle w:val="Normal"/>
              <w:widowControl w:val="false"/>
              <w:shd w:val="clear" w:color="auto" w:fill="FFFFFF"/>
              <w:tabs>
                <w:tab w:val="clear" w:pos="708"/>
                <w:tab w:val="center" w:pos="4806" w:leader="none"/>
              </w:tabs>
              <w:jc w:val="center"/>
              <w:rPr>
                <w:sz w:val="22"/>
                <w:szCs w:val="22"/>
              </w:rPr>
            </w:pPr>
            <w:r>
              <w:rPr>
                <w:b/>
                <w:bCs/>
                <w:color w:val="000000"/>
                <w:sz w:val="22"/>
                <w:szCs w:val="22"/>
              </w:rPr>
              <w:t>АО «ДРСК»</w:t>
            </w:r>
          </w:p>
        </w:tc>
      </w:tr>
    </w:tbl>
    <w:p>
      <w:pPr>
        <w:pStyle w:val="Normal"/>
        <w:ind w:firstLine="709"/>
        <w:rPr/>
      </w:pPr>
      <w:r>
        <w:rPr/>
      </w:r>
    </w:p>
    <w:sectPr>
      <w:headerReference w:type="default" r:id="rId9"/>
      <w:headerReference w:type="first" r:id="rId10"/>
      <w:footerReference w:type="default" r:id="rId11"/>
      <w:footnotePr>
        <w:numFmt w:val="decimal"/>
      </w:footnotePr>
      <w:type w:val="nextPage"/>
      <w:pgSz w:orient="landscape" w:w="16838" w:h="11906"/>
      <w:pgMar w:left="1134" w:right="1134" w:gutter="0" w:header="567" w:top="1418" w:footer="709" w:bottom="851"/>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Liberation Sans">
    <w:altName w:val="Arial"/>
    <w:charset w:val="01"/>
    <w:family w:val="roman"/>
    <w:pitch w:val="variable"/>
  </w:font>
  <w:font w:name="Verdana">
    <w:charset w:val="01"/>
    <w:family w:val="roman"/>
    <w:pitch w:val="variable"/>
  </w:font>
  <w:font w:name="Calibri">
    <w:charset w:val="01"/>
    <w:family w:val="roman"/>
    <w:pitch w:val="variable"/>
  </w:font>
  <w:font w:name="Liberation Mono">
    <w:altName w:val="Courier New"/>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rFonts w:ascii="Times New Roman" w:hAnsi="Times New Roman" w:cs="Times New Roman"/>
        <w:sz w:val="18"/>
        <w:szCs w:val="18"/>
      </w:rPr>
    </w:pPr>
    <w:r>
      <w:rPr>
        <w:rFonts w:cs="Times New Roman" w:ascii="Times New Roman" w:hAnsi="Times New Roman"/>
        <w:sz w:val="18"/>
        <w:szCs w:val="18"/>
      </w:rPr>
      <w:t>Документ распечатан из программы 1С: Документооборот. Версия файла 2.</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4"/>
        </w:rPr>
        <w:footnoteRef/>
      </w:r>
      <w:r>
        <w:rPr>
          <w:rFonts w:ascii="Liberation Serif" w:hAnsi="Liberation Serif"/>
          <w:sz w:val="22"/>
          <w:szCs w:val="22"/>
        </w:rPr>
        <w:t xml:space="preserve"> </w:t>
      </w:r>
      <w:r>
        <w:rPr>
          <w:rFonts w:ascii="Liberation Serif" w:hAnsi="Liberation Serif"/>
          <w:sz w:val="22"/>
          <w:szCs w:val="22"/>
        </w:rPr>
        <w:t>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3">
    <w:p>
      <w:pPr>
        <w:pStyle w:val="FootnoteText"/>
        <w:rPr/>
      </w:pPr>
      <w:r>
        <w:rPr>
          <w:rStyle w:val="Style14"/>
        </w:rPr>
        <w:footnoteRef/>
      </w:r>
      <w:r>
        <w:rPr>
          <w:rStyle w:val="Style14"/>
        </w:rPr>
        <w:tab/>
      </w:r>
      <w:r>
        <w:rPr/>
        <w:t xml:space="preserve"> Для договоров, заключенных в рамках операционной (текущей) деятельности Общества</w:t>
      </w:r>
    </w:p>
  </w:footnote>
  <w:footnote w:id="4">
    <w:p>
      <w:pPr>
        <w:pStyle w:val="FootnoteText"/>
        <w:rPr/>
      </w:pPr>
      <w:r>
        <w:rPr>
          <w:rStyle w:val="Style14"/>
        </w:rPr>
        <w:footnoteRef/>
      </w:r>
      <w:r>
        <w:rPr>
          <w:rStyle w:val="Style14"/>
        </w:rPr>
        <w:tab/>
      </w:r>
      <w:r>
        <w:rPr/>
        <w:t xml:space="preserve"> Для договоров, заключенных в рамках реализации инвестиционной программы Общества</w:t>
      </w:r>
    </w:p>
  </w:footnote>
  <w:footnote w:id="5">
    <w:p>
      <w:pPr>
        <w:pStyle w:val="FootnoteText"/>
        <w:rPr/>
      </w:pPr>
      <w:r>
        <w:rPr>
          <w:rStyle w:val="Style14"/>
        </w:rPr>
        <w:footnoteRef/>
      </w:r>
      <w:r>
        <w:rPr>
          <w:rStyle w:val="Style14"/>
        </w:rPr>
        <w:tab/>
      </w:r>
      <w:r>
        <w:rPr/>
        <w:t xml:space="preserve"> Применяется в случае, если Контрагент является субъектом МСП, для закупок, участниками которых могут быть только субъектами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pPr>
      <w:r>
        <w:rPr>
          <w:rStyle w:val="Style14"/>
        </w:rPr>
        <w:footnoteRef/>
      </w:r>
      <w:r>
        <w:rPr>
          <w:rStyle w:val="Style14"/>
        </w:rPr>
        <w:tab/>
      </w:r>
      <w:r>
        <w:rPr/>
        <w:t xml:space="preserve"> В случае, если предметом договора поставки является товар, подлежащий прослеживаемости согласно Постановлению Правительства от 01.07.2021 №1108 «</w:t>
      </w:r>
      <w:r>
        <w:rPr>
          <w:rStyle w:val="Doctitleimportant"/>
        </w:rPr>
        <w:t xml:space="preserve">Об утверждении Положения о национальной системе прослеживаемости товаров», Стороны заключают </w:t>
      </w:r>
      <w:r>
        <w:rPr/>
        <w:t>Соглашение о взаимном выставлении счетов-фактур в электронном виде по форме, направленной Покупателем Поставщику течение пяти календарных дней с момента заключения договора. Корректировка условий Соглашения по форме и содержанию допускается.</w:t>
      </w:r>
    </w:p>
  </w:footnote>
  <w:footnote w:id="7">
    <w:p>
      <w:pPr>
        <w:pStyle w:val="FootnoteText"/>
        <w:rPr/>
      </w:pPr>
      <w:r>
        <w:rPr>
          <w:rStyle w:val="Style14"/>
        </w:rPr>
        <w:footnoteRef/>
      </w:r>
      <w:r>
        <w:rPr>
          <w:rStyle w:val="Style14"/>
        </w:rPr>
        <w:tab/>
      </w:r>
      <w:r>
        <w:rPr/>
        <w:t xml:space="preserve"> Исключается из Договора в случае, если Поставщиком применяется упрощенная система налогообложения</w:t>
      </w:r>
    </w:p>
  </w:footnote>
  <w:footnote w:id="8">
    <w:p>
      <w:pPr>
        <w:pStyle w:val="Annotationtext"/>
        <w:jc w:val="both"/>
        <w:rPr/>
      </w:pPr>
      <w:r>
        <w:rPr>
          <w:rStyle w:val="Style14"/>
        </w:rPr>
        <w:footnoteRef/>
      </w:r>
      <w:r>
        <w:rPr>
          <w:rStyle w:val="Style14"/>
        </w:rPr>
        <w:tab/>
      </w:r>
      <w:r>
        <w:rPr>
          <w:highlight w:val="lightGray"/>
        </w:rPr>
        <w:t xml:space="preserve"> 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9">
    <w:p>
      <w:pPr>
        <w:pStyle w:val="FootnoteText"/>
        <w:rPr/>
      </w:pPr>
      <w:r>
        <w:rPr>
          <w:rStyle w:val="Style14"/>
        </w:rPr>
        <w:footnoteRef/>
      </w:r>
      <w:r>
        <w:rPr>
          <w:rStyle w:val="Style14"/>
        </w:rPr>
        <w:tab/>
      </w:r>
      <w:r>
        <w:rPr/>
        <w:t xml:space="preserve"> Исключается из Договора в случае, если контрагентом применяется упрощенная система налогообложения</w:t>
      </w:r>
    </w:p>
  </w:footnote>
  <w:footnote w:id="10">
    <w:p>
      <w:pPr>
        <w:pStyle w:val="Normal"/>
        <w:spacing w:lineRule="exact" w:line="302"/>
        <w:jc w:val="both"/>
        <w:rPr>
          <w:rFonts w:ascii="Liberation Serif;Times New Roman" w:hAnsi="Liberation Serif;Times New Roman" w:cs="Liberation Serif;Times New Roman"/>
          <w:i/>
          <w:i/>
          <w:iCs/>
        </w:rPr>
      </w:pPr>
      <w:r>
        <w:rPr>
          <w:rStyle w:val="Style14"/>
        </w:rPr>
        <w:footnoteRef/>
      </w:r>
      <w:r>
        <w:rPr>
          <w:rFonts w:cs="Liberation Serif;Times New Roman" w:ascii="Liberation Serif;Times New Roman" w:hAnsi="Liberation Serif;Times New Roman"/>
          <w:i/>
          <w:iCs/>
        </w:rPr>
        <w:t xml:space="preserve"> </w:t>
      </w:r>
      <w:r>
        <w:rPr>
          <w:rFonts w:cs="Liberation Serif;Times New Roman" w:ascii="Liberation Serif;Times New Roman" w:hAnsi="Liberation Serif;Times New Roman"/>
          <w:i/>
          <w:iCs/>
        </w:rPr>
        <w:t>Пункт включается в договор в случае поставки приборов учета электрической энергии.</w:t>
      </w:r>
    </w:p>
  </w:footnote>
  <w:footnote w:id="11">
    <w:p>
      <w:pPr>
        <w:pStyle w:val="FootnoteText"/>
        <w:jc w:val="both"/>
        <w:rPr/>
      </w:pPr>
      <w:r>
        <w:rPr>
          <w:rStyle w:val="Style14"/>
        </w:rPr>
        <w:footnoteRef/>
      </w:r>
      <w:r>
        <w:rPr>
          <w:rStyle w:val="Style14"/>
        </w:rPr>
        <w:tab/>
      </w:r>
      <w:r>
        <w:rPr/>
        <w:t xml:space="preserve"> В соответствии с Общероссийским классификатором стран мира (утв. Постановлением Госстандарта России от 14.12.2001 N 529-ст.).</w:t>
      </w:r>
    </w:p>
  </w:footnote>
  <w:footnote w:id="12">
    <w:p>
      <w:pPr>
        <w:pStyle w:val="FootnoteText"/>
        <w:jc w:val="both"/>
        <w:rPr/>
      </w:pPr>
      <w:r>
        <w:rPr>
          <w:rStyle w:val="Style14"/>
        </w:rPr>
        <w:footnoteRef/>
      </w:r>
      <w:r>
        <w:rPr>
          <w:rStyle w:val="Style14"/>
        </w:rPr>
        <w:tab/>
      </w:r>
      <w:r>
        <w:rPr>
          <w:shd w:fill="CCCCCC" w:val="clear"/>
        </w:rPr>
        <w:t xml:space="preserve"> Порядковый номер (номера) реестровой записи (реестровых записей), под которой (которыми) Товар включен в реестры, предусмотренные пунктом 3 Постановления Правительства РФ от </w:t>
      </w:r>
      <w:r>
        <w:rPr>
          <w:rFonts w:eastAsia="Calibri" w:eastAsiaTheme="minorHAnsi"/>
          <w:bCs/>
          <w:sz w:val="20"/>
          <w:szCs w:val="20"/>
          <w:shd w:fill="CCCCCC" w:val="clear"/>
          <w:lang w:eastAsia="en-US"/>
        </w:rPr>
        <w:t xml:space="preserve">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eastAsia="Calibri" w:eastAsiaTheme="minorHAnsi"/>
          <w:shd w:fill="CCCCCC" w:val="clear"/>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i/>
        <w:i/>
        <w:sz w:val="24"/>
        <w:szCs w:val="24"/>
      </w:rPr>
    </w:pPr>
    <w:r>
      <w:rPr>
        <w:i/>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sz w:val="24"/>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7"/>
      <w:numFmt w:val="decimal"/>
      <w:lvlText w:val="%1."/>
      <w:lvlJc w:val="left"/>
      <w:pPr>
        <w:tabs>
          <w:tab w:val="num" w:pos="0"/>
        </w:tabs>
        <w:ind w:left="720" w:hanging="360"/>
      </w:pPr>
      <w:rPr/>
    </w:lvl>
    <w:lvl w:ilvl="1">
      <w:start w:val="1"/>
      <w:numFmt w:val="decimal"/>
      <w:lvlText w:val="%1.%2."/>
      <w:lvlJc w:val="left"/>
      <w:pPr>
        <w:tabs>
          <w:tab w:val="num" w:pos="0"/>
        </w:tabs>
        <w:ind w:left="1779" w:hanging="360"/>
      </w:pPr>
      <w:rPr>
        <w:sz w:val="24"/>
        <w:b/>
        <w:szCs w:val="24"/>
      </w:rPr>
    </w:lvl>
    <w:lvl w:ilvl="2">
      <w:start w:val="1"/>
      <w:numFmt w:val="decimal"/>
      <w:lvlText w:val="%1.%2.%3."/>
      <w:lvlJc w:val="left"/>
      <w:pPr>
        <w:tabs>
          <w:tab w:val="num" w:pos="0"/>
        </w:tabs>
        <w:ind w:left="3198" w:hanging="720"/>
      </w:pPr>
      <w:rPr/>
    </w:lvl>
    <w:lvl w:ilvl="3">
      <w:start w:val="1"/>
      <w:numFmt w:val="decimal"/>
      <w:lvlText w:val="%1.%2.%3.%4."/>
      <w:lvlJc w:val="left"/>
      <w:pPr>
        <w:tabs>
          <w:tab w:val="num" w:pos="0"/>
        </w:tabs>
        <w:ind w:left="4257" w:hanging="720"/>
      </w:pPr>
      <w:rPr/>
    </w:lvl>
    <w:lvl w:ilvl="4">
      <w:start w:val="1"/>
      <w:numFmt w:val="decimal"/>
      <w:lvlText w:val="%1.%2.%3.%4.%5."/>
      <w:lvlJc w:val="left"/>
      <w:pPr>
        <w:tabs>
          <w:tab w:val="num" w:pos="0"/>
        </w:tabs>
        <w:ind w:left="5676" w:hanging="1080"/>
      </w:pPr>
      <w:rPr/>
    </w:lvl>
    <w:lvl w:ilvl="5">
      <w:start w:val="1"/>
      <w:numFmt w:val="decimal"/>
      <w:lvlText w:val="%1.%2.%3.%4.%5.%6."/>
      <w:lvlJc w:val="left"/>
      <w:pPr>
        <w:tabs>
          <w:tab w:val="num" w:pos="0"/>
        </w:tabs>
        <w:ind w:left="6735" w:hanging="1080"/>
      </w:pPr>
      <w:rPr/>
    </w:lvl>
    <w:lvl w:ilvl="6">
      <w:start w:val="1"/>
      <w:numFmt w:val="decimal"/>
      <w:lvlText w:val="%1.%2.%3.%4.%5.%6.%7."/>
      <w:lvlJc w:val="left"/>
      <w:pPr>
        <w:tabs>
          <w:tab w:val="num" w:pos="0"/>
        </w:tabs>
        <w:ind w:left="8154" w:hanging="1440"/>
      </w:pPr>
      <w:rPr/>
    </w:lvl>
    <w:lvl w:ilvl="7">
      <w:start w:val="1"/>
      <w:numFmt w:val="decimal"/>
      <w:lvlText w:val="%1.%2.%3.%4.%5.%6.%7.%8."/>
      <w:lvlJc w:val="left"/>
      <w:pPr>
        <w:tabs>
          <w:tab w:val="num" w:pos="0"/>
        </w:tabs>
        <w:ind w:left="9213" w:hanging="1440"/>
      </w:pPr>
      <w:rPr/>
    </w:lvl>
    <w:lvl w:ilvl="8">
      <w:start w:val="1"/>
      <w:numFmt w:val="decimal"/>
      <w:lvlText w:val="%1.%2.%3.%4.%5.%6.%7.%8.%9."/>
      <w:lvlJc w:val="left"/>
      <w:pPr>
        <w:tabs>
          <w:tab w:val="num" w:pos="0"/>
        </w:tabs>
        <w:ind w:left="10632" w:hanging="1800"/>
      </w:pPr>
      <w:rPr/>
    </w:lvl>
  </w:abstractNum>
  <w:abstractNum w:abstractNumId="13">
    <w:lvl w:ilvl="0">
      <w:start w:val="1"/>
      <w:numFmt w:val="bullet"/>
      <w:lvlText w:val="–"/>
      <w:lvlJc w:val="left"/>
      <w:pPr>
        <w:tabs>
          <w:tab w:val="num" w:pos="0"/>
        </w:tabs>
        <w:ind w:left="0" w:hanging="0"/>
      </w:pPr>
      <w:rPr>
        <w:rFonts w:ascii="Times New Roman" w:hAnsi="Times New Roman" w:cs="Times New Roman" w:hint="default"/>
        <w:dstrike w:val="false"/>
        <w:strike w:val="false"/>
        <w:vertAlign w:val="baseline"/>
        <w:position w:val="0"/>
        <w:sz w:val="24"/>
        <w:sz w:val="24"/>
        <w:i w:val="false"/>
        <w:u w:val="none" w:color="000000"/>
        <w:b w:val="false"/>
        <w:szCs w:val="28"/>
        <w:highlight w:val="white"/>
        <w:color w:val="000000"/>
      </w:rPr>
    </w:lvl>
    <w:lvl w:ilvl="1">
      <w:start w:val="1"/>
      <w:numFmt w:val="bullet"/>
      <w:lvlText w:val="o"/>
      <w:lvlJc w:val="left"/>
      <w:pPr>
        <w:tabs>
          <w:tab w:val="num" w:pos="0"/>
        </w:tabs>
        <w:ind w:left="178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2">
      <w:start w:val="1"/>
      <w:numFmt w:val="bullet"/>
      <w:lvlText w:val="▪"/>
      <w:lvlJc w:val="left"/>
      <w:pPr>
        <w:tabs>
          <w:tab w:val="num" w:pos="0"/>
        </w:tabs>
        <w:ind w:left="250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3">
      <w:start w:val="1"/>
      <w:numFmt w:val="bullet"/>
      <w:lvlText w:val="•"/>
      <w:lvlJc w:val="left"/>
      <w:pPr>
        <w:tabs>
          <w:tab w:val="num" w:pos="0"/>
        </w:tabs>
        <w:ind w:left="322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4">
      <w:start w:val="1"/>
      <w:numFmt w:val="bullet"/>
      <w:lvlText w:val="o"/>
      <w:lvlJc w:val="left"/>
      <w:pPr>
        <w:tabs>
          <w:tab w:val="num" w:pos="0"/>
        </w:tabs>
        <w:ind w:left="394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5">
      <w:start w:val="1"/>
      <w:numFmt w:val="bullet"/>
      <w:lvlText w:val="▪"/>
      <w:lvlJc w:val="left"/>
      <w:pPr>
        <w:tabs>
          <w:tab w:val="num" w:pos="0"/>
        </w:tabs>
        <w:ind w:left="466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6">
      <w:start w:val="1"/>
      <w:numFmt w:val="bullet"/>
      <w:lvlText w:val="•"/>
      <w:lvlJc w:val="left"/>
      <w:pPr>
        <w:tabs>
          <w:tab w:val="num" w:pos="0"/>
        </w:tabs>
        <w:ind w:left="538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7">
      <w:start w:val="1"/>
      <w:numFmt w:val="bullet"/>
      <w:lvlText w:val="o"/>
      <w:lvlJc w:val="left"/>
      <w:pPr>
        <w:tabs>
          <w:tab w:val="num" w:pos="0"/>
        </w:tabs>
        <w:ind w:left="610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8">
      <w:start w:val="1"/>
      <w:numFmt w:val="bullet"/>
      <w:lvlText w:val="▪"/>
      <w:lvlJc w:val="left"/>
      <w:pPr>
        <w:tabs>
          <w:tab w:val="num" w:pos="0"/>
        </w:tabs>
        <w:ind w:left="682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1">
    <w:name w:val="page number1"/>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f47c6a"/>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5c4029"/>
    <w:rPr/>
  </w:style>
  <w:style w:type="character" w:styleId="Doctitleimportant" w:customStyle="1">
    <w:name w:val="doc__title_important"/>
    <w:basedOn w:val="DefaultParagraphFont"/>
    <w:qFormat/>
    <w:rsid w:val="00c15a0e"/>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character" w:styleId="Style20">
    <w:name w:val="Символы концевой сноски"/>
    <w:qFormat/>
    <w:rPr/>
  </w:style>
  <w:style w:type="character" w:styleId="WW8Num3z0">
    <w:name w:val="WW8Num3z0"/>
    <w:qFormat/>
    <w:rPr>
      <w:b/>
      <w:bCs/>
    </w:rPr>
  </w:style>
  <w:style w:type="character" w:styleId="WW8Num3z1">
    <w:name w:val="WW8Num3z1"/>
    <w:qFormat/>
    <w:rPr>
      <w:b w:val="false"/>
      <w:bCs/>
      <w:i w:val="false"/>
      <w:sz w:val="24"/>
      <w:szCs w:val="24"/>
      <w:shd w:fill="C0C0C0" w:val="clear"/>
      <w:lang w:eastAsia="en-US"/>
    </w:rPr>
  </w:style>
  <w:style w:type="character" w:styleId="WW8Num3z2">
    <w:name w:val="WW8Num3z2"/>
    <w:qFormat/>
    <w:rPr>
      <w:bCs/>
    </w:rPr>
  </w:style>
  <w:style w:type="character" w:styleId="EndnoteReference1">
    <w:name w:val="Endnote Reference1"/>
    <w:qFormat/>
    <w:rPr>
      <w:vertAlign w:val="superscript"/>
    </w:rPr>
  </w:style>
  <w:style w:type="character" w:styleId="FootnoteReference1">
    <w:name w:val="Footnote Reference1"/>
    <w:qFormat/>
    <w:rPr>
      <w:vertAlign w:val="superscript"/>
    </w:rPr>
  </w:style>
  <w:style w:type="character" w:styleId="EndnoteReference3">
    <w:name w:val="Endnote Reference3"/>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FootnoteReference2">
    <w:name w:val="Footnote Reference2"/>
    <w:qFormat/>
    <w:rPr>
      <w:vertAlign w:val="superscript"/>
    </w:rPr>
  </w:style>
  <w:style w:type="character" w:styleId="EndnoteReference11">
    <w:name w:val="Endnote Reference11"/>
    <w:qFormat/>
    <w:rPr>
      <w:vertAlign w:val="superscript"/>
    </w:rPr>
  </w:style>
  <w:style w:type="character" w:styleId="WW-">
    <w:name w:val="WW-Символы концевой сноски"/>
    <w:qFormat/>
    <w:rPr/>
  </w:style>
  <w:style w:type="character" w:styleId="FootnoteReference11">
    <w:name w:val="Footnote Reference11"/>
    <w:qFormat/>
    <w:rPr>
      <w:vertAlign w:val="superscript"/>
    </w:rPr>
  </w:style>
  <w:style w:type="character" w:styleId="Style21">
    <w:name w:val="Текст выноски Знак"/>
    <w:qFormat/>
    <w:rPr>
      <w:rFonts w:ascii="Tahoma" w:hAnsi="Tahoma" w:cs="Tahoma"/>
      <w:sz w:val="16"/>
      <w:szCs w:val="16"/>
    </w:rPr>
  </w:style>
  <w:style w:type="character" w:styleId="Style22">
    <w:name w:val="Знак примечания"/>
    <w:qFormat/>
    <w:rPr>
      <w:sz w:val="16"/>
      <w:szCs w:val="16"/>
    </w:rPr>
  </w:style>
  <w:style w:type="character" w:styleId="PageNumber">
    <w:name w:val="Page Number"/>
    <w:basedOn w:val="Style23"/>
    <w:rPr/>
  </w:style>
  <w:style w:type="character" w:styleId="Style23">
    <w:name w:val="Основной шрифт абзаца"/>
    <w:qFormat/>
    <w:rPr/>
  </w:style>
  <w:style w:type="character" w:styleId="WW8Num29z0">
    <w:name w:val="WW8Num29z0"/>
    <w:qFormat/>
    <w:rPr/>
  </w:style>
  <w:style w:type="character" w:styleId="WW8Num28z2">
    <w:name w:val="WW8Num28z2"/>
    <w:qFormat/>
    <w:rPr>
      <w:rFonts w:ascii="Wingdings" w:hAnsi="Wingdings" w:cs="Wingdings"/>
    </w:rPr>
  </w:style>
  <w:style w:type="character" w:styleId="WW8Num28z1">
    <w:name w:val="WW8Num28z1"/>
    <w:qFormat/>
    <w:rPr>
      <w:rFonts w:ascii="Courier New" w:hAnsi="Courier New" w:cs="Courier New"/>
    </w:rPr>
  </w:style>
  <w:style w:type="character" w:styleId="WW8Num28z0">
    <w:name w:val="WW8Num28z0"/>
    <w:qFormat/>
    <w:rPr>
      <w:rFonts w:ascii="Symbol" w:hAnsi="Symbol" w:cs="Symbol"/>
    </w:rPr>
  </w:style>
  <w:style w:type="character" w:styleId="WW8Num27z0">
    <w:name w:val="WW8Num27z0"/>
    <w:qFormat/>
    <w:rPr/>
  </w:style>
  <w:style w:type="character" w:styleId="WW8Num26z0">
    <w:name w:val="WW8Num26z0"/>
    <w:qFormat/>
    <w:rPr/>
  </w:style>
  <w:style w:type="character" w:styleId="WW8Num25z2">
    <w:name w:val="WW8Num25z2"/>
    <w:qFormat/>
    <w:rPr>
      <w:rFonts w:ascii="Wingdings" w:hAnsi="Wingdings" w:cs="Wingdings"/>
    </w:rPr>
  </w:style>
  <w:style w:type="character" w:styleId="WW8Num25z1">
    <w:name w:val="WW8Num25z1"/>
    <w:qFormat/>
    <w:rPr>
      <w:rFonts w:ascii="Courier New" w:hAnsi="Courier New" w:cs="Courier New"/>
    </w:rPr>
  </w:style>
  <w:style w:type="character" w:styleId="WW8Num25z0">
    <w:name w:val="WW8Num25z0"/>
    <w:qFormat/>
    <w:rPr>
      <w:rFonts w:ascii="Symbol" w:hAnsi="Symbol" w:cs="Symbol"/>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b w:val="false"/>
      <w:sz w:val="24"/>
      <w:szCs w:val="24"/>
    </w:rPr>
  </w:style>
  <w:style w:type="character" w:styleId="WW8Num24z1">
    <w:name w:val="WW8Num24z1"/>
    <w:qFormat/>
    <w:rPr>
      <w:b w:val="false"/>
      <w:u w:val="none"/>
    </w:rPr>
  </w:style>
  <w:style w:type="character" w:styleId="WW8Num24z0">
    <w:name w:val="WW8Num24z0"/>
    <w:qFormat/>
    <w:rPr>
      <w:b/>
    </w:rPr>
  </w:style>
  <w:style w:type="character" w:styleId="WW8Num23z2">
    <w:name w:val="WW8Num23z2"/>
    <w:qFormat/>
    <w:rPr>
      <w:rFonts w:ascii="Wingdings" w:hAnsi="Wingdings" w:cs="Wingdings"/>
    </w:rPr>
  </w:style>
  <w:style w:type="character" w:styleId="WW8Num23z1">
    <w:name w:val="WW8Num23z1"/>
    <w:qFormat/>
    <w:rPr>
      <w:rFonts w:ascii="Courier New" w:hAnsi="Courier New" w:cs="Courier New"/>
    </w:rPr>
  </w:style>
  <w:style w:type="character" w:styleId="WW8Num23z0">
    <w:name w:val="WW8Num23z0"/>
    <w:qFormat/>
    <w:rPr>
      <w:rFonts w:ascii="Symbol" w:hAnsi="Symbol" w:cs="Symbol"/>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z w:val="24"/>
      <w:szCs w:val="24"/>
    </w:rPr>
  </w:style>
  <w:style w:type="character" w:styleId="WW8Num21z2">
    <w:name w:val="WW8Num21z2"/>
    <w:qFormat/>
    <w:rPr>
      <w:rFonts w:ascii="Wingdings" w:hAnsi="Wingdings" w:cs="Wingdings"/>
    </w:rPr>
  </w:style>
  <w:style w:type="character" w:styleId="WW8Num21z1">
    <w:name w:val="WW8Num21z1"/>
    <w:qFormat/>
    <w:rPr>
      <w:rFonts w:ascii="Courier New" w:hAnsi="Courier New" w:cs="Courier New"/>
    </w:rPr>
  </w:style>
  <w:style w:type="character" w:styleId="WW8Num21z0">
    <w:name w:val="WW8Num21z0"/>
    <w:qFormat/>
    <w:rPr>
      <w:rFonts w:ascii="Symbol" w:hAnsi="Symbol" w:cs="Symbol"/>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20z5">
    <w:name w:val="WW8Num20z5"/>
    <w:qFormat/>
    <w:rPr/>
  </w:style>
  <w:style w:type="character" w:styleId="WW8Num20z4">
    <w:name w:val="WW8Num20z4"/>
    <w:qFormat/>
    <w:rPr/>
  </w:style>
  <w:style w:type="character" w:styleId="WW8Num20z3">
    <w:name w:val="WW8Num20z3"/>
    <w:qFormat/>
    <w:rPr/>
  </w:style>
  <w:style w:type="character" w:styleId="WW8Num20z2">
    <w:name w:val="WW8Num20z2"/>
    <w:qFormat/>
    <w:rPr>
      <w:b w:val="false"/>
      <w:sz w:val="24"/>
      <w:szCs w:val="24"/>
    </w:rPr>
  </w:style>
  <w:style w:type="character" w:styleId="WW8Num20z1">
    <w:name w:val="WW8Num20z1"/>
    <w:qFormat/>
    <w:rPr>
      <w:rFonts w:ascii="Symbol" w:hAnsi="Symbol" w:cs="Symbol"/>
      <w:b w:val="false"/>
      <w:u w:val="none"/>
    </w:rPr>
  </w:style>
  <w:style w:type="character" w:styleId="WW8Num20z0">
    <w:name w:val="WW8Num20z0"/>
    <w:qFormat/>
    <w:rPr>
      <w:b/>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Symbol" w:hAnsi="Symbol" w:cs="Symbol"/>
    </w:rPr>
  </w:style>
  <w:style w:type="character" w:styleId="WW8Num18z0">
    <w:name w:val="WW8Num18z0"/>
    <w:qFormat/>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7z2">
    <w:name w:val="WW8Num17z2"/>
    <w:qFormat/>
    <w:rPr/>
  </w:style>
  <w:style w:type="character" w:styleId="WW8Num17z1">
    <w:name w:val="WW8Num17z1"/>
    <w:qFormat/>
    <w:rPr/>
  </w:style>
  <w:style w:type="character" w:styleId="WW8Num17z0">
    <w:name w:val="WW8Num17z0"/>
    <w:qFormat/>
    <w:rPr>
      <w:b/>
    </w:rPr>
  </w:style>
  <w:style w:type="character" w:styleId="WW8Num16z3">
    <w:name w:val="WW8Num16z3"/>
    <w:qFormat/>
    <w:rPr>
      <w:rFonts w:ascii="Symbol" w:hAnsi="Symbol" w:cs="Symbol"/>
    </w:rPr>
  </w:style>
  <w:style w:type="character" w:styleId="WW8Num16z2">
    <w:name w:val="WW8Num16z2"/>
    <w:qFormat/>
    <w:rPr>
      <w:rFonts w:ascii="Wingdings" w:hAnsi="Wingdings" w:cs="Wingdings"/>
    </w:rPr>
  </w:style>
  <w:style w:type="character" w:styleId="WW8Num16z1">
    <w:name w:val="WW8Num16z1"/>
    <w:qFormat/>
    <w:rPr>
      <w:rFonts w:ascii="Courier New" w:hAnsi="Courier New" w:cs="Courier New"/>
    </w:rPr>
  </w:style>
  <w:style w:type="character" w:styleId="WW8Num16z0">
    <w:name w:val="WW8Num16z0"/>
    <w:qFormat/>
    <w:rPr>
      <w:rFonts w:ascii="Times New Roman" w:hAnsi="Times New Roman" w:cs="Times New Roman"/>
    </w:rPr>
  </w:style>
  <w:style w:type="character" w:styleId="WW8Num15z2">
    <w:name w:val="WW8Num15z2"/>
    <w:qFormat/>
    <w:rPr>
      <w:rFonts w:ascii="Wingdings" w:hAnsi="Wingdings" w:cs="Wingdings"/>
    </w:rPr>
  </w:style>
  <w:style w:type="character" w:styleId="WW8Num15z1">
    <w:name w:val="WW8Num15z1"/>
    <w:qFormat/>
    <w:rPr>
      <w:rFonts w:ascii="Courier New" w:hAnsi="Courier New" w:cs="Courier New"/>
    </w:rPr>
  </w:style>
  <w:style w:type="character" w:styleId="WW8Num15z0">
    <w:name w:val="WW8Num15z0"/>
    <w:qFormat/>
    <w:rPr>
      <w:rFonts w:ascii="Symbol" w:hAnsi="Symbol" w:cs="Symbol"/>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z w:val="24"/>
      <w:szCs w:val="24"/>
    </w:rPr>
  </w:style>
  <w:style w:type="character" w:styleId="WW8Num13z0">
    <w:name w:val="WW8Num13z0"/>
    <w:qFormat/>
    <w:rPr/>
  </w:style>
  <w:style w:type="character" w:styleId="WW8Num12z2">
    <w:name w:val="WW8Num12z2"/>
    <w:qFormat/>
    <w:rPr>
      <w:rFonts w:ascii="Wingdings" w:hAnsi="Wingdings" w:cs="Wingdings"/>
    </w:rPr>
  </w:style>
  <w:style w:type="character" w:styleId="WW8Num12z1">
    <w:name w:val="WW8Num12z1"/>
    <w:qFormat/>
    <w:rPr>
      <w:rFonts w:ascii="Courier New" w:hAnsi="Courier New" w:cs="Courier New"/>
    </w:rPr>
  </w:style>
  <w:style w:type="character" w:styleId="WW8Num12z0">
    <w:name w:val="WW8Num12z0"/>
    <w:qFormat/>
    <w:rPr>
      <w:rFonts w:ascii="Symbol" w:hAnsi="Symbol" w:cs="Symbol"/>
    </w:rPr>
  </w:style>
  <w:style w:type="character" w:styleId="WW8Num9z2">
    <w:name w:val="WW8Num9z2"/>
    <w:qFormat/>
    <w:rPr>
      <w:rFonts w:ascii="Wingdings" w:hAnsi="Wingdings" w:cs="Wingdings"/>
    </w:rPr>
  </w:style>
  <w:style w:type="character" w:styleId="WW8Num9z1">
    <w:name w:val="WW8Num9z1"/>
    <w:qFormat/>
    <w:rPr>
      <w:rFonts w:ascii="Courier New" w:hAnsi="Courier New" w:cs="Courier New"/>
    </w:rPr>
  </w:style>
  <w:style w:type="character" w:styleId="WW8Num7z2">
    <w:name w:val="WW8Num7z2"/>
    <w:qFormat/>
    <w:rPr>
      <w:rFonts w:ascii="Wingdings" w:hAnsi="Wingdings" w:cs="Wingdings"/>
    </w:rPr>
  </w:style>
  <w:style w:type="character" w:styleId="WW8Num7z1">
    <w:name w:val="WW8Num7z1"/>
    <w:qFormat/>
    <w:rPr>
      <w:rFonts w:ascii="Courier New" w:hAnsi="Courier New" w:cs="Courier New"/>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1z0">
    <w:name w:val="WW8Num11z0"/>
    <w:qFormat/>
    <w:rPr>
      <w:sz w:val="24"/>
      <w:szCs w:val="24"/>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WW8Num10z0">
    <w:name w:val="WW8Num10z0"/>
    <w:qFormat/>
    <w:rPr>
      <w:sz w:val="24"/>
      <w:szCs w:val="24"/>
      <w:shd w:fill="C0C0C0" w:val="clear"/>
    </w:rPr>
  </w:style>
  <w:style w:type="character" w:styleId="WW8Num9z0">
    <w:name w:val="WW8Num9z0"/>
    <w:qFormat/>
    <w:rPr>
      <w:rFonts w:ascii="Symbol" w:hAnsi="Symbol" w:cs="Symbol"/>
    </w:rPr>
  </w:style>
  <w:style w:type="character" w:styleId="WW8Num8z0">
    <w:name w:val="WW8Num8z0"/>
    <w:qFormat/>
    <w:rPr>
      <w:rFonts w:ascii="Symbol" w:hAnsi="Symbol" w:cs="Symbol"/>
    </w:rPr>
  </w:style>
  <w:style w:type="character" w:styleId="WW8Num7z0">
    <w:name w:val="WW8Num7z0"/>
    <w:qFormat/>
    <w:rPr>
      <w:rFonts w:ascii="Symbol" w:hAnsi="Symbol" w:cs="Symbol"/>
    </w:rPr>
  </w:style>
  <w:style w:type="character" w:styleId="WW8Num6z0">
    <w:name w:val="WW8Num6z0"/>
    <w:qFormat/>
    <w:rPr>
      <w:rFonts w:ascii="Symbol" w:hAnsi="Symbol" w:cs="Symbol"/>
    </w:rPr>
  </w:style>
  <w:style w:type="character" w:styleId="WW8Num5z2">
    <w:name w:val="WW8Num5z2"/>
    <w:qFormat/>
    <w:rPr/>
  </w:style>
  <w:style w:type="character" w:styleId="WW8Num5z1">
    <w:name w:val="WW8Num5z1"/>
    <w:qFormat/>
    <w:rPr>
      <w:b w:val="false"/>
      <w:bCs/>
      <w:i w:val="false"/>
    </w:rPr>
  </w:style>
  <w:style w:type="character" w:styleId="WW8Num5z0">
    <w:name w:val="WW8Num5z0"/>
    <w:qFormat/>
    <w:rPr>
      <w:b/>
    </w:rPr>
  </w:style>
  <w:style w:type="character" w:styleId="WW8Num4z2">
    <w:name w:val="WW8Num4z2"/>
    <w:qFormat/>
    <w:rPr>
      <w:bCs/>
      <w:sz w:val="24"/>
      <w:shd w:fill="C0C0C0" w:val="clear"/>
      <w:lang w:val="en-US"/>
    </w:rPr>
  </w:style>
  <w:style w:type="character" w:styleId="WW8Num4z1">
    <w:name w:val="WW8Num4z1"/>
    <w:qFormat/>
    <w:rPr>
      <w:bCs/>
      <w:i w:val="false"/>
      <w:sz w:val="24"/>
      <w:shd w:fill="C0C0C0" w:val="clear"/>
    </w:rPr>
  </w:style>
  <w:style w:type="character" w:styleId="WW8Num4z0">
    <w:name w:val="WW8Num4z0"/>
    <w:qFormat/>
    <w:rPr>
      <w:b/>
      <w:bCs/>
    </w:rPr>
  </w:style>
  <w:style w:type="character" w:styleId="WW8Num2z0">
    <w:name w:val="WW8Num2z0"/>
    <w:qFormat/>
    <w:rPr>
      <w:rFonts w:ascii="Symbol" w:hAnsi="Symbol" w:cs="Symbol"/>
    </w:rPr>
  </w:style>
  <w:style w:type="paragraph" w:styleId="Style24">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5">
    <w:name w:val="Указатель"/>
    <w:basedOn w:val="Normal"/>
    <w:qFormat/>
    <w:pPr>
      <w:suppressLineNumbers/>
    </w:pPr>
    <w:rPr>
      <w:rFonts w:cs="Lohit Devanagari"/>
      <w:lang w:val="zxx" w:eastAsia="zxx" w:bidi="zxx"/>
    </w:rPr>
  </w:style>
  <w:style w:type="paragraph" w:styleId="Title">
    <w:name w:val="Title"/>
    <w:basedOn w:val="Normal"/>
    <w:link w:val="Style7"/>
    <w:qFormat/>
    <w:rsid w:val="00a264b0"/>
    <w:pPr>
      <w:jc w:val="center"/>
    </w:pPr>
    <w:rPr>
      <w:b/>
      <w:bCs/>
      <w:sz w:val="24"/>
      <w:szCs w:val="24"/>
    </w:rPr>
  </w:style>
  <w:style w:type="paragraph" w:styleId="Style26"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hanging="0" w:lef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7">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hanging="0" w:left="720"/>
      <w:contextualSpacing/>
    </w:pPr>
    <w:rPr/>
  </w:style>
  <w:style w:type="paragraph" w:styleId="Style28"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9"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right="19772"/>
      <w:jc w:val="left"/>
    </w:pPr>
    <w:rPr>
      <w:rFonts w:ascii="Arial" w:hAnsi="Arial" w:eastAsia="Times New Roman" w:cs="Times New Roman"/>
      <w:color w:val="00000A"/>
      <w:kern w:val="0"/>
      <w:sz w:val="32"/>
      <w:szCs w:val="20"/>
      <w:lang w:val="ru-RU" w:eastAsia="en-US" w:bidi="ar-SA"/>
    </w:rPr>
  </w:style>
  <w:style w:type="paragraph" w:styleId="BodyTextIndent">
    <w:name w:val="Body Text Indent"/>
    <w:basedOn w:val="Normal"/>
    <w:link w:val="Style11"/>
    <w:rsid w:val="00e00bca"/>
    <w:pPr>
      <w:spacing w:before="0" w:after="120"/>
      <w:ind w:hanging="0" w:left="283"/>
    </w:pPr>
    <w:rPr/>
  </w:style>
  <w:style w:type="paragraph" w:styleId="Style30"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hanging="851" w:lef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31"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32">
    <w:name w:val="Содержимое таблицы"/>
    <w:basedOn w:val="Normal"/>
    <w:qFormat/>
    <w:pPr>
      <w:widowControl w:val="false"/>
      <w:suppressLineNumbers/>
    </w:pPr>
    <w:rPr/>
  </w:style>
  <w:style w:type="paragraph" w:styleId="Style33">
    <w:name w:val="Заголовок таблицы"/>
    <w:basedOn w:val="Style32"/>
    <w:qFormat/>
    <w:pPr>
      <w:suppressLineNumbers/>
      <w:jc w:val="center"/>
    </w:pPr>
    <w:rPr>
      <w:b/>
      <w:bCs/>
    </w:rPr>
  </w:style>
  <w:style w:type="paragraph" w:styleId="ConsPlusNonformat">
    <w:name w:val="ConsPlusNonformat"/>
    <w:qFormat/>
    <w:pPr>
      <w:widowControl/>
      <w:suppressAutoHyphens w:val="true"/>
      <w:bidi w:val="0"/>
      <w:spacing w:before="0" w:after="0"/>
      <w:jc w:val="left"/>
    </w:pPr>
    <w:rPr>
      <w:rFonts w:ascii="Courier New" w:hAnsi="Courier New" w:eastAsia="Calibri" w:cs="Courier New"/>
      <w:color w:val="auto"/>
      <w:kern w:val="0"/>
      <w:sz w:val="20"/>
      <w:szCs w:val="20"/>
      <w:lang w:val="ru-RU" w:eastAsia="zh-CN" w:bidi="ar-SA"/>
    </w:rPr>
  </w:style>
  <w:style w:type="paragraph" w:styleId="32">
    <w:name w:val="Основной текст 3"/>
    <w:basedOn w:val="Normal"/>
    <w:qFormat/>
    <w:pPr>
      <w:jc w:val="both"/>
    </w:pPr>
    <w:rPr>
      <w:color w:val="0000FF"/>
      <w:lang w:val="ru-RU"/>
    </w:rPr>
  </w:style>
  <w:style w:type="paragraph" w:styleId="Style34">
    <w:name w:val="Абзац списка"/>
    <w:basedOn w:val="Normal"/>
    <w:qFormat/>
    <w:pPr>
      <w:ind w:hanging="0" w:left="708" w:right="0"/>
    </w:pPr>
    <w:rPr/>
  </w:style>
  <w:style w:type="paragraph" w:styleId="U">
    <w:name w:val="u"/>
    <w:basedOn w:val="Normal"/>
    <w:qFormat/>
    <w:pPr>
      <w:ind w:firstLine="390" w:left="0" w:right="0"/>
      <w:jc w:val="both"/>
    </w:pPr>
    <w:rPr/>
  </w:style>
  <w:style w:type="paragraph" w:styleId="Style35">
    <w:name w:val="Текст выноски"/>
    <w:basedOn w:val="Normal"/>
    <w:qFormat/>
    <w:pPr/>
    <w:rPr>
      <w:rFonts w:ascii="Tahoma" w:hAnsi="Tahoma" w:cs="Tahoma"/>
      <w:sz w:val="16"/>
      <w:szCs w:val="16"/>
    </w:rPr>
  </w:style>
  <w:style w:type="paragraph" w:styleId="Style36">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Style37">
    <w:name w:val="Тема примечания"/>
    <w:basedOn w:val="Style38"/>
    <w:next w:val="Style38"/>
    <w:qFormat/>
    <w:pPr/>
    <w:rPr>
      <w:b/>
      <w:bCs/>
    </w:rPr>
  </w:style>
  <w:style w:type="paragraph" w:styleId="Style38">
    <w:name w:val="Текст примечания"/>
    <w:basedOn w:val="Normal"/>
    <w:qFormat/>
    <w:pPr/>
    <w:rPr>
      <w:sz w:val="20"/>
      <w:szCs w:val="20"/>
    </w:rPr>
  </w:style>
  <w:style w:type="paragraph" w:styleId="Preformat">
    <w:name w:val="Pre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
    <w:name w:val="Caption1"/>
    <w:basedOn w:val="Normal"/>
    <w:qFormat/>
    <w:pPr>
      <w:suppressLineNumbers/>
      <w:spacing w:before="120" w:after="120"/>
    </w:pPr>
    <w:rPr>
      <w:rFonts w:cs="Lohit Devanagari"/>
      <w:i/>
      <w:iCs/>
      <w:sz w:val="24"/>
      <w:szCs w:val="24"/>
    </w:rPr>
  </w:style>
  <w:style w:type="paragraph" w:styleId="Caption2">
    <w:name w:val="Caption2"/>
    <w:basedOn w:val="Normal"/>
    <w:qFormat/>
    <w:pPr>
      <w:suppressLineNumbers/>
      <w:spacing w:before="120" w:after="120"/>
    </w:pPr>
    <w:rPr>
      <w:rFonts w:cs="Lohit Devanagari"/>
      <w:i/>
      <w:iCs/>
      <w:sz w:val="24"/>
      <w:szCs w:val="24"/>
    </w:rPr>
  </w:style>
  <w:style w:type="paragraph" w:styleId="Style39">
    <w:name w:val="Содержимое врезки"/>
    <w:basedOn w:val="Normal"/>
    <w:qFormat/>
    <w:pPr/>
    <w:rPr/>
  </w:style>
  <w:style w:type="paragraph" w:styleId="Style40">
    <w:name w:val="Текст в заданном формате"/>
    <w:basedOn w:val="Normal"/>
    <w:qFormat/>
    <w:pPr/>
    <w:rPr>
      <w:rFonts w:ascii="Liberation Mono" w:hAnsi="Liberation Mono" w:eastAsia="Liberation Mono" w:cs="Liberation Mono"/>
    </w:rPr>
  </w:style>
  <w:style w:type="paragraph" w:styleId="LO-Normal">
    <w:name w:val="LO-Norma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numbering" w:styleId="NoList" w:default="1">
    <w:name w:val="No List"/>
    <w:uiPriority w:val="99"/>
    <w:semiHidden/>
    <w:unhideWhenUsed/>
    <w:qFormat/>
  </w:style>
  <w:style w:type="numbering" w:styleId="WW8Num3">
    <w:name w:val="WW8Num3"/>
    <w:qFormat/>
  </w:style>
  <w:style w:type="numbering" w:styleId="WW8Num1">
    <w:name w:val="WW8Num1"/>
    <w:qFormat/>
  </w:style>
  <w:style w:type="numbering" w:styleId="WW8Num2">
    <w:name w:val="WW8Num2"/>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1.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282B0E-3FD4-4E35-93D6-7C943CD90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Application>AlterOffice/2026.2.0.0$Linux_X86_64 LibreOffice_project/bc4ef1adf80b36c7a6365f8ed6cbf29021361edd</Application>
  <AppVersion>15.0000</AppVersion>
  <Pages>21</Pages>
  <Words>7704</Words>
  <Characters>53855</Characters>
  <CharactersWithSpaces>61290</CharactersWithSpaces>
  <Paragraphs>437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2022-11-01T07:55:00Z</dcterms:created>
  <dc:creator>tsypilev_ag</dc:creator>
  <dc:description/>
  <dc:language>ru-RU</dc:language>
  <cp:lastModifiedBy>balabanova_eb</cp:lastModifiedBy>
  <cp:lastPrinted>2020-03-18T06:40:00Z</cp:lastPrinted>
  <dcterms:modified xsi:type="dcterms:W3CDTF">2026-09-08T11:43:21Z</dcterms:modified>
  <cp:revision>22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