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PlainText1"/>
        <w:numPr>
          <w:ilvl w:val="0"/>
          <w:numId w:val="0"/>
        </w:numPr>
        <w:ind w:left="0" w:hanging="0"/>
        <w:jc w:val="right"/>
        <w:outlineLvl w:val="1"/>
        <w:rPr>
          <w:rFonts w:ascii="Times New Roman" w:hAnsi="Times New Roman"/>
          <w:b/>
          <w:b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выполнение работ</w:t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>
        <w:rPr>
          <w:rFonts w:eastAsia="Calibri"/>
          <w:b/>
          <w:i/>
          <w:color w:val="000000"/>
          <w:sz w:val="26"/>
          <w:szCs w:val="26"/>
        </w:rPr>
        <w:t xml:space="preserve">ОКПД2 42.22.12.112  Выполнение работ по капитальному ремонту </w:t>
      </w:r>
      <w:r>
        <w:rPr>
          <w:rFonts w:eastAsia="Calibri"/>
          <w:b/>
          <w:bCs/>
          <w:i/>
          <w:iCs/>
          <w:color w:val="000000"/>
          <w:sz w:val="26"/>
          <w:szCs w:val="26"/>
          <w:u w:val="none"/>
        </w:rPr>
        <w:t>КЛ 10 кВ от ТП 91 до ТП 96 г.Циолковский  и  КЛ 10 кВ ТП № 284 г.Свободный структурного</w:t>
      </w:r>
      <w:r>
        <w:rPr>
          <w:rFonts w:eastAsia="Calibri"/>
          <w:b/>
          <w:i/>
          <w:color w:val="000000"/>
          <w:sz w:val="26"/>
          <w:szCs w:val="26"/>
        </w:rPr>
        <w:t xml:space="preserve"> подразделения "Западные электрические сети" в рамках выполнения годовой программы ремонтов 2026 года филиала "Амурские электрические сети"</w:t>
      </w:r>
      <w:r>
        <w:rPr>
          <w:rFonts w:eastAsia="Calibri"/>
          <w:b/>
          <w:i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 4142.1</w:t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7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vanish w:val="false"/>
            </w:rPr>
            <w:instrText> TOC \z \o "1-4" \u \h</w:instrText>
          </w:r>
          <w:r>
            <w:rPr>
              <w:webHidden/>
              <w:vanish w:val="false"/>
            </w:rPr>
            <w:fldChar w:fldCharType="separate"/>
          </w:r>
          <w:hyperlink w:anchor="__RefHeading___Toc7176_3053485740">
            <w:r>
              <w:rPr>
                <w:webHidden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42"/>
            <w:tabs>
              <w:tab w:val="clear" w:pos="708"/>
              <w:tab w:val="right" w:pos="9921" w:leader="dot"/>
            </w:tabs>
            <w:rPr/>
          </w:pPr>
          <w:hyperlink w:anchor="__RefHeading___Toc7178_3053485740">
            <w:r>
              <w:rPr>
                <w:webHidden/>
                <w:vanish w:val="false"/>
              </w:rPr>
              <w:t>1.1. Наименование закупаемых работ</w:t>
              <w:tab/>
              <w:t>3</w:t>
            </w:r>
          </w:hyperlink>
        </w:p>
        <w:p>
          <w:pPr>
            <w:pStyle w:val="17"/>
            <w:tabs>
              <w:tab w:val="clear" w:pos="708"/>
              <w:tab w:val="right" w:pos="9921" w:leader="dot"/>
            </w:tabs>
            <w:rPr/>
          </w:pPr>
          <w:hyperlink w:anchor="__RefHeading___Toc7180_3053485740">
            <w:r>
              <w:rPr>
                <w:webHidden/>
                <w:vanish w:val="false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17"/>
            <w:tabs>
              <w:tab w:val="clear" w:pos="708"/>
              <w:tab w:val="right" w:pos="9921" w:leader="dot"/>
            </w:tabs>
            <w:rPr/>
          </w:pPr>
          <w:hyperlink w:anchor="__RefHeading___Toc7182_3053485740">
            <w:r>
              <w:rPr>
                <w:webHidden/>
                <w:vanish w:val="false"/>
              </w:rPr>
              <w:t xml:space="preserve">2. </w:t>
            </w:r>
            <w:r>
              <w:rPr>
                <w:iCs/>
              </w:rPr>
              <w:t>Требования к продукции</w:t>
            </w:r>
            <w:r>
              <w:rPr/>
              <w:tab/>
              <w:t>4</w:t>
            </w:r>
          </w:hyperlink>
        </w:p>
        <w:p>
          <w:pPr>
            <w:pStyle w:val="42"/>
            <w:tabs>
              <w:tab w:val="clear" w:pos="708"/>
              <w:tab w:val="right" w:pos="9921" w:leader="dot"/>
            </w:tabs>
            <w:rPr/>
          </w:pPr>
          <w:hyperlink w:anchor="__RefHeading___Toc7184_3053485740">
            <w:r>
              <w:rPr>
                <w:webHidden/>
                <w:vanish w:val="false"/>
              </w:rPr>
              <w:t>2.1. Требования к объемам и срокам выполнения работ</w:t>
              <w:tab/>
              <w:t>4</w:t>
            </w:r>
          </w:hyperlink>
        </w:p>
        <w:p>
          <w:pPr>
            <w:pStyle w:val="35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186_3053485740">
            <w:r>
              <w:rPr>
                <w:webHidden/>
                <w:vanish w:val="false"/>
              </w:rPr>
              <w:t>2.1.1. Требования к видам и объемам работ</w:t>
              <w:tab/>
              <w:t>4</w:t>
            </w:r>
          </w:hyperlink>
        </w:p>
        <w:p>
          <w:pPr>
            <w:pStyle w:val="17"/>
            <w:tabs>
              <w:tab w:val="clear" w:pos="708"/>
              <w:tab w:val="right" w:pos="9921" w:leader="dot"/>
            </w:tabs>
            <w:rPr/>
          </w:pPr>
          <w:hyperlink w:anchor="__RefHeading___Toc7188_3053485740">
            <w:r>
              <w:rPr>
                <w:webHidden/>
                <w:vanish w:val="false"/>
              </w:rPr>
              <w:t>Таблица 2. Перечень и объем выполняемых работ</w:t>
              <w:tab/>
              <w:t>4</w:t>
            </w:r>
          </w:hyperlink>
        </w:p>
        <w:p>
          <w:pPr>
            <w:pStyle w:val="35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190_3053485740">
            <w:r>
              <w:rPr>
                <w:webHidden/>
                <w:vanish w:val="false"/>
              </w:rPr>
              <w:t>2.1.2. Требования к срокам выполнения работ</w:t>
              <w:tab/>
              <w:t>4</w:t>
            </w:r>
          </w:hyperlink>
        </w:p>
        <w:p>
          <w:pPr>
            <w:pStyle w:val="17"/>
            <w:tabs>
              <w:tab w:val="clear" w:pos="708"/>
              <w:tab w:val="right" w:pos="9921" w:leader="dot"/>
            </w:tabs>
            <w:rPr/>
          </w:pPr>
          <w:hyperlink w:anchor="__RefHeading___Toc7192_3053485740">
            <w:r>
              <w:rPr>
                <w:webHidden/>
                <w:vanish w:val="false"/>
              </w:rPr>
              <w:t>Таблица 3. Требования по срокам выполнения работ</w:t>
              <w:tab/>
              <w:t>4</w:t>
            </w:r>
          </w:hyperlink>
        </w:p>
        <w:p>
          <w:pPr>
            <w:pStyle w:val="42"/>
            <w:tabs>
              <w:tab w:val="clear" w:pos="708"/>
              <w:tab w:val="right" w:pos="9921" w:leader="dot"/>
            </w:tabs>
            <w:rPr/>
          </w:pPr>
          <w:hyperlink w:anchor="__RefHeading___Toc7196_3053485740">
            <w:r>
              <w:rPr>
                <w:webHidden/>
                <w:vanish w:val="false"/>
              </w:rPr>
              <w:t>2.2. Требования к качеству работ</w:t>
              <w:tab/>
              <w:t>5</w:t>
            </w:r>
          </w:hyperlink>
        </w:p>
        <w:p>
          <w:pPr>
            <w:pStyle w:val="17"/>
            <w:tabs>
              <w:tab w:val="clear" w:pos="708"/>
              <w:tab w:val="right" w:pos="9921" w:leader="dot"/>
            </w:tabs>
            <w:rPr/>
          </w:pPr>
          <w:r>
            <w:rPr/>
          </w:r>
        </w:p>
        <w:p>
          <w:pPr>
            <w:pStyle w:val="17"/>
            <w:tabs>
              <w:tab w:val="clear" w:pos="708"/>
              <w:tab w:val="right" w:pos="9921" w:leader="dot"/>
            </w:tabs>
            <w:rPr/>
          </w:pPr>
          <w:hyperlink w:anchor="__RefHeading___Toc7208_3053485740">
            <w:r>
              <w:rPr>
                <w:webHidden/>
                <w:vanish w:val="false"/>
              </w:rPr>
              <w:t>3. Требования к документации по ценообразованию на этапе закупки</w:t>
              <w:tab/>
              <w:t>9</w:t>
            </w:r>
          </w:hyperlink>
        </w:p>
        <w:p>
          <w:pPr>
            <w:pStyle w:val="17"/>
            <w:tabs>
              <w:tab w:val="clear" w:pos="708"/>
              <w:tab w:val="right" w:pos="9921" w:leader="dot"/>
            </w:tabs>
            <w:rPr/>
          </w:pPr>
          <w:hyperlink w:anchor="__RefHeading___Toc7198_3053485740">
            <w:r>
              <w:rPr>
                <w:webHidden/>
                <w:vanish w:val="false"/>
              </w:rPr>
              <w:t>Таблица 4. Требования к качеству работ</w:t>
              <w:tab/>
              <w:t>5</w:t>
            </w:r>
          </w:hyperlink>
        </w:p>
        <w:p>
          <w:pPr>
            <w:pStyle w:val="17"/>
            <w:tabs>
              <w:tab w:val="clear" w:pos="708"/>
              <w:tab w:val="right" w:pos="9921" w:leader="dot"/>
            </w:tabs>
            <w:rPr/>
          </w:pPr>
          <w:hyperlink w:anchor="__RefHeading___Toc7212_3053485740">
            <w:r>
              <w:rPr>
                <w:webHidden/>
                <w:vanish w:val="false"/>
              </w:rPr>
              <w:t xml:space="preserve">5. </w:t>
            </w:r>
            <w:r>
              <w:rPr>
                <w:iCs/>
              </w:rPr>
              <w:t>Приложения</w:t>
            </w:r>
            <w:r>
              <w:rPr/>
              <w:tab/>
              <w:t>9</w:t>
            </w:r>
          </w:hyperlink>
          <w:r>
            <w:rPr/>
            <w:fldChar w:fldCharType="end"/>
          </w:r>
        </w:p>
      </w:sdtContent>
    </w:sdt>
    <w:p>
      <w:pPr>
        <w:pStyle w:val="2"/>
        <w:numPr>
          <w:ilvl w:val="0"/>
          <w:numId w:val="0"/>
        </w:numPr>
        <w:ind w:left="0" w:hanging="0"/>
        <w:rPr>
          <w:b w:val="false"/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_RefHeading___Toc7176_3053485740"/>
      <w:bookmarkStart w:id="1" w:name="_Toc46743506"/>
      <w:bookmarkStart w:id="2" w:name="_Toc125567276"/>
      <w:bookmarkStart w:id="3" w:name="_Toc51339692"/>
      <w:bookmarkStart w:id="4" w:name="_Toc143524799"/>
      <w:bookmarkEnd w:id="0"/>
      <w:r>
        <w:rPr>
          <w:lang w:val="ru-RU"/>
        </w:rPr>
        <w:t>Общие сведения</w:t>
      </w:r>
      <w:bookmarkEnd w:id="2"/>
      <w:bookmarkEnd w:id="3"/>
      <w:bookmarkEnd w:id="4"/>
    </w:p>
    <w:p>
      <w:pPr>
        <w:pStyle w:val="4"/>
        <w:numPr>
          <w:ilvl w:val="1"/>
          <w:numId w:val="3"/>
        </w:numPr>
        <w:rPr/>
      </w:pPr>
      <w:bookmarkStart w:id="5" w:name="__RefHeading___Toc7178_3053485740"/>
      <w:bookmarkStart w:id="6" w:name="_Toc143524800"/>
      <w:bookmarkEnd w:id="5"/>
      <w:r>
        <w:rPr/>
        <w:t>Наименование закупаем</w:t>
      </w:r>
      <w:r>
        <w:rPr>
          <w:lang w:val="ru-RU"/>
        </w:rPr>
        <w:t>ых</w:t>
      </w:r>
      <w:r>
        <w:rPr/>
        <w:t xml:space="preserve"> </w:t>
      </w:r>
      <w:bookmarkEnd w:id="1"/>
      <w:r>
        <w:rPr>
          <w:lang w:val="ru-RU"/>
        </w:rPr>
        <w:t>работ</w:t>
      </w:r>
      <w:bookmarkEnd w:id="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rPr>
          <w:rStyle w:val="Style16"/>
          <w:b w:val="false"/>
          <w:b w:val="false"/>
          <w:bCs/>
          <w:sz w:val="24"/>
          <w:szCs w:val="24"/>
        </w:rPr>
      </w:pPr>
      <w:r>
        <w:rPr>
          <w:rFonts w:eastAsia="Calibri"/>
          <w:b w:val="false"/>
          <w:bCs w:val="false"/>
          <w:i/>
          <w:sz w:val="26"/>
          <w:szCs w:val="26"/>
          <w:lang w:eastAsia="x-none"/>
        </w:rPr>
        <w:t>«</w:t>
      </w:r>
      <w:r>
        <w:rPr>
          <w:rFonts w:eastAsia="Calibri"/>
          <w:b w:val="false"/>
          <w:bCs w:val="false"/>
          <w:i/>
          <w:color w:val="000000"/>
          <w:sz w:val="26"/>
          <w:szCs w:val="26"/>
          <w:lang w:eastAsia="x-none"/>
        </w:rPr>
        <w:t xml:space="preserve">ОКПД2 42.22.12.112  Выполнение работ по капитальному ремонту </w:t>
      </w:r>
      <w:r>
        <w:rPr>
          <w:rFonts w:eastAsia="Calibri"/>
          <w:b w:val="false"/>
          <w:bCs w:val="false"/>
          <w:i/>
          <w:iCs/>
          <w:color w:val="000000"/>
          <w:sz w:val="26"/>
          <w:szCs w:val="26"/>
          <w:u w:val="none"/>
          <w:lang w:eastAsia="x-none"/>
        </w:rPr>
        <w:t>КЛ 10 кВ от ТП 91 до ТП 96 г.Циолковский  и  КЛ 10 кВ ТП № 284 г.Свободный структурного</w:t>
      </w:r>
      <w:r>
        <w:rPr>
          <w:rFonts w:eastAsia="Calibri"/>
          <w:b w:val="false"/>
          <w:bCs w:val="false"/>
          <w:i/>
          <w:color w:val="000000"/>
          <w:sz w:val="26"/>
          <w:szCs w:val="26"/>
          <w:lang w:eastAsia="x-none"/>
        </w:rPr>
        <w:t xml:space="preserve"> подразделения "Западные электрические сети" в рамках выполнения годовой программы ремонтов 2026 года филиала "Амурские электрические сети"</w:t>
      </w:r>
      <w:r>
        <w:rPr>
          <w:rFonts w:eastAsia="Calibri"/>
          <w:b w:val="false"/>
          <w:bCs w:val="false"/>
          <w:i/>
          <w:sz w:val="26"/>
          <w:szCs w:val="26"/>
          <w:lang w:eastAsia="x-none"/>
        </w:rPr>
        <w:t>»</w:t>
      </w:r>
      <w:r>
        <w:rPr>
          <w:rFonts w:eastAsia="Calibri"/>
          <w:i/>
          <w:lang w:eastAsia="x-none"/>
        </w:rPr>
        <w:br/>
      </w:r>
    </w:p>
    <w:p>
      <w:pPr>
        <w:pStyle w:val="1"/>
        <w:keepLines/>
        <w:numPr>
          <w:ilvl w:val="0"/>
          <w:numId w:val="0"/>
        </w:numPr>
        <w:spacing w:before="0" w:after="240"/>
        <w:ind w:left="0" w:hanging="0"/>
        <w:rPr>
          <w:sz w:val="24"/>
          <w:szCs w:val="24"/>
          <w:lang w:val="ru-RU"/>
        </w:rPr>
      </w:pPr>
      <w:bookmarkStart w:id="7" w:name="__RefHeading___Toc7180_3053485740"/>
      <w:bookmarkStart w:id="8" w:name="_Toc143524801"/>
      <w:bookmarkEnd w:id="7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8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569"/>
        <w:gridCol w:w="2138"/>
        <w:gridCol w:w="1974"/>
        <w:gridCol w:w="2420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выполняются работы)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/>
            </w:pPr>
            <w:r>
              <w:rPr/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lang w:eastAsia="x-none"/>
              </w:rPr>
              <w:t>КЛ 10 кВ от ТП 91 до ТП 96 г.Циолковский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Амурская область,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г. Циолковский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  <w:tab w:val="left" w:pos="-225" w:leader="none"/>
              </w:tabs>
              <w:suppressAutoHyphens w:val="true"/>
              <w:bidi w:val="0"/>
              <w:spacing w:before="0" w:after="0"/>
              <w:ind w:left="-170" w:right="0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КЛ 10 кВ от ТП91 до ТП 96 г.Циолковский  договор безвозмездного пользования №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u w:val="single"/>
              </w:rPr>
              <w:t>08/24-353 от 28.03.2025 г.</w:t>
            </w:r>
          </w:p>
        </w:tc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Эксплуатирующая организация: СП «Западные электрические сети» филиала АО «ДРСК» «Амурские ЭС»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/>
            </w:pPr>
            <w:r>
              <w:rPr/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57"/>
              <w:jc w:val="both"/>
              <w:rPr/>
            </w:pPr>
            <w:r>
              <w:rPr>
                <w:sz w:val="24"/>
                <w:szCs w:val="24"/>
                <w:lang w:val="en-US"/>
              </w:rPr>
              <w:t>КЛ 10 кВ ТП № 284 г.Свободный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Амурская область,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г. Свободный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before="0" w:after="0"/>
              <w:ind w:left="57" w:right="0" w:firstLine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КЛ 10 кВ от РУ 10 кВ РП 10 кВ Северный — 0,036 км., г. Свободный   AS0036718</w:t>
            </w:r>
          </w:p>
        </w:tc>
        <w:tc>
          <w:tcPr>
            <w:tcW w:w="2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</w:tbl>
    <w:p>
      <w:pPr>
        <w:pStyle w:val="Normal"/>
        <w:shd w:val="clear" w:fill="FFFFFF"/>
        <w:spacing w:before="120" w:after="0"/>
        <w:ind w:left="0" w:right="0" w:firstLine="709"/>
        <w:jc w:val="both"/>
        <w:rPr>
          <w:shd w:fill="FFFFFF" w:val="clear"/>
        </w:rPr>
      </w:pPr>
      <w:r>
        <w:rPr>
          <w:sz w:val="26"/>
          <w:szCs w:val="26"/>
          <w:shd w:fill="FFFFFF" w:val="clear"/>
        </w:rPr>
        <w:t xml:space="preserve">Работы производятся на линии электропередачи в </w:t>
      </w:r>
      <w:r>
        <w:rPr>
          <w:bCs/>
          <w:iCs/>
          <w:sz w:val="26"/>
          <w:szCs w:val="26"/>
          <w:shd w:fill="FFFFFF" w:val="clear"/>
        </w:rPr>
        <w:t>населенной местности,</w:t>
      </w:r>
      <w:r>
        <w:rPr>
          <w:rFonts w:eastAsia="Times New Roman" w:cs="Times New Roman"/>
          <w:bCs/>
          <w:iCs/>
          <w:kern w:val="0"/>
          <w:sz w:val="26"/>
          <w:szCs w:val="26"/>
          <w:shd w:fill="FFFFFF" w:val="clear"/>
          <w:lang w:val="ru-RU" w:eastAsia="ru-RU" w:bidi="ar-SA"/>
        </w:rPr>
        <w:t xml:space="preserve"> </w:t>
      </w:r>
      <w:r>
        <w:rPr>
          <w:sz w:val="26"/>
          <w:szCs w:val="26"/>
          <w:shd w:fill="FFFFFF" w:val="clear"/>
        </w:rPr>
        <w:t>вследствие чего Подрядчику необходимо проводить согласованные действия и мероприятия по охране труда согласно требованиям правил по охране труда при эксплуатации электроустановок, утвержденных приказом Минтруда и социальной защиты РФ от 15.12.2020 г. № 903н.</w:t>
      </w:r>
    </w:p>
    <w:p>
      <w:pPr>
        <w:pStyle w:val="Normal"/>
        <w:widowControl/>
        <w:numPr>
          <w:ilvl w:val="0"/>
          <w:numId w:val="0"/>
        </w:numPr>
        <w:shd w:val="clear" w:fill="FFFFFF"/>
        <w:suppressAutoHyphens w:val="true"/>
        <w:bidi w:val="0"/>
        <w:spacing w:before="0" w:after="0"/>
        <w:ind w:left="0" w:right="0" w:hanging="0"/>
        <w:jc w:val="left"/>
        <w:rPr>
          <w:b/>
          <w:b/>
          <w:bCs/>
          <w:sz w:val="24"/>
          <w:szCs w:val="24"/>
          <w:shd w:fill="FFFFFF" w:val="clear"/>
        </w:rPr>
      </w:pPr>
      <w:r>
        <w:rPr>
          <w:b/>
          <w:bCs/>
          <w:sz w:val="24"/>
          <w:szCs w:val="24"/>
          <w:shd w:fill="FFFFFF" w:val="clear"/>
        </w:rPr>
      </w:r>
    </w:p>
    <w:p>
      <w:pPr>
        <w:pStyle w:val="4"/>
        <w:numPr>
          <w:ilvl w:val="0"/>
          <w:numId w:val="0"/>
        </w:numPr>
        <w:spacing w:before="240" w:after="6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bookmarkStart w:id="9" w:name="_Hlk48209761"/>
      <w:bookmarkStart w:id="10" w:name="_Hlk48209761"/>
      <w:bookmarkEnd w:id="10"/>
    </w:p>
    <w:p>
      <w:pPr>
        <w:pStyle w:val="Normal"/>
        <w:rPr>
          <w:rStyle w:val="Strong"/>
          <w:b w:val="false"/>
          <w:b w:val="false"/>
        </w:rPr>
      </w:pPr>
      <w:r>
        <w:rPr>
          <w:b w:val="false"/>
        </w:rPr>
      </w:r>
      <w:r>
        <w:br w:type="page"/>
      </w:r>
    </w:p>
    <w:p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1" w:name="__RefHeading___Toc7182_3053485740"/>
      <w:bookmarkStart w:id="12" w:name="_Toc51339693"/>
      <w:bookmarkStart w:id="13" w:name="_Toc143524804"/>
      <w:bookmarkStart w:id="14" w:name="_Hlk48209761_Копия_1"/>
      <w:bookmarkStart w:id="15" w:name="_Toc50125126"/>
      <w:bookmarkStart w:id="16" w:name="_Toc46743510"/>
      <w:bookmarkEnd w:id="11"/>
      <w:bookmarkEnd w:id="14"/>
      <w:bookmarkEnd w:id="15"/>
      <w:bookmarkEnd w:id="16"/>
      <w:r>
        <w:rPr>
          <w:iCs/>
        </w:rPr>
        <w:t>Требования к продукции</w:t>
      </w:r>
      <w:bookmarkEnd w:id="12"/>
      <w:bookmarkEnd w:id="13"/>
    </w:p>
    <w:p>
      <w:pPr>
        <w:pStyle w:val="4"/>
        <w:numPr>
          <w:ilvl w:val="1"/>
          <w:numId w:val="3"/>
        </w:numPr>
        <w:rPr/>
      </w:pPr>
      <w:bookmarkStart w:id="17" w:name="__RefHeading___Toc7184_3053485740"/>
      <w:bookmarkStart w:id="18" w:name="_Toc143524805"/>
      <w:bookmarkEnd w:id="17"/>
      <w:r>
        <w:rPr/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18"/>
    </w:p>
    <w:p>
      <w:pPr>
        <w:pStyle w:val="3"/>
        <w:numPr>
          <w:ilvl w:val="2"/>
          <w:numId w:val="3"/>
        </w:numPr>
        <w:rPr/>
      </w:pPr>
      <w:bookmarkStart w:id="19" w:name="__RefHeading___Toc7186_3053485740"/>
      <w:bookmarkStart w:id="20" w:name="_Toc143524806"/>
      <w:bookmarkEnd w:id="19"/>
      <w:r>
        <w:rPr>
          <w:lang w:val="ru-RU"/>
        </w:rPr>
        <w:t>Требования к видам и объемам работ</w:t>
      </w:r>
      <w:bookmarkEnd w:id="20"/>
    </w:p>
    <w:p>
      <w:pPr>
        <w:pStyle w:val="1"/>
        <w:keepLines/>
        <w:numPr>
          <w:ilvl w:val="0"/>
          <w:numId w:val="0"/>
        </w:numPr>
        <w:spacing w:before="240" w:after="240"/>
        <w:ind w:left="0" w:hanging="0"/>
        <w:rPr>
          <w:sz w:val="24"/>
          <w:szCs w:val="24"/>
          <w:lang w:val="ru-RU"/>
        </w:rPr>
      </w:pPr>
      <w:bookmarkStart w:id="21" w:name="__RefHeading___Toc7188_3053485740"/>
      <w:bookmarkStart w:id="22" w:name="_Toc143524807"/>
      <w:bookmarkStart w:id="23" w:name="_Toc51339695"/>
      <w:bookmarkEnd w:id="21"/>
      <w:r>
        <w:rPr>
          <w:sz w:val="24"/>
          <w:szCs w:val="24"/>
        </w:rPr>
        <w:t>Таблица 2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3"/>
      <w:r>
        <w:rPr>
          <w:sz w:val="24"/>
          <w:szCs w:val="24"/>
          <w:lang w:val="ru-RU"/>
        </w:rPr>
        <w:t>и объем выполняемых работ</w:t>
      </w:r>
      <w:bookmarkEnd w:id="22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5"/>
        <w:gridCol w:w="211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i/>
                <w:iCs/>
                <w:color w:val="000000"/>
                <w:sz w:val="24"/>
                <w:szCs w:val="24"/>
                <w:u w:val="none"/>
                <w:lang w:eastAsia="x-none"/>
              </w:rPr>
              <w:t>КЛ 10 кВ от ТП 91 до ТП 96 г.Циолковский</w:t>
            </w:r>
          </w:p>
          <w:p>
            <w:pPr>
              <w:pStyle w:val="Normal"/>
              <w:widowControl w:val="false"/>
              <w:jc w:val="left"/>
              <w:rPr>
                <w:i/>
                <w:i/>
                <w:iCs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</w:rPr>
              <w:t>- Замена кабеля.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 соответствии с ведомостью дефектов и объемов работ (Приложение № 1.1 к настоящим Техническим требованиям)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57"/>
              <w:jc w:val="both"/>
              <w:rPr/>
            </w:pPr>
            <w:r>
              <w:rPr>
                <w:i/>
                <w:iCs/>
                <w:sz w:val="24"/>
                <w:szCs w:val="24"/>
                <w:lang w:val="en-US"/>
              </w:rPr>
              <w:t>КЛ 10 кВ ТП № 284 г.Свободный</w:t>
            </w:r>
          </w:p>
          <w:p>
            <w:pPr>
              <w:pStyle w:val="Normal"/>
              <w:widowControl w:val="false"/>
              <w:jc w:val="left"/>
              <w:rPr>
                <w:i/>
                <w:i/>
                <w:iCs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  <w:lang w:val="en-US"/>
              </w:rPr>
              <w:t>- Замена кабеля.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 соответствии с ведомостью дефектов и объемов работ (Приложение № 1.2 к настоящим Техническим требованиям)</w:t>
            </w:r>
          </w:p>
        </w:tc>
      </w:tr>
    </w:tbl>
    <w:p>
      <w:pPr>
        <w:pStyle w:val="3"/>
        <w:numPr>
          <w:ilvl w:val="2"/>
          <w:numId w:val="3"/>
        </w:numPr>
        <w:rPr>
          <w:lang w:val="ru-RU"/>
        </w:rPr>
      </w:pPr>
      <w:bookmarkStart w:id="24" w:name="__RefHeading___Toc7190_3053485740"/>
      <w:bookmarkStart w:id="25" w:name="_Toc143524808"/>
      <w:bookmarkStart w:id="26" w:name="_Toc51339696"/>
      <w:bookmarkEnd w:id="24"/>
      <w:r>
        <w:rPr>
          <w:lang w:val="ru-RU"/>
        </w:rPr>
        <w:t xml:space="preserve">Требования </w:t>
      </w:r>
      <w:bookmarkEnd w:id="26"/>
      <w:r>
        <w:rPr>
          <w:lang w:val="ru-RU"/>
        </w:rPr>
        <w:t>к срокам выполнения работ</w:t>
      </w:r>
      <w:bookmarkEnd w:id="25"/>
    </w:p>
    <w:p>
      <w:pPr>
        <w:pStyle w:val="1"/>
        <w:keepLines/>
        <w:numPr>
          <w:ilvl w:val="0"/>
          <w:numId w:val="0"/>
        </w:numPr>
        <w:spacing w:before="240" w:after="240"/>
        <w:ind w:left="0" w:hanging="0"/>
        <w:rPr>
          <w:sz w:val="24"/>
          <w:szCs w:val="24"/>
          <w:lang w:val="ru-RU"/>
        </w:rPr>
      </w:pPr>
      <w:bookmarkStart w:id="27" w:name="__RefHeading___Toc7192_3053485740"/>
      <w:bookmarkStart w:id="28" w:name="_Toc143524809"/>
      <w:bookmarkStart w:id="29" w:name="_Toc50125127"/>
      <w:bookmarkStart w:id="30" w:name="_Toc51339697"/>
      <w:bookmarkStart w:id="31" w:name="_Toc50125126_Копия_1"/>
      <w:bookmarkEnd w:id="27"/>
      <w:bookmarkEnd w:id="3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2" w:name="_Hlk50465284"/>
      <w:r>
        <w:rPr>
          <w:sz w:val="24"/>
          <w:szCs w:val="24"/>
        </w:rPr>
        <w:t xml:space="preserve">Требования по срокам </w:t>
      </w:r>
      <w:bookmarkEnd w:id="29"/>
      <w:bookmarkEnd w:id="30"/>
      <w:bookmarkEnd w:id="32"/>
      <w:r>
        <w:rPr>
          <w:sz w:val="24"/>
          <w:szCs w:val="24"/>
          <w:lang w:val="ru-RU"/>
        </w:rPr>
        <w:t>выполнения работ</w:t>
      </w:r>
      <w:bookmarkEnd w:id="28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4536"/>
        <w:gridCol w:w="1983"/>
        <w:gridCol w:w="212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lang w:eastAsia="x-none"/>
              </w:rPr>
              <w:t>КЛ 10 кВ от ТП 91 до ТП 96 г.Циолковский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  <w:t xml:space="preserve">в течение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  <w:t>5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  <w:t xml:space="preserve"> (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  <w:t>пяти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  <w:t xml:space="preserve">)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  <w:t>дней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  <w:t xml:space="preserve"> с даты начала выполнения работ по Договору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0" w:hanging="57"/>
              <w:jc w:val="both"/>
              <w:rPr/>
            </w:pPr>
            <w:r>
              <w:rPr>
                <w:sz w:val="24"/>
                <w:szCs w:val="24"/>
                <w:lang w:val="en-US"/>
              </w:rPr>
              <w:t>КЛ 10 кВ ТП № 284 г.Свободный</w:t>
            </w:r>
          </w:p>
        </w:tc>
        <w:tc>
          <w:tcPr>
            <w:tcW w:w="19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  <w:t xml:space="preserve">в течение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  <w:t xml:space="preserve">10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  <w:t>(д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  <w:t>есяти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  <w:t xml:space="preserve">)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  <w:t>дней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</w:rPr>
              <w:t xml:space="preserve"> с даты начала выполнения работ по Договору</w:t>
            </w:r>
          </w:p>
        </w:tc>
      </w:tr>
    </w:tbl>
    <w:p>
      <w:pPr>
        <w:pStyle w:val="Normal"/>
        <w:rPr>
          <w:rFonts w:eastAsia="Calibri"/>
          <w:b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  <w:bookmarkStart w:id="33" w:name="__RefHeading___Toc7194_3053485740"/>
      <w:bookmarkStart w:id="34" w:name="__RefHeading___Toc7194_3053485740"/>
      <w:bookmarkEnd w:id="34"/>
    </w:p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header="680" w:top="1134" w:footer="0" w:bottom="992" w:gutter="0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rPr>
          <w:rFonts w:eastAsia="Calibri"/>
          <w:b/>
          <w:b/>
          <w:sz w:val="24"/>
          <w:szCs w:val="24"/>
          <w:lang w:eastAsia="x-none"/>
        </w:rPr>
      </w:pPr>
      <w:r>
        <w:rPr>
          <w:sz w:val="24"/>
          <w:szCs w:val="24"/>
        </w:rPr>
        <w:t xml:space="preserve">Этапы выполнения работ указаны в </w:t>
      </w:r>
      <w:r>
        <w:rPr>
          <w:i/>
          <w:sz w:val="24"/>
          <w:szCs w:val="24"/>
        </w:rPr>
        <w:t>Календарном графике выполнения работ</w:t>
      </w:r>
      <w:r>
        <w:rPr>
          <w:sz w:val="24"/>
          <w:szCs w:val="24"/>
        </w:rPr>
        <w:t>, являющегося приложением к п</w:t>
      </w:r>
      <w:bookmarkStart w:id="35" w:name="_Toc143524810"/>
      <w:bookmarkEnd w:id="35"/>
      <w:r>
        <w:rPr>
          <w:sz w:val="24"/>
          <w:szCs w:val="24"/>
        </w:rPr>
        <w:t>роекту договора подряда.</w:t>
      </w:r>
    </w:p>
    <w:p>
      <w:pPr>
        <w:pStyle w:val="4"/>
        <w:numPr>
          <w:ilvl w:val="1"/>
          <w:numId w:val="3"/>
        </w:numPr>
        <w:rPr/>
      </w:pPr>
      <w:bookmarkStart w:id="36" w:name="__RefHeading___Toc7196_3053485740"/>
      <w:bookmarkStart w:id="37" w:name="_Toc51339698"/>
      <w:bookmarkStart w:id="38" w:name="_Toc143524811"/>
      <w:bookmarkEnd w:id="36"/>
      <w:r>
        <w:rPr/>
        <w:t xml:space="preserve">Требования к </w:t>
      </w:r>
      <w:r>
        <w:rPr>
          <w:lang w:val="ru-RU"/>
        </w:rPr>
        <w:t>качеству работ</w:t>
      </w:r>
      <w:bookmarkEnd w:id="38"/>
    </w:p>
    <w:p>
      <w:pPr>
        <w:pStyle w:val="1"/>
        <w:keepLines/>
        <w:numPr>
          <w:ilvl w:val="0"/>
          <w:numId w:val="0"/>
        </w:numPr>
        <w:spacing w:before="240" w:after="240"/>
        <w:ind w:left="0" w:hanging="0"/>
        <w:rPr>
          <w:sz w:val="24"/>
          <w:szCs w:val="24"/>
        </w:rPr>
      </w:pPr>
      <w:bookmarkStart w:id="39" w:name="__RefHeading___Toc7198_3053485740"/>
      <w:bookmarkStart w:id="40" w:name="_Toc143524812"/>
      <w:bookmarkEnd w:id="3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7"/>
      <w:r>
        <w:rPr>
          <w:sz w:val="24"/>
          <w:szCs w:val="24"/>
          <w:lang w:val="ru-RU"/>
        </w:rPr>
        <w:t>качеству работ</w:t>
      </w:r>
      <w:bookmarkEnd w:id="40"/>
      <w:r>
        <w:rPr>
          <w:sz w:val="24"/>
          <w:szCs w:val="24"/>
        </w:rPr>
        <w:t xml:space="preserve"> </w:t>
      </w:r>
    </w:p>
    <w:p>
      <w:pPr>
        <w:pStyle w:val="Normal"/>
        <w:rPr/>
      </w:pPr>
      <w:r>
        <w:rPr/>
      </w:r>
    </w:p>
    <w:tbl>
      <w:tblPr>
        <w:tblStyle w:val="af"/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60"/>
        <w:gridCol w:w="1857"/>
        <w:gridCol w:w="2809"/>
        <w:gridCol w:w="4257"/>
      </w:tblGrid>
      <w:tr>
        <w:trPr/>
        <w:tc>
          <w:tcPr>
            <w:tcW w:w="86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5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8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2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6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5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0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2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</w:tr>
      <w:tr>
        <w:trPr>
          <w:trHeight w:val="344" w:hRule="atLeast"/>
        </w:trPr>
        <w:tc>
          <w:tcPr>
            <w:tcW w:w="8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8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2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выполнению работ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Подрядчик создает условия для проживания своего персонала на объекте.</w:t>
            </w:r>
          </w:p>
        </w:tc>
        <w:tc>
          <w:tcPr>
            <w:tcW w:w="4257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left"/>
              <w:rPr>
                <w:i/>
                <w:i/>
                <w:iCs/>
                <w:sz w:val="24"/>
                <w:szCs w:val="24"/>
              </w:rPr>
            </w:pPr>
            <w:bookmarkStart w:id="41" w:name="__RefHeading___Toc25754_1685387326"/>
            <w:bookmarkStart w:id="42" w:name="_Toc143524813"/>
            <w:bookmarkEnd w:id="41"/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  <w:bookmarkEnd w:id="42"/>
          </w:p>
        </w:tc>
      </w:tr>
      <w:tr>
        <w:trPr/>
        <w:tc>
          <w:tcPr>
            <w:tcW w:w="86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После выполнения полного объема работ Подрядчик: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производит уборку рабочего места от посторонних предметов, механизмов, приспособлений, отходов;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подписывает акт о приеме-сдаче отремонтированных, реконструированных, модернизированных объектов основных средств (форма № ОС-3)</w:t>
            </w:r>
          </w:p>
        </w:tc>
        <w:tc>
          <w:tcPr>
            <w:tcW w:w="425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Материалы и оборудование, высвобождаемые после демонтажа, передаются Заказчику с оформлением акта передачи. Демонтированные материалы вывозятся самостоятельно Подрядчиком на базу Заказчика</w:t>
            </w:r>
          </w:p>
        </w:tc>
        <w:tc>
          <w:tcPr>
            <w:tcW w:w="4257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Работы выполняются по проекту производства работ (ППР), разработанному Подрядчиком и согласованному с Заказчиком. ППР предоставляется Подрядчиком заблаговременно до начала производства работ</w:t>
            </w:r>
          </w:p>
        </w:tc>
        <w:tc>
          <w:tcPr>
            <w:tcW w:w="425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jc w:val="left"/>
              <w:rPr>
                <w:b w:val="false"/>
                <w:b w:val="false"/>
                <w:bCs w:val="false"/>
              </w:rPr>
            </w:pPr>
            <w:bookmarkStart w:id="43" w:name="__RefHeading___Toc25756_1685387326"/>
            <w:bookmarkStart w:id="44" w:name="_Toc143524814"/>
            <w:bookmarkEnd w:id="43"/>
            <w:r>
              <w:rPr>
                <w:rFonts w:eastAsia="Times New Roman" w:cs="Times New Roman"/>
                <w:b w:val="false"/>
                <w:bCs w:val="false"/>
                <w:i/>
                <w:iCs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  <w:bookmarkEnd w:id="44"/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Заявка на вывод оборудования в ремонт подается Подрядчиком не позднее 5 рабочих дней до начала производства работ</w:t>
            </w:r>
          </w:p>
        </w:tc>
        <w:tc>
          <w:tcPr>
            <w:tcW w:w="425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Ордер на право проведения земляных работ получает подрядчик самостоятельно в администрации города</w:t>
            </w:r>
          </w:p>
        </w:tc>
        <w:tc>
          <w:tcPr>
            <w:tcW w:w="425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Материалы, предоставляемые Подрядчиком, должны соответствовать государственным стандартам, техническим условиям и иметь соответствующие сертификаты, технические паспорта или другие документы, удостоверяющие их качество. Подготовка и хранение материалов производится вне рабочей зоны. Оборудование и материалы доставляются к месту производства работ Подрядчиком самостоятельно готовыми к применению</w:t>
            </w:r>
          </w:p>
        </w:tc>
        <w:tc>
          <w:tcPr>
            <w:tcW w:w="4257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>
        <w:trPr/>
        <w:tc>
          <w:tcPr>
            <w:tcW w:w="86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Поставка техники необходимой для выполнения работ – 100% Подрядчика</w:t>
            </w:r>
          </w:p>
        </w:tc>
        <w:tc>
          <w:tcPr>
            <w:tcW w:w="4257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работ и материалов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Обеспечение Подрядчиком внутреннего строительного контроля в соответствие с требованиями Постановления Правительства РФ от 21.06.2010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jc w:val="left"/>
              <w:rPr>
                <w:i/>
                <w:i/>
                <w:iCs/>
                <w:sz w:val="24"/>
                <w:szCs w:val="24"/>
              </w:rPr>
            </w:pPr>
            <w:bookmarkStart w:id="45" w:name="__RefHeading___Toc25758_1685387326"/>
            <w:bookmarkStart w:id="46" w:name="_Toc143524815"/>
            <w:bookmarkEnd w:id="45"/>
            <w:r>
              <w:rPr>
                <w:i/>
                <w:iCs/>
                <w:sz w:val="24"/>
                <w:szCs w:val="24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  <w:bookmarkEnd w:id="46"/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подрядчика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Наличие достаточного для выполнения работ количества персонала, имеющего допуск к самостоятельным работам в электроустановках с присвоением групп по электробезопасности на правах командированного персонала (включая право выдачи нарядов)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работ и охране труда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Работы необходимо выполнять в соответствии с действующими государственными нормами, правилами, техническими регламентами: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Правила технической эксплуатации электрических станций и сетей РФ;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СП 48.13330.2019 "СНиП 12-01-2004 «Организация строительства"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ГОСТ Р 59053-2020 «Охрана окружающей среды. Охрана и рациональное использование вод. Термины и определения»;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ГОСТ Р 59061-2020 «Охрана окружающей среды. Загрязнение атмосферного воздуха. Термины и определения»;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 Правила безопасности опасных производственных объектов, на которых используются подъемные сооружения» (приказ Ростехнадзора от 26.11.2020 № 461)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18" w:leader="none"/>
              </w:tabs>
              <w:suppressAutoHyphens w:val="true"/>
              <w:spacing w:before="0" w:after="0"/>
              <w:jc w:val="left"/>
              <w:rPr>
                <w:i/>
                <w:i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Правила противопожарного режима в РФ, утвержденные Постановлением Правительства РФ от 16.09.2020 №1479 «О противопожарном режиме».</w:t>
            </w:r>
          </w:p>
        </w:tc>
        <w:tc>
          <w:tcPr>
            <w:tcW w:w="4257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Обеспечить выполнение требований Правил по охране труда при эксплуатации электроустановок (Приказ от 15 декабря 2020 г. № 903н)</w:t>
            </w:r>
          </w:p>
        </w:tc>
        <w:tc>
          <w:tcPr>
            <w:tcW w:w="4257" w:type="dxa"/>
            <w:vMerge w:val="continue"/>
            <w:tcBorders/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Выполнять следующие виды работ с использованием комплектов для защиты от термических рисков электрической дуги (далее СИЗ):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без снятия напряжения с электроустановки, выполняемых с прикосновением к токоведущим частям, находящимся под напряжением или на расстоянии от этих токоведущих частей, менее указанных в п.3.3 и п.47.15 ПОТ ЭЭУ;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испытаниях оборудования повышенным напряжением;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выполняемых со снятием рабочего напряжения с электроустановки или ее части с прикосновением к токоведущим частям, находящимся под наведенным напряжением более 25 В на рабочем месте или на расстоянии от этих токоведущих частей менее допустимого;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иных работ, разрешенных к выполнению под напряжением на токоведущих частях в электроустановках, в соответствии с утвержденным перечнем работ в филиале АО «ДРСК» с учетом требований ПОТ ЭЭУ</w:t>
            </w:r>
          </w:p>
        </w:tc>
        <w:tc>
          <w:tcPr>
            <w:tcW w:w="4257" w:type="dxa"/>
            <w:vMerge w:val="continue"/>
            <w:tcBorders/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Подрядчик: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обеспечивает участие своего персонала в получении вводного и первичного на рабочем месте инструктажей, проводимых персоналом Заказчика с применением видеофиксации;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обеспечивает участие своего персонала, допускаемого в электроустановки Заказчика в качестве командированного персонала или в качестве персонала строительно-монтажных (ремонтных, наладочных) организаций, в проводимой персоналом Заказчика видеофиксации допусков персонала Подрядчика к работе в электроустановках Заказчика;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обеспечивает участие своего персонала, выполняющего работы на объектах Общества в составе бригад, в проводимых персоналом Заказчика проверках данных бригад с применением видеофиксации;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- совместно с уведомлением о допуске (сопроводительным письмом) обеспечивает предоставление согласий вышеуказанного персонала на обработку персональных данных по форме Приложения 3 к техническим требованиям (Приложение В к Порядку работы с переносными средствами видеофиксации в АО «ДРСК» Прк-СМОЗиОБТ-9.1-01/09-26).</w:t>
            </w:r>
          </w:p>
        </w:tc>
        <w:tc>
          <w:tcPr>
            <w:tcW w:w="425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порядку приемки результатов работ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Ежемесячная приемка объемов выполненных работ производится в срок до 25 числа отчетного месяца в соответствии с требованиями постановления Российского статистического агентства от 11 ноября 1999 г. N 100 «Об утверждении унифицированных форм первичного учета документации по учету работ в капитальном строительстве и ремонтно-строительных работ» (в том числе предоставляются акты освидетельствования скрытых работ)</w:t>
            </w:r>
          </w:p>
        </w:tc>
        <w:tc>
          <w:tcPr>
            <w:tcW w:w="4257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Ежемесячная приемка объемов выполненных работ производится при предъявлении подтверждающей справки (Приложение 2), исполнительной документации, схемы выполненных работ, согласованных с представителем РЭС и курирующей службы, и фотоотчета в эл. виде о выполненных работах (в т.ч. скрытых)</w:t>
            </w:r>
          </w:p>
        </w:tc>
        <w:tc>
          <w:tcPr>
            <w:tcW w:w="425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Приёмка объекта из ремонта осуществляется в соответствии с «Правилами организации технического обслуживания и ремонта объектов электроэнергетики», утвержденных приказом Минэнерго России от 25.10.2017 № 1013, с оформлением и передачей заказчику Акта сдачи-приемки и необходимой исполнительной документации</w:t>
            </w:r>
          </w:p>
        </w:tc>
        <w:tc>
          <w:tcPr>
            <w:tcW w:w="425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подрядчика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6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eastAsia="Calibri"/>
                <w:b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Гарантия исполнителя оговаривается в Договоре подряда на работы. Подрядчик (исполнитель) гарантирует своевременное и качественное выполнение работ, а также устранение дефектов, возникших по его вине в течение не менее 24-х месяцев с момента приёмки выполненных работ. Гарантия на материалы, поставляемые Подрядчиком не менее 24-х месяцев</w:t>
            </w:r>
          </w:p>
        </w:tc>
        <w:tc>
          <w:tcPr>
            <w:tcW w:w="425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</w:tbl>
    <w:p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7" w:name="__RefHeading___Toc7208_3053485740"/>
      <w:bookmarkStart w:id="48" w:name="_Toc143524816"/>
      <w:bookmarkEnd w:id="47"/>
      <w:r>
        <w:rPr>
          <w:lang w:val="ru-RU"/>
        </w:rPr>
        <w:t>Требования к документации по ценообразованию на этапе закупки</w:t>
      </w:r>
      <w:bookmarkEnd w:id="4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     </w:t>
      </w:r>
      <w:r>
        <w:rPr>
          <w:sz w:val="24"/>
          <w:szCs w:val="22"/>
        </w:rPr>
        <w:t>3.1.</w:t>
        <w:tab/>
        <w:t>В обоснование стоимости своей заявки Участник предоставляет Коммерческое предложение по форме, приведенной в Документации о закупке (с указанием понижающего коэффициента), с учетом требований к ценообразованию при формировании Коммерческого предложения в составе заявки Участника (приложение 4 к Техническим требованиям).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     </w:t>
      </w:r>
      <w:r>
        <w:rPr>
          <w:sz w:val="24"/>
          <w:szCs w:val="22"/>
        </w:rPr>
        <w:t>3.2. 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16"/>
          <w:b w:val="false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9" w:name="__RefHeading___Toc7210_3053485740"/>
      <w:bookmarkStart w:id="50" w:name="_Toc143524817"/>
      <w:bookmarkEnd w:id="49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50"/>
    </w:p>
    <w:p>
      <w:pPr>
        <w:pStyle w:val="Normal"/>
        <w:tabs>
          <w:tab w:val="clear" w:pos="708"/>
          <w:tab w:val="left" w:pos="284" w:leader="none"/>
        </w:tabs>
        <w:spacing w:before="120" w:after="0"/>
        <w:ind w:firstLine="709"/>
        <w:jc w:val="both"/>
        <w:rPr>
          <w:sz w:val="24"/>
          <w:szCs w:val="22"/>
        </w:rPr>
      </w:pPr>
      <w:r>
        <w:rPr>
          <w:sz w:val="24"/>
          <w:szCs w:val="22"/>
        </w:rPr>
        <w:t>4.1. Сметная документация разработана Заказчиком в рамках определения начальной (максимальной) цены договора и включается в состав договора с применением понижающего коэффициента, указанного в заявке Участника, с которым принято решение заключить договор. Понижающий коэффициент начисляется в локальных сметах единым индексом в итогах (после начисления лимитированных затрат в случае составления одной сметы).</w:t>
      </w:r>
    </w:p>
    <w:p>
      <w:pPr>
        <w:pStyle w:val="Normal"/>
        <w:tabs>
          <w:tab w:val="clear" w:pos="708"/>
          <w:tab w:val="left" w:pos="284" w:leader="none"/>
        </w:tabs>
        <w:ind w:firstLine="709"/>
        <w:jc w:val="both"/>
        <w:rPr>
          <w:sz w:val="24"/>
          <w:szCs w:val="22"/>
        </w:rPr>
      </w:pPr>
      <w:r>
        <w:rPr>
          <w:sz w:val="24"/>
          <w:szCs w:val="22"/>
        </w:rPr>
        <w:t>4.2. Внесение изменений в сметную документацию Заказчика, кроме применения</w:t>
      </w:r>
      <w:r>
        <w:rPr>
          <w:sz w:val="26"/>
          <w:szCs w:val="26"/>
        </w:rPr>
        <w:t xml:space="preserve"> </w:t>
      </w:r>
      <w:r>
        <w:rPr>
          <w:sz w:val="24"/>
          <w:szCs w:val="22"/>
        </w:rPr>
        <w:t>понижающего коэффициента в соответствии с п. 4.1, не допускается.</w:t>
      </w:r>
    </w:p>
    <w:p>
      <w:pPr>
        <w:pStyle w:val="Style25"/>
        <w:tabs>
          <w:tab w:val="clear" w:pos="708"/>
          <w:tab w:val="left" w:pos="284" w:leader="none"/>
        </w:tabs>
        <w:ind w:left="0" w:right="0" w:firstLine="709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lang w:val="ru-RU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2"/>
          <w:u w:val="none"/>
          <w:effect w:val="none"/>
          <w:lang w:val="ru-RU"/>
        </w:rPr>
        <w:t>4.3. В случае изменения фактических сроков выполнения работ (запланированных в «Календарном графике выполнения работ») с «зимнего» периода (15.10-20.04) на «летний» период (21.04-14.10) работ, норматив дополнительных затрат при производстве работ в зимнее время исключается из акта выполненных работ КС-2.</w:t>
      </w:r>
    </w:p>
    <w:p>
      <w:pPr>
        <w:pStyle w:val="Normal"/>
        <w:tabs>
          <w:tab w:val="clear" w:pos="708"/>
          <w:tab w:val="left" w:pos="284" w:leader="none"/>
        </w:tabs>
        <w:ind w:firstLine="709"/>
        <w:jc w:val="both"/>
        <w:rPr>
          <w:sz w:val="24"/>
          <w:szCs w:val="22"/>
        </w:rPr>
      </w:pPr>
      <w:r>
        <w:rPr>
          <w:sz w:val="24"/>
          <w:szCs w:val="22"/>
        </w:rPr>
      </w:r>
    </w:p>
    <w:p>
      <w:pPr>
        <w:pStyle w:val="1"/>
        <w:keepLines/>
        <w:numPr>
          <w:ilvl w:val="0"/>
          <w:numId w:val="3"/>
        </w:numPr>
        <w:ind w:left="357" w:hanging="357"/>
        <w:jc w:val="center"/>
        <w:rPr>
          <w:rStyle w:val="Style16"/>
          <w:b/>
          <w:b/>
          <w:i w:val="false"/>
          <w:i w:val="false"/>
          <w:iCs/>
          <w:caps/>
          <w:shd w:fill="auto" w:val="clear"/>
        </w:rPr>
      </w:pPr>
      <w:bookmarkStart w:id="51" w:name="__RefHeading___Toc7212_3053485740"/>
      <w:bookmarkStart w:id="52" w:name="_Toc143524818"/>
      <w:bookmarkEnd w:id="51"/>
      <w:r>
        <w:rPr>
          <w:iCs/>
        </w:rPr>
        <w:t>Приложения</w:t>
      </w:r>
      <w:bookmarkEnd w:id="52"/>
    </w:p>
    <w:p>
      <w:pPr>
        <w:pStyle w:val="Normal"/>
        <w:spacing w:before="60" w:after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№ 1.1 – 1.2: Ведомости дефектов и объемов работ № 1-2</w:t>
      </w:r>
    </w:p>
    <w:p>
      <w:pPr>
        <w:pStyle w:val="Normal"/>
        <w:spacing w:before="60" w:after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№ 2: Справка по объемам выполненных работ;</w:t>
      </w:r>
    </w:p>
    <w:p>
      <w:pPr>
        <w:pStyle w:val="Normal"/>
        <w:spacing w:before="60" w:after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№ 3: Согласие на обработку персональных данных;</w:t>
      </w:r>
    </w:p>
    <w:p>
      <w:pPr>
        <w:pStyle w:val="Normal"/>
        <w:spacing w:before="60" w:after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№ 4: Требования к ценообразованию при формировании Коммерческого предложения в составе заявки участника;</w:t>
      </w:r>
    </w:p>
    <w:p>
      <w:pPr>
        <w:pStyle w:val="Normal"/>
        <w:spacing w:before="60" w:after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Приложение № 5: Сметная документация.</w:t>
      </w:r>
    </w:p>
    <w:p>
      <w:pPr>
        <w:pStyle w:val="Normal"/>
        <w:spacing w:before="60" w:after="0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right="-5413" w:hanging="0"/>
        <w:jc w:val="both"/>
        <w:rPr>
          <w:b/>
          <w:b/>
          <w:bCs/>
          <w:i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Директор </w:t>
        <w:tab/>
        <w:t>СП ЗЭС</w:t>
        <w:tab/>
        <w:t xml:space="preserve">                                                                          Ю.Г. Максюта</w:t>
      </w:r>
    </w:p>
    <w:sectPr>
      <w:headerReference w:type="default" r:id="rId4"/>
      <w:headerReference w:type="first" r:id="rId5"/>
      <w:type w:val="nextPage"/>
      <w:pgSz w:w="11906" w:h="16838"/>
      <w:pgMar w:left="1134" w:right="851" w:header="680" w:top="1134" w:footer="0" w:bottom="992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Times New Roman">
    <w:charset w:val="01"/>
    <w:family w:val="auto"/>
    <w:pitch w:val="variable"/>
  </w:font>
  <w:font w:name="Courier New">
    <w:charset w:val="01"/>
    <w:family w:val="auto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2">
    <w:name w:val="Heading 2"/>
    <w:basedOn w:val="4"/>
    <w:next w:val="Normal"/>
    <w:link w:val="2"/>
    <w:qFormat/>
    <w:rsid w:val="00ea61a8"/>
    <w:pPr>
      <w:outlineLvl w:val="1"/>
    </w:pPr>
    <w:rPr/>
  </w:style>
  <w:style w:type="paragraph" w:styleId="3">
    <w:name w:val="Heading 3"/>
    <w:basedOn w:val="Normal"/>
    <w:next w:val="Normal"/>
    <w:link w:val="3"/>
    <w:autoRedefine/>
    <w:qFormat/>
    <w:rsid w:val="00035e96"/>
    <w:pPr>
      <w:keepNext w:val="true"/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Normal"/>
    <w:link w:val="4"/>
    <w:qFormat/>
    <w:rsid w:val="006629c9"/>
    <w:pPr>
      <w:outlineLvl w:val="3"/>
    </w:pPr>
    <w:rPr>
      <w:bCs/>
    </w:rPr>
  </w:style>
  <w:style w:type="paragraph" w:styleId="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Символ сноски"/>
    <w:qFormat/>
    <w:rsid w:val="00d561d9"/>
    <w:rPr>
      <w:vertAlign w:val="superscript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Style7">
    <w:name w:val="Интернет-ссылка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1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1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1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1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1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1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1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1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8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9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Style10">
    <w:name w:val="Выделение"/>
    <w:uiPriority w:val="20"/>
    <w:qFormat/>
    <w:rsid w:val="00d22f6d"/>
    <w:rPr>
      <w:i/>
      <w:iCs/>
    </w:rPr>
  </w:style>
  <w:style w:type="character" w:styleId="22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11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12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21"/>
    <w:qFormat/>
    <w:locked/>
    <w:rsid w:val="00d22f6d"/>
    <w:rPr>
      <w:sz w:val="28"/>
    </w:rPr>
  </w:style>
  <w:style w:type="character" w:styleId="Style13" w:customStyle="1">
    <w:name w:val="Текст сноски Знак"/>
    <w:uiPriority w:val="99"/>
    <w:qFormat/>
    <w:rsid w:val="00d22f6d"/>
    <w:rPr/>
  </w:style>
  <w:style w:type="character" w:styleId="Style14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5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16" w:customStyle="1">
    <w:name w:val="комментарий"/>
    <w:qFormat/>
    <w:rsid w:val="0025139e"/>
    <w:rPr>
      <w:b/>
      <w:i/>
      <w:shd w:fill="FFFF99" w:val="clear"/>
    </w:rPr>
  </w:style>
  <w:style w:type="character" w:styleId="Style17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2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8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9" w:customStyle="1">
    <w:name w:val="Текст примечания Знак"/>
    <w:link w:val="Annotationtext"/>
    <w:semiHidden/>
    <w:qFormat/>
    <w:rsid w:val="00dc0f7d"/>
    <w:rPr/>
  </w:style>
  <w:style w:type="character" w:styleId="Style20" w:customStyle="1">
    <w:name w:val="Текст концевой сноски Знак"/>
    <w:basedOn w:val="DefaultParagraphFont"/>
    <w:qFormat/>
    <w:rsid w:val="003879d4"/>
    <w:rPr/>
  </w:style>
  <w:style w:type="character" w:styleId="Style21">
    <w:name w:val="Символ концевой сноски"/>
    <w:qFormat/>
    <w:rsid w:val="003879d4"/>
    <w:rPr>
      <w:vertAlign w:val="superscript"/>
    </w:rPr>
  </w:style>
  <w:style w:type="character" w:styleId="Style22">
    <w:name w:val="Привязка концевой сноски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23" w:customStyle="1">
    <w:name w:val="Пункт2 Знак"/>
    <w:link w:val="24"/>
    <w:qFormat/>
    <w:rsid w:val="00de52bc"/>
    <w:rPr>
      <w:b/>
      <w:sz w:val="28"/>
    </w:rPr>
  </w:style>
  <w:style w:type="character" w:styleId="13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3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23">
    <w:name w:val="Ссылка указателя"/>
    <w:qFormat/>
    <w:rPr/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25">
    <w:name w:val="Body Text"/>
    <w:basedOn w:val="Normal"/>
    <w:link w:val="Style6"/>
    <w:rsid w:val="0076353a"/>
    <w:pPr>
      <w:spacing w:before="0" w:after="120"/>
    </w:pPr>
    <w:rPr/>
  </w:style>
  <w:style w:type="paragraph" w:styleId="Style26">
    <w:name w:val="List"/>
    <w:basedOn w:val="Style25"/>
    <w:pPr/>
    <w:rPr>
      <w:rFonts w:cs="Lohit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Style2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1" w:customStyle="1">
    <w:name w:val="Подраздел раздела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both"/>
    </w:pPr>
    <w:rPr/>
  </w:style>
  <w:style w:type="paragraph" w:styleId="Style32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3">
    <w:name w:val="Колонтитул"/>
    <w:basedOn w:val="Normal"/>
    <w:qFormat/>
    <w:pPr/>
    <w:rPr/>
  </w:style>
  <w:style w:type="paragraph" w:styleId="Style34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5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Style36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7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Normal"/>
    <w:next w:val="Normal"/>
    <w:autoRedefine/>
    <w:uiPriority w:val="39"/>
    <w:rsid w:val="001567af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5">
    <w:name w:val="TOC 3"/>
    <w:basedOn w:val="Normal"/>
    <w:next w:val="Normal"/>
    <w:autoRedefine/>
    <w:uiPriority w:val="39"/>
    <w:rsid w:val="00d5482f"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38" w:customStyle="1">
    <w:name w:val="Раздел регламента"/>
    <w:basedOn w:val="Normal"/>
    <w:qFormat/>
    <w:rsid w:val="00e228fa"/>
    <w:pPr/>
    <w:rPr/>
  </w:style>
  <w:style w:type="paragraph" w:styleId="Style39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26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40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tyle41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Style42">
    <w:name w:val="Index Heading"/>
    <w:basedOn w:val="Style24"/>
    <w:pPr/>
    <w:rPr/>
  </w:style>
  <w:style w:type="paragraph" w:styleId="TOCHeading">
    <w:name w:val="TOC Heading"/>
    <w:basedOn w:val="1"/>
    <w:next w:val="Normal"/>
    <w:uiPriority w:val="39"/>
    <w:qFormat/>
    <w:rsid w:val="00d22f6d"/>
    <w:pPr>
      <w:keepLines/>
      <w:spacing w:before="480" w:after="60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43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6" w:customStyle="1">
    <w:name w:val="Нумерованный список ур3"/>
    <w:basedOn w:val="Normal"/>
    <w:qFormat/>
    <w:rsid w:val="00d22f6d"/>
    <w:pPr>
      <w:numPr>
        <w:ilvl w:val="0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7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4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5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6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7" w:customStyle="1">
    <w:name w:val="Подподпункт"/>
    <w:basedOn w:val="Style37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8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49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0"/>
        <w:numId w:val="4"/>
      </w:num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8" w:customStyle="1">
    <w:name w:val="УРОВЕНЬ_Абзац_тип3"/>
    <w:basedOn w:val="ListParagraph"/>
    <w:link w:val="31"/>
    <w:qFormat/>
    <w:rsid w:val="00b56f46"/>
    <w:pPr>
      <w:numPr>
        <w:ilvl w:val="0"/>
        <w:numId w:val="4"/>
      </w:num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50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Style51">
    <w:name w:val="Endnote Text"/>
    <w:basedOn w:val="Normal"/>
    <w:link w:val="Style12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5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1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PlainText1" w:customStyle="1">
    <w:name w:val="Plain Text1"/>
    <w:basedOn w:val="Normal"/>
    <w:qFormat/>
    <w:rsid w:val="00c62d8a"/>
    <w:pPr>
      <w:widowControl w:val="false"/>
    </w:pPr>
    <w:rPr>
      <w:rFonts w:ascii="Courier New" w:hAnsi="Courier New"/>
      <w:sz w:val="20"/>
      <w:szCs w:val="20"/>
    </w:rPr>
  </w:style>
  <w:style w:type="paragraph" w:styleId="Style53">
    <w:name w:val="Содержимое врезки"/>
    <w:basedOn w:val="Normal"/>
    <w:qFormat/>
    <w:pPr/>
    <w:rPr/>
  </w:style>
  <w:style w:type="paragraph" w:styleId="Style54">
    <w:name w:val="Содержимое таблицы"/>
    <w:basedOn w:val="Normal"/>
    <w:qFormat/>
    <w:pPr>
      <w:widowControl w:val="false"/>
      <w:suppressLineNumbers/>
    </w:pPr>
    <w:rPr/>
  </w:style>
  <w:style w:type="paragraph" w:styleId="Style55">
    <w:name w:val="Заголовок таблицы"/>
    <w:basedOn w:val="Style5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D775F-3AFE-40EB-9A9C-50E4D4DA0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2125</TotalTime>
  <Application>LibreOffice/7.1.8.1$Linux_X86_64 LibreOffice_project/10$Build-1</Application>
  <AppVersion>15.0000</AppVersion>
  <Pages>9</Pages>
  <Words>1780</Words>
  <Characters>11938</Characters>
  <CharactersWithSpaces>13610</CharactersWithSpaces>
  <Paragraphs>199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2023-01-26T01:42:00Z</dcterms:created>
  <dc:creator>Быстров Олег Геннадьевич</dc:creator>
  <dc:description/>
  <dc:language>ru-RU</dc:language>
  <cp:lastModifiedBy/>
  <cp:lastPrinted>2026-09-07T11:42:05Z</cp:lastPrinted>
  <dcterms:modified xsi:type="dcterms:W3CDTF">2026-09-08T11:57:51Z</dcterms:modified>
  <cp:revision>401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