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962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1"/>
      <w:bookmarkStart w:id="1" w:name="_Toc1375545841"/>
      <w:bookmarkStart w:id="2" w:name="_Toc1398562871"/>
      <w:bookmarkStart w:id="3" w:name="_Toc1416967041"/>
      <w:bookmarkStart w:id="4" w:name="_Toc1375545841"/>
      <w:bookmarkStart w:id="5" w:name="_Toc1398562871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 на оказание услуг</w:t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Аренда помещения в пгт. Серебряный Бор под офис для нужд строительного участка Нерюнгри Дальневосточного филиала АО "ТК РусГидро"</w:t>
      </w:r>
    </w:p>
    <w:p>
      <w:pPr>
        <w:pStyle w:val="Normal"/>
        <w:jc w:val="center"/>
        <w:rPr>
          <w:rFonts w:eastAsia="Calibri"/>
          <w:b/>
          <w:color w:val="auto"/>
          <w:sz w:val="26"/>
          <w:szCs w:val="26"/>
        </w:rPr>
      </w:pPr>
      <w:r>
        <w:rPr>
          <w:rFonts w:eastAsia="Calibri"/>
          <w:b/>
          <w:color w:val="auto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6960_644051928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964_644051928">
            <w:r>
              <w:rPr>
                <w:webHidden/>
                <w:rStyle w:val="Style14"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968_644051928">
            <w:r>
              <w:rPr>
                <w:webHidden/>
                <w:rStyle w:val="Style14"/>
                <w:vanish w:val="false"/>
              </w:rPr>
              <w:t>1.2. Цель оказания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970_644051928">
            <w:r>
              <w:rPr>
                <w:webHidden/>
                <w:rStyle w:val="Style14"/>
                <w:vanish w:val="false"/>
              </w:rPr>
              <w:t>Заключение договора аренды нежилых офисных помещений для нужд Дальневосточного филиала АО «ТК РусГидро» для организации офиса и размещения сотрудников Дальневосточного филиала АО «ТК РусГидро».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6972_644051928"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6974_644051928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976_644051928">
            <w:r>
              <w:rPr>
                <w:webHidden/>
                <w:rStyle w:val="Style14"/>
                <w:vanish w:val="false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6978_644051928">
            <w:r>
              <w:rPr>
                <w:webHidden/>
                <w:rStyle w:val="Style14"/>
                <w:vanish w:val="false"/>
              </w:rPr>
              <w:t>2.1.1. Требования к перечню и объему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6980_644051928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6982_644051928">
            <w:r>
              <w:rPr>
                <w:webHidden/>
                <w:rStyle w:val="Style14"/>
                <w:vanish w:val="false"/>
              </w:rPr>
              <w:t>2.1.2. Требования к срокам оказания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6984_644051928"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986_644051928">
            <w:r>
              <w:rPr>
                <w:webHidden/>
                <w:rStyle w:val="Style14"/>
                <w:vanish w:val="false"/>
              </w:rPr>
              <w:t>2.2. Требования к качеству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6988_644051928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4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6990_644051928">
            <w:r>
              <w:rPr>
                <w:webHidden/>
                <w:rStyle w:val="Style14"/>
                <w:vanish w:val="false"/>
              </w:rPr>
              <w:t>на этапе заключения договора контрагент предоставляет заверенную копию свидетельства о государственной регистрации права на недвижимое имущество или выписки из Единого государственного реестра недвижимости (либо копией договора аренды, безвозмездного пользования и т.п.)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6992_644051928">
            <w:r>
              <w:rPr>
                <w:webHidden/>
                <w:rStyle w:val="Style14"/>
                <w:vanish w:val="false"/>
              </w:rPr>
              <w:t xml:space="preserve">3. </w:t>
            </w:r>
          </w:hyperlink>
          <w:hyperlink w:anchor="__RefHeading___Toc16996_644051928">
            <w:r>
              <w:rPr>
                <w:webHidden/>
                <w:rStyle w:val="Style14"/>
                <w:vanish w:val="false"/>
              </w:rPr>
              <w:t>Требования к документации по ценообразованию на этапе заключения (исполнения) договора</w:t>
              <w:tab/>
              <w:t>6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16998_644051928">
            <w:r>
              <w:rPr>
                <w:webHidden/>
                <w:rStyle w:val="Style14"/>
                <w:vanish w:val="false"/>
              </w:rPr>
              <w:t>4.1. Оплата по безналичному расчету путем перечисления денежных средств на расчетный счет.</w:t>
              <w:tab/>
              <w:t>6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r>
            <w:rPr>
              <w:b w:val="false"/>
              <w:vanish w:val="false"/>
              <w:sz w:val="20"/>
              <w:szCs w:val="20"/>
            </w:rPr>
            <w:t xml:space="preserve">4.2. В стоимость субарендной платы включена оплата за пользование </w:t>
          </w:r>
          <w:r>
            <w:rPr>
              <w:b w:val="false"/>
              <w:vanish w:val="false"/>
              <w:sz w:val="20"/>
              <w:szCs w:val="20"/>
              <w:shd w:fill="auto" w:val="clear"/>
            </w:rPr>
            <w:t>нежилым помещением, а также затраты Субрендодателя на коммунальные услуги (водо</w:t>
          </w:r>
          <w:r>
            <w:rPr>
              <w:b w:val="false"/>
              <w:vanish w:val="false"/>
              <w:sz w:val="20"/>
              <w:szCs w:val="20"/>
            </w:rPr>
            <w:t>снабжение, водоотведение, отопление, энергоснабжение и т.п.), уборку территории, вывоз мусора, охрану территории. Субарендатор вправе ознакомиться с характеристиками помещений в месте их расположения.</w:t>
          </w:r>
          <w:r>
            <w:rPr>
              <w:b w:val="false"/>
              <w:vanish w:val="false"/>
              <w:sz w:val="26"/>
              <w:szCs w:val="26"/>
            </w:rPr>
            <w:t xml:space="preserve"> </w:t>
          </w:r>
          <w:hyperlink w:anchor="__RefHeading___Toc17002_644051928">
            <w:r>
              <w:rPr>
                <w:webHidden/>
                <w:rStyle w:val="Style14"/>
                <w:vanish w:val="false"/>
              </w:rPr>
              <w:tab/>
              <w:t>6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6" w:name="__RefHeading___Toc16960_644051928"/>
      <w:bookmarkStart w:id="7" w:name="_Toc54643694"/>
      <w:bookmarkEnd w:id="6"/>
      <w:r>
        <w:rPr>
          <w:lang w:val="ru-RU"/>
        </w:rPr>
        <w:t>Общие сведения</w:t>
      </w:r>
      <w:bookmarkEnd w:id="7"/>
    </w:p>
    <w:p>
      <w:pPr>
        <w:pStyle w:val="Heading4"/>
        <w:tabs>
          <w:tab w:val="clear" w:pos="0"/>
        </w:tabs>
        <w:spacing w:before="0" w:after="0"/>
        <w:ind w:left="432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spacing w:before="0" w:after="0"/>
        <w:rPr>
          <w:sz w:val="26"/>
          <w:szCs w:val="26"/>
        </w:rPr>
      </w:pPr>
      <w:bookmarkStart w:id="8" w:name="__RefHeading___Toc16964_644051928"/>
      <w:bookmarkStart w:id="9" w:name="_Toc54643696"/>
      <w:bookmarkStart w:id="10" w:name="_Toc46743506"/>
      <w:bookmarkEnd w:id="8"/>
      <w:r>
        <w:rPr>
          <w:sz w:val="26"/>
          <w:szCs w:val="26"/>
        </w:rPr>
        <w:t>Наименование закупаемой продукции</w:t>
      </w:r>
      <w:bookmarkEnd w:id="9"/>
      <w:bookmarkEnd w:id="10"/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auto"/>
          <w:sz w:val="26"/>
          <w:szCs w:val="26"/>
        </w:rPr>
      </w:pPr>
      <w:bookmarkStart w:id="11" w:name="__RefHeading___Toc16966_644051928"/>
      <w:bookmarkEnd w:id="11"/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ОКПД2 68.20.12 Аренда помещения в пгт. Серебряный Бор под офис для нужд строительного участка Нерюнгри Дальневосточного филиала АО "ТК РусГидро"</w:t>
      </w:r>
      <w:bookmarkStart w:id="12" w:name="_Toc54643697"/>
      <w:bookmarkStart w:id="13" w:name="_Toc46743507"/>
    </w:p>
    <w:p>
      <w:pPr>
        <w:pStyle w:val="Heading4"/>
        <w:numPr>
          <w:ilvl w:val="1"/>
          <w:numId w:val="3"/>
        </w:numPr>
        <w:spacing w:before="0" w:after="0"/>
        <w:rPr>
          <w:i/>
          <w:i/>
          <w:sz w:val="26"/>
          <w:szCs w:val="26"/>
          <w:shd w:fill="FFFF99" w:val="clear"/>
        </w:rPr>
      </w:pPr>
      <w:bookmarkStart w:id="14" w:name="__RefHeading___Toc16968_644051928"/>
      <w:bookmarkEnd w:id="14"/>
      <w:r>
        <w:rPr>
          <w:sz w:val="26"/>
          <w:szCs w:val="26"/>
        </w:rPr>
        <w:t xml:space="preserve">Цель </w:t>
      </w:r>
      <w:bookmarkEnd w:id="13"/>
      <w:r>
        <w:rPr>
          <w:sz w:val="26"/>
          <w:szCs w:val="26"/>
          <w:lang w:val="ru-RU"/>
        </w:rPr>
        <w:t>оказания услуг</w:t>
      </w:r>
    </w:p>
    <w:p>
      <w:pPr>
        <w:pStyle w:val="Heading4"/>
        <w:numPr>
          <w:ilvl w:val="0"/>
          <w:numId w:val="0"/>
        </w:numPr>
        <w:spacing w:before="0" w:after="0"/>
        <w:ind w:left="0" w:hanging="0"/>
        <w:jc w:val="both"/>
        <w:rPr>
          <w:b w:val="false"/>
          <w:bCs w:val="false"/>
        </w:rPr>
      </w:pPr>
      <w:bookmarkEnd w:id="12"/>
      <w:r>
        <w:rPr>
          <w:b w:val="false"/>
          <w:bCs w:val="false"/>
          <w:sz w:val="26"/>
          <w:szCs w:val="26"/>
        </w:rPr>
        <w:t>Заключение договора аренды нежилого помещения под офис для нужд строительного участка Нерюнгри Дальневосточного филиала АО «ТК РусГидро» для организации рабочих мест для ИТР.</w:t>
      </w:r>
    </w:p>
    <w:p>
      <w:pPr>
        <w:pStyle w:val="Heading4"/>
        <w:widowControl w:val="false"/>
        <w:tabs>
          <w:tab w:val="clear" w:pos="0"/>
        </w:tabs>
        <w:spacing w:before="0" w:after="0"/>
        <w:ind w:left="0" w:hanging="0"/>
        <w:jc w:val="both"/>
        <w:rPr>
          <w:b w:val="false"/>
          <w:sz w:val="26"/>
          <w:szCs w:val="26"/>
          <w:lang w:val="ru-RU"/>
        </w:rPr>
      </w:pPr>
      <w:r>
        <w:rPr>
          <w:b w:val="false"/>
          <w:sz w:val="26"/>
          <w:szCs w:val="26"/>
          <w:lang w:val="ru-RU"/>
        </w:rPr>
      </w:r>
      <w:bookmarkStart w:id="15" w:name="__RefHeading___Toc16970_644051928"/>
      <w:bookmarkStart w:id="16" w:name="__RefHeading___Toc16970_644051928"/>
      <w:bookmarkEnd w:id="16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17" w:name="__RefHeading___Toc16972_644051928"/>
      <w:bookmarkStart w:id="18" w:name="_Toc54643699"/>
      <w:bookmarkEnd w:id="17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8"/>
    </w:p>
    <w:tbl>
      <w:tblPr>
        <w:tblW w:w="1008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94"/>
        <w:gridCol w:w="1801"/>
        <w:gridCol w:w="1802"/>
        <w:gridCol w:w="2125"/>
        <w:gridCol w:w="3564"/>
      </w:tblGrid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Аренда помещения под офис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Республика Саха (Якутия), Нерюнгринский район, пгт. Серебряный Бор                      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Для оказания транспортных услуг АО «Усть-СреднеканГЭСстрой» в месте расположения объекта</w:t>
            </w:r>
          </w:p>
        </w:tc>
      </w:tr>
    </w:tbl>
    <w:p>
      <w:pPr>
        <w:pStyle w:val="Heading1"/>
        <w:keepLines/>
        <w:numPr>
          <w:ilvl w:val="0"/>
          <w:numId w:val="3"/>
        </w:numPr>
        <w:spacing w:before="0" w:after="0"/>
        <w:ind w:left="357" w:hanging="357"/>
        <w:jc w:val="center"/>
        <w:rPr>
          <w:iCs/>
          <w:caps/>
          <w:lang w:val="ru-RU"/>
        </w:rPr>
      </w:pPr>
      <w:bookmarkStart w:id="19" w:name="__RefHeading___Toc16974_644051928"/>
      <w:bookmarkStart w:id="20" w:name="_Toc51339693"/>
      <w:bookmarkStart w:id="21" w:name="_Toc54643702"/>
      <w:bookmarkEnd w:id="19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0"/>
      <w:bookmarkEnd w:id="21"/>
    </w:p>
    <w:p>
      <w:pPr>
        <w:pStyle w:val="Heading4"/>
        <w:numPr>
          <w:ilvl w:val="1"/>
          <w:numId w:val="3"/>
        </w:numPr>
        <w:spacing w:before="0" w:after="0"/>
        <w:rPr/>
      </w:pPr>
      <w:bookmarkStart w:id="22" w:name="__RefHeading___Toc16976_644051928"/>
      <w:bookmarkStart w:id="23" w:name="_Toc54643703"/>
      <w:bookmarkEnd w:id="22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3"/>
    </w:p>
    <w:p>
      <w:pPr>
        <w:pStyle w:val="Heading3"/>
        <w:numPr>
          <w:ilvl w:val="2"/>
          <w:numId w:val="3"/>
        </w:numPr>
        <w:spacing w:before="0" w:after="0"/>
        <w:rPr/>
      </w:pPr>
      <w:bookmarkStart w:id="24" w:name="__RefHeading___Toc16978_644051928"/>
      <w:bookmarkStart w:id="25" w:name="_Toc54643704"/>
      <w:bookmarkEnd w:id="24"/>
      <w:r>
        <w:rPr>
          <w:lang w:val="ru-RU"/>
        </w:rPr>
        <w:t>Требования к перечню и объему услуг</w:t>
      </w:r>
      <w:bookmarkEnd w:id="25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26" w:name="__RefHeading___Toc16980_644051928"/>
      <w:bookmarkStart w:id="27" w:name="_Toc54643705"/>
      <w:bookmarkStart w:id="28" w:name="_Toc51339695"/>
      <w:bookmarkEnd w:id="2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8"/>
      <w:r>
        <w:rPr>
          <w:sz w:val="24"/>
          <w:szCs w:val="24"/>
          <w:lang w:val="ru-RU"/>
        </w:rPr>
        <w:t>и объем оказываемых услуг</w:t>
      </w:r>
      <w:bookmarkEnd w:id="27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bookmarkStart w:id="29" w:name="__RefHeading___Toc16966_644051928_Копия_"/>
            <w:bookmarkEnd w:id="29"/>
            <w:r>
              <w:rPr>
                <w:sz w:val="24"/>
                <w:szCs w:val="24"/>
              </w:rPr>
              <w:t>ОКПД2 68.20.12 Аренда помещения в пгт. Серебряный Бор под офис для нужд строительного участка Нерюнгри Дальневосточного филиала АО "ТК РусГидро"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м2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 менее 36,00 м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</w:p>
        </w:tc>
      </w:tr>
    </w:tbl>
    <w:p>
      <w:pPr>
        <w:pStyle w:val="Heading3"/>
        <w:numPr>
          <w:ilvl w:val="2"/>
          <w:numId w:val="3"/>
        </w:numPr>
        <w:spacing w:before="0" w:after="0"/>
        <w:rPr>
          <w:lang w:val="ru-RU"/>
        </w:rPr>
      </w:pPr>
      <w:bookmarkStart w:id="30" w:name="__RefHeading___Toc16982_644051928"/>
      <w:bookmarkStart w:id="31" w:name="_Toc54643706"/>
      <w:bookmarkStart w:id="32" w:name="_Toc51339696"/>
      <w:bookmarkEnd w:id="30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>к срокам оказания услуг</w:t>
      </w:r>
      <w:bookmarkEnd w:id="31"/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33" w:name="__RefHeading___Toc16984_644051928"/>
      <w:bookmarkStart w:id="34" w:name="_Toc54643707"/>
      <w:bookmarkStart w:id="35" w:name="_Toc50125127"/>
      <w:bookmarkStart w:id="36" w:name="_Toc51339697"/>
      <w:bookmarkEnd w:id="3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5"/>
      <w:bookmarkEnd w:id="36"/>
      <w:bookmarkEnd w:id="37"/>
      <w:r>
        <w:rPr>
          <w:sz w:val="24"/>
          <w:szCs w:val="24"/>
          <w:lang w:val="ru-RU"/>
        </w:rPr>
        <w:t>оказания услуг</w:t>
      </w:r>
      <w:bookmarkEnd w:id="34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04"/>
        <w:gridCol w:w="3570"/>
        <w:gridCol w:w="2410"/>
        <w:gridCol w:w="2833"/>
      </w:tblGrid>
      <w:tr>
        <w:trPr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  <w:sz w:val="26"/>
                <w:szCs w:val="26"/>
                <w:shd w:fill="FFFFFF" w:val="clear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ind w:left="360" w:hanging="0"/>
              <w:rPr/>
            </w:pPr>
            <w:r>
              <w:rPr/>
              <w:t>1.</w:t>
            </w:r>
          </w:p>
        </w:tc>
        <w:tc>
          <w:tcPr>
            <w:tcW w:w="3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 w:val="false"/>
                <w:bCs w:val="false"/>
                <w:color w:val="auto"/>
                <w:sz w:val="26"/>
                <w:szCs w:val="26"/>
              </w:rPr>
            </w:pPr>
            <w:bookmarkStart w:id="38" w:name="__RefHeading___Toc16966_6440519281"/>
            <w:bookmarkEnd w:id="38"/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ОКПД2 68.20.12 Аренда помещения в пгт. Серебряный Бор под офис для нужд строительного участка Нерюнгри Дальневосточного филиала АО "ТК РусГидро"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01.10.2027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31.08.2028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/>
      </w:pPr>
      <w:r>
        <w:rPr/>
        <w:t xml:space="preserve">Требования к </w:t>
      </w:r>
      <w:r>
        <w:rPr>
          <w:lang w:val="ru-RU"/>
        </w:rPr>
        <w:t>качеству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39" w:name="__RefHeading___Toc16988_644051928"/>
      <w:bookmarkEnd w:id="39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/>
          <w:b w:val="false"/>
          <w:bCs w:val="false"/>
          <w:color w:val="auto"/>
          <w:sz w:val="26"/>
          <w:szCs w:val="26"/>
        </w:rPr>
      </w:pPr>
      <w:bookmarkStart w:id="40" w:name="__RefHeading___Toc16966_6440519281_Копия"/>
      <w:bookmarkEnd w:id="40"/>
      <w:r>
        <w:rPr>
          <w:rFonts w:eastAsia="Calibri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ОКПД2 68.20.12 Аренда помещения в пгт. Серебряный Бор под офис для нужд строительного участка Нерюнгри Дальневосточного филиала АО "ТК РусГидро"</w:t>
      </w:r>
    </w:p>
    <w:tbl>
      <w:tblPr>
        <w:tblStyle w:val="affff2"/>
        <w:tblW w:w="150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28"/>
        <w:gridCol w:w="4446"/>
        <w:gridCol w:w="2984"/>
        <w:gridCol w:w="2002"/>
        <w:gridCol w:w="3533"/>
      </w:tblGrid>
      <w:tr>
        <w:trPr>
          <w:trHeight w:val="276" w:hRule="atLeast"/>
        </w:trPr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4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4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1"/>
          </w:p>
        </w:tc>
        <w:tc>
          <w:tcPr>
            <w:tcW w:w="44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освещение согласно общепринятым нормам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территория должна быть охраняемая (охранная сигнализация)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hyperlink r:id="rId5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нежилое помещение должны соответствовать производственному назначению и быть пригодным для эксплуатации, в том числе отвечать требованиям в области промышленной и пожарной безопасности, охраны труда и окружающей среды</w:t>
              </w:r>
            </w:hyperlink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rPr/>
            </w:pPr>
            <w:hyperlink r:id="rId6">
              <w:r>
                <w:rPr>
                  <w:sz w:val="24"/>
                  <w:szCs w:val="24"/>
                </w:rPr>
                <w:t>Согласие с требованием</w:t>
              </w:r>
            </w:hyperlink>
          </w:p>
        </w:tc>
      </w:tr>
      <w:tr>
        <w:trPr/>
        <w:tc>
          <w:tcPr>
            <w:tcW w:w="82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нежилое помещение должно быть расположено в районе Нерюнгринской ГРЭС (на удалении не более 2 км.)</w:t>
            </w:r>
          </w:p>
        </w:tc>
        <w:tc>
          <w:tcPr>
            <w:tcW w:w="553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характеристики сдаваемого в аренду помещения для осуществления деятельности должно соответствовать изложенным в настоящем техническом требовании арендатора характеристикам или превосходить их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конструкции не жилого помещения</w:t>
            </w:r>
          </w:p>
        </w:tc>
        <w:tc>
          <w:tcPr>
            <w:tcW w:w="2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железобетон и /или кирпич 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освещение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электроснабжение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отопление</w:t>
            </w:r>
          </w:p>
        </w:tc>
        <w:tc>
          <w:tcPr>
            <w:tcW w:w="2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температурный режим в нежилом помещении не менее +25 в зимнее время года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централизованного водоснабжения и канализации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44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аренда нежилого помещения</w:t>
            </w:r>
          </w:p>
        </w:tc>
        <w:tc>
          <w:tcPr>
            <w:tcW w:w="2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Площадь помещения не менее 36,00 м2 для размещения ИТР строительного участка Нерюнгри Дальневосточного филиала АО «ТК РусГидро»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ежемесячно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 (УПД)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>
          <w:trHeight w:val="337" w:hRule="atLeast"/>
        </w:trPr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Cs/>
                <w:sz w:val="24"/>
                <w:szCs w:val="24"/>
              </w:rPr>
            </w:pPr>
            <w:bookmarkStart w:id="42" w:name="__RefHeading___Toc16990_644051928"/>
            <w:bookmarkEnd w:id="42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этапе заключения договора контрагент предоставляет  заверенную копию свидетельства о государственной регистрации права на недвижимое имущество или выписки из Единого государственного реестра недвижимости (либо копию договора аренды, безвозмездного пользования и т.п.)</w:t>
            </w:r>
          </w:p>
        </w:tc>
        <w:tc>
          <w:tcPr>
            <w:tcW w:w="20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Заверенная копия свидетельства о государственной регистрации права на недвижи</w:t>
            </w:r>
            <w:bookmarkStart w:id="43" w:name="_GoBack"/>
            <w:bookmarkEnd w:id="43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мое имущество или выписка из Единого государственного реестра недвижимости (либо копия договора аренды, безвозмездного пользования и т.п.)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у арендодателя законных оснований для сдачи недвижимого имущества в аренду. На момент заключения договора нежилые помещения, передаваемые в аренду, не заложены, не арестованы, не являются предметом исков третьих лиц.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2965" w:type="dxa"/>
            <w:gridSpan w:val="4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2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1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4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помещений в аренду осуществляется согласно заключенному договору аренды и Акту приема-передачи</w:t>
            </w:r>
          </w:p>
        </w:tc>
        <w:tc>
          <w:tcPr>
            <w:tcW w:w="553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1134" w:gutter="0" w:header="680" w:top="1134" w:footer="0" w:bottom="851"/>
          <w:pgNumType w:fmt="decimal"/>
          <w:formProt w:val="false"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4" w:name="__RefHeading___Toc16996_644051928"/>
      <w:bookmarkStart w:id="45" w:name="_Toc54281228"/>
      <w:bookmarkStart w:id="46" w:name="_Toc54643711"/>
      <w:bookmarkEnd w:id="44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45"/>
      <w:bookmarkEnd w:id="46"/>
    </w:p>
    <w:p>
      <w:pPr>
        <w:pStyle w:val="Heading4"/>
        <w:numPr>
          <w:ilvl w:val="1"/>
          <w:numId w:val="3"/>
        </w:numPr>
        <w:spacing w:lineRule="auto" w:line="240" w:before="0" w:after="0"/>
        <w:ind w:left="0" w:firstLine="567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>Оплата  по безналичному расчету путем перечисления денежных средств на расчетный счет.</w:t>
      </w:r>
    </w:p>
    <w:p>
      <w:pPr>
        <w:pStyle w:val="Heading4"/>
        <w:numPr>
          <w:ilvl w:val="1"/>
          <w:numId w:val="3"/>
        </w:numPr>
        <w:spacing w:lineRule="auto" w:line="240" w:before="0" w:after="0"/>
        <w:ind w:left="0" w:firstLine="567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  <w:t xml:space="preserve">В стоимость субарендной платы включена оплата за пользование </w:t>
      </w:r>
      <w:r>
        <w:rPr>
          <w:b w:val="false"/>
          <w:sz w:val="26"/>
          <w:szCs w:val="26"/>
          <w:shd w:fill="auto" w:val="clear"/>
        </w:rPr>
        <w:t>нежилым помещением, а также затраты Арендодателя на коммунальные услуги (водо</w:t>
      </w:r>
      <w:r>
        <w:rPr>
          <w:b w:val="false"/>
          <w:sz w:val="26"/>
          <w:szCs w:val="26"/>
        </w:rPr>
        <w:t xml:space="preserve">снабжение, водоотведение, отопление, энергоснабжение и т.п.), уборку территории, вывоз мусора, охрану территории. Арендатор вправе ознакомиться с характеристиками помещений в месте их расположения. </w:t>
      </w:r>
    </w:p>
    <w:p>
      <w:pPr>
        <w:pStyle w:val="Heading4"/>
        <w:tabs>
          <w:tab w:val="clear" w:pos="0"/>
        </w:tabs>
        <w:spacing w:before="0" w:after="0"/>
        <w:ind w:left="0" w:hanging="0"/>
        <w:jc w:val="both"/>
        <w:rPr>
          <w:b w:val="false"/>
          <w:sz w:val="26"/>
          <w:szCs w:val="26"/>
        </w:rPr>
      </w:pPr>
      <w:r>
        <w:rPr>
          <w:b w:val="false"/>
          <w:sz w:val="26"/>
          <w:szCs w:val="26"/>
        </w:rPr>
      </w:r>
      <w:bookmarkStart w:id="47" w:name="__RefHeading___Toc17004_644051928"/>
      <w:bookmarkStart w:id="48" w:name="__RefHeading___Toc17004_644051928"/>
      <w:bookmarkEnd w:id="48"/>
    </w:p>
    <w:p>
      <w:pPr>
        <w:pStyle w:val="Heading1"/>
        <w:keepLines/>
        <w:tabs>
          <w:tab w:val="clear" w:pos="0"/>
        </w:tabs>
        <w:ind w:left="357" w:hanging="0"/>
        <w:rPr>
          <w:iCs/>
        </w:rPr>
      </w:pPr>
      <w:r>
        <w:rPr>
          <w:iCs/>
        </w:rPr>
      </w:r>
    </w:p>
    <w:p>
      <w:pPr>
        <w:pStyle w:val="Normal"/>
        <w:rPr>
          <w:iCs/>
          <w:sz w:val="26"/>
          <w:szCs w:val="26"/>
        </w:rPr>
      </w:pPr>
      <w:r>
        <w:rPr>
          <w:iCs/>
          <w:sz w:val="26"/>
          <w:szCs w:val="26"/>
        </w:rPr>
      </w:r>
    </w:p>
    <w:p>
      <w:pPr>
        <w:pStyle w:val="Normal"/>
        <w:rPr>
          <w:iCs/>
          <w:sz w:val="26"/>
          <w:szCs w:val="26"/>
        </w:rPr>
      </w:pPr>
      <w:r>
        <w:rPr>
          <w:iCs/>
          <w:sz w:val="26"/>
          <w:szCs w:val="26"/>
        </w:rPr>
      </w:r>
    </w:p>
    <w:p>
      <w:pPr>
        <w:pStyle w:val="Normal"/>
        <w:rPr>
          <w:iCs/>
          <w:sz w:val="26"/>
          <w:szCs w:val="26"/>
        </w:rPr>
      </w:pPr>
      <w:r>
        <w:rPr>
          <w:iCs/>
          <w:sz w:val="26"/>
          <w:szCs w:val="26"/>
        </w:rPr>
      </w:r>
    </w:p>
    <w:p>
      <w:pPr>
        <w:pStyle w:val="Normal"/>
        <w:rPr>
          <w:iCs/>
          <w:sz w:val="26"/>
          <w:szCs w:val="26"/>
          <w:shd w:fill="FFFF99" w:val="clear"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2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://nbt.rushydro.ru/Planning/Program/View/386017?returnUrl=%2FPlanning%2FProgram%2FIndex_all%3Fnotnull%3DTrue%26page%3D1%26pageSize%3D50%26Filter.Index%3D3309%26Filter.UserOrganizationType%3D2%26Filter.ExtendedFilterOpened%3DFalse%26Filter.UserOrganizationType%3D2%26Filter.tabIndex%3D0" TargetMode="External"/><Relationship Id="rId6" Type="http://schemas.openxmlformats.org/officeDocument/2006/relationships/hyperlink" Target="http://nbt.rushydro.ru/Planning/Program/View/386017?returnUrl=%2FPlanning%2FProgram%2FIndex_all%3Fnotnull%3DTrue%26page%3D1%26pageSize%3D50%26Filter.Index%3D3309%26Filter.UserOrganizationType%3D2%26Filter.ExtendedFilterOpened%3DFalse%26Filter.UserOrganizationType%3D2%26Filter.tabIndex%3D0" TargetMode="External"/><Relationship Id="rId7" Type="http://schemas.openxmlformats.org/officeDocument/2006/relationships/header" Target="header4.xml"/><Relationship Id="rId8" Type="http://schemas.openxmlformats.org/officeDocument/2006/relationships/header" Target="header5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BEBD5-7602-43B1-93AD-780AC0D45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Application>AlterOffice/3.4.0.9$Linux_X86_64 LibreOffice_project/b8daf9e823b1a5463a2f48435ddc2e8696e7d4fc</Application>
  <AppVersion>15.0000</AppVersion>
  <Pages>7</Pages>
  <Words>959</Words>
  <Characters>6259</Characters>
  <CharactersWithSpaces>7074</CharactersWithSpaces>
  <Paragraphs>165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2023-12-28T05:58:00Z</dcterms:created>
  <dc:creator>Быстров Олег Геннадьевич</dc:creator>
  <dc:description/>
  <dc:language>ru-RU</dc:language>
  <cp:lastModifiedBy>yakovlevel@corp.gidroogk.com</cp:lastModifiedBy>
  <dcterms:modified xsi:type="dcterms:W3CDTF">2026-09-08T15:17:06Z</dcterms:modified>
  <cp:revision>37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