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 w:hanging="0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0" w:name="_Toc141696704"/>
      <w:bookmarkStart w:id="1" w:name="_Toc137554584"/>
      <w:bookmarkStart w:id="2" w:name="_Toc139856287"/>
      <w:bookmarkStart w:id="3" w:name="_GoBack"/>
      <w:bookmarkStart w:id="4" w:name="_Toc141696704"/>
      <w:bookmarkStart w:id="5" w:name="_Toc137554584"/>
      <w:bookmarkStart w:id="6" w:name="_Toc139856287"/>
      <w:bookmarkStart w:id="7" w:name="_GoBack"/>
      <w:bookmarkEnd w:id="4"/>
      <w:bookmarkEnd w:id="5"/>
      <w:bookmarkEnd w:id="6"/>
      <w:bookmarkEnd w:id="7"/>
    </w:p>
    <w:p>
      <w:pPr>
        <w:pStyle w:val="Normal"/>
        <w:ind w:left="5387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Start w:id="12" w:name="_Toc139856287_Копия_1"/>
      <w:bookmarkStart w:id="13" w:name="_Toc137554584_Копия_1"/>
      <w:bookmarkEnd w:id="11"/>
      <w:bookmarkEnd w:id="12"/>
      <w:bookmarkEnd w:id="13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/>
      </w:pPr>
      <w:r>
        <w:rPr>
          <w:rStyle w:val="Hyperlink"/>
          <w:b/>
          <w:bCs/>
          <w:i w:val="false"/>
          <w:iCs w:val="false"/>
          <w:caps w:val="false"/>
          <w:smallCaps w:val="false"/>
          <w:color w:val="000000"/>
          <w:spacing w:val="0"/>
          <w:kern w:val="0"/>
          <w:sz w:val="26"/>
          <w:szCs w:val="26"/>
          <w:u w:val="none"/>
          <w:shd w:fill="FFFFFF" w:val="clear"/>
          <w:lang w:val="ru-RU" w:bidi="ar-SA"/>
        </w:rPr>
        <w:t xml:space="preserve">ОКПД2: 68.20.12 Субаренда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 </w:t>
      </w:r>
    </w:p>
    <w:p>
      <w:pPr>
        <w:pStyle w:val="Normal"/>
        <w:keepNext w:val="true"/>
        <w:keepLines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sz w:val="26"/>
          <w:szCs w:val="26"/>
        </w:rPr>
      </w:pPr>
      <w:bookmarkStart w:id="14" w:name="_Toc54643694"/>
      <w:r>
        <w:rPr>
          <w:sz w:val="26"/>
          <w:szCs w:val="26"/>
        </w:rPr>
        <w:t>Общие сведения</w:t>
      </w:r>
      <w:bookmarkEnd w:id="14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15" w:name="_Toc54643695"/>
      <w:bookmarkStart w:id="16" w:name="_Toc46743505"/>
      <w:r>
        <w:rPr>
          <w:sz w:val="26"/>
          <w:szCs w:val="26"/>
        </w:rPr>
        <w:t>Обозначения и сокращения</w:t>
      </w:r>
      <w:bookmarkEnd w:id="15"/>
      <w:bookmarkEnd w:id="16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Транспортный участок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Инженерно-технические работники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Строительные нормы и правила</w:t>
            </w:r>
          </w:p>
        </w:tc>
      </w:tr>
    </w:tbl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before="0" w:after="0"/>
        <w:ind w:left="567" w:right="0" w:hanging="0"/>
        <w:jc w:val="left"/>
        <w:rPr>
          <w:sz w:val="26"/>
          <w:szCs w:val="26"/>
        </w:rPr>
      </w:pPr>
      <w:bookmarkStart w:id="17" w:name="_Toc54643696"/>
      <w:bookmarkStart w:id="18" w:name="_Toc46743506"/>
      <w:r>
        <w:rPr>
          <w:sz w:val="26"/>
          <w:szCs w:val="26"/>
        </w:rPr>
        <w:t>Наименование закупаемой продукции</w:t>
      </w:r>
      <w:bookmarkStart w:id="19" w:name="_Toc46743507"/>
      <w:bookmarkEnd w:id="17"/>
      <w:bookmarkEnd w:id="18"/>
    </w:p>
    <w:p>
      <w:pPr>
        <w:pStyle w:val="Heading4"/>
        <w:numPr>
          <w:ilvl w:val="0"/>
          <w:numId w:val="0"/>
        </w:numPr>
        <w:ind w:left="0" w:hanging="0"/>
        <w:jc w:val="both"/>
        <w:rPr>
          <w:rFonts w:ascii="Times New Roman" w:hAnsi="Times New Roman"/>
          <w:b w:val="false"/>
          <w:i w:val="false"/>
          <w:i w:val="false"/>
          <w:iCs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shd w:fill="FFFFFF" w:val="clear"/>
          <w:lang w:val="ru-RU" w:bidi="ar-SA"/>
        </w:rPr>
      </w:pPr>
      <w:r>
        <w:rPr>
          <w:rStyle w:val="Hyperlink"/>
          <w:b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FFFFFF" w:val="clear"/>
          <w:lang w:val="ru-RU" w:bidi="ar-SA"/>
        </w:rPr>
        <w:t xml:space="preserve">ОКПД2: 68.20.12 </w:t>
      </w:r>
      <w:r>
        <w:rPr>
          <w:rStyle w:val="Hyperlink"/>
          <w:b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FFFFFF" w:val="clear"/>
          <w:lang w:val="ru-RU" w:bidi="ar-SA"/>
        </w:rPr>
        <w:t>А</w:t>
      </w:r>
      <w:r>
        <w:rPr>
          <w:rStyle w:val="Hyperlink"/>
          <w:b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FFFFFF" w:val="clear"/>
          <w:lang w:val="ru-RU" w:bidi="ar-SA"/>
        </w:rPr>
        <w:t>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</w:r>
    </w:p>
    <w:p>
      <w:pPr>
        <w:pStyle w:val="Heading4"/>
        <w:numPr>
          <w:ilvl w:val="0"/>
          <w:numId w:val="0"/>
        </w:numPr>
        <w:ind w:left="0" w:hanging="0"/>
        <w:jc w:val="both"/>
        <w:rPr>
          <w:rFonts w:ascii="Times New Roman" w:hAnsi="Times New Roman"/>
          <w:b w:val="false"/>
          <w:i w:val="false"/>
          <w:i w:val="false"/>
          <w:iCs w:val="false"/>
          <w:caps w:val="false"/>
          <w:smallCaps w:val="false"/>
          <w:color w:val="auto"/>
          <w:spacing w:val="0"/>
          <w:kern w:val="0"/>
          <w:sz w:val="24"/>
          <w:szCs w:val="24"/>
          <w:u w:val="none"/>
          <w:shd w:fill="FFFFFF" w:val="clear"/>
          <w:lang w:val="ru-RU" w:bidi="ar-SA"/>
        </w:rPr>
      </w:pPr>
      <w:r>
        <w:rPr>
          <w:rStyle w:val="Hyperlink"/>
          <w:b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u w:val="none"/>
          <w:shd w:fill="FFFFFF" w:val="clear"/>
          <w:lang w:val="ru-RU" w:bidi="ar-SA"/>
        </w:rPr>
        <w:t xml:space="preserve"> </w:t>
      </w:r>
    </w:p>
    <w:p>
      <w:pPr>
        <w:pStyle w:val="Heading4"/>
        <w:keepNext w:val="true"/>
        <w:widowControl/>
        <w:numPr>
          <w:ilvl w:val="1"/>
          <w:numId w:val="3"/>
        </w:numPr>
        <w:suppressAutoHyphens w:val="true"/>
        <w:bidi w:val="0"/>
        <w:spacing w:before="0" w:after="0"/>
        <w:ind w:left="397" w:right="0" w:hanging="0"/>
        <w:jc w:val="left"/>
        <w:rPr>
          <w:sz w:val="26"/>
          <w:szCs w:val="26"/>
        </w:rPr>
      </w:pPr>
      <w:bookmarkStart w:id="20" w:name="_Toc54643697"/>
      <w:r>
        <w:rPr>
          <w:sz w:val="26"/>
          <w:szCs w:val="26"/>
        </w:rPr>
        <w:t xml:space="preserve">Цель </w:t>
      </w:r>
      <w:bookmarkEnd w:id="19"/>
      <w:r>
        <w:rPr>
          <w:sz w:val="26"/>
          <w:szCs w:val="26"/>
        </w:rPr>
        <w:t>оказания услуг</w:t>
      </w:r>
      <w:r>
        <w:rPr>
          <w:sz w:val="26"/>
          <w:szCs w:val="26"/>
          <w:lang w:val="ru-RU"/>
        </w:rPr>
        <w:t xml:space="preserve">. </w:t>
      </w:r>
      <w:bookmarkEnd w:id="20"/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both"/>
        <w:rPr>
          <w:sz w:val="26"/>
          <w:szCs w:val="26"/>
        </w:rPr>
      </w:pPr>
      <w:r>
        <w:rPr>
          <w:b w:val="false"/>
          <w:sz w:val="26"/>
          <w:szCs w:val="26"/>
          <w:lang w:val="ru-RU"/>
        </w:rPr>
        <w:tab/>
        <w:t>Формирование</w:t>
      </w:r>
      <w:r>
        <w:rPr>
          <w:b w:val="false"/>
          <w:sz w:val="26"/>
          <w:szCs w:val="26"/>
        </w:rPr>
        <w:t xml:space="preserve"> единой базы для размещения транспортных средств</w:t>
      </w:r>
      <w:r>
        <w:rPr>
          <w:b w:val="false"/>
          <w:sz w:val="26"/>
          <w:szCs w:val="26"/>
          <w:lang w:val="ru-RU"/>
        </w:rPr>
        <w:t xml:space="preserve"> Хабаровского ТУ, а также размещение ИТР Хабаровского ТУ по месту фактического нахождения ТС для оперативной работы.</w:t>
      </w:r>
    </w:p>
    <w:p>
      <w:pPr>
        <w:pStyle w:val="Heading4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both"/>
        <w:rPr>
          <w:sz w:val="26"/>
          <w:szCs w:val="26"/>
        </w:rPr>
      </w:pPr>
      <w:r>
        <w:rPr>
          <w:b w:val="false"/>
          <w:sz w:val="26"/>
          <w:szCs w:val="26"/>
          <w:lang w:val="ru-RU"/>
        </w:rPr>
        <w:t xml:space="preserve"> </w:t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21" w:name="_Toc54643699"/>
      <w:r>
        <w:rPr>
          <w:sz w:val="26"/>
          <w:szCs w:val="26"/>
        </w:rPr>
        <w:t>Таблица 1. Перечень объектов заказчика</w:t>
      </w:r>
      <w:bookmarkEnd w:id="21"/>
    </w:p>
    <w:tbl>
      <w:tblPr>
        <w:tblW w:w="102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17"/>
        <w:gridCol w:w="2864"/>
        <w:gridCol w:w="2682"/>
        <w:gridCol w:w="2128"/>
        <w:gridCol w:w="1709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Расположение объекта </w:t>
              <w:br/>
            </w:r>
            <w:r>
              <w:rPr>
                <w:i/>
                <w:iCs/>
                <w:sz w:val="26"/>
                <w:szCs w:val="26"/>
              </w:rPr>
              <w:t>(место оказания услуг)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>
        <w:trPr>
          <w:trHeight w:val="1023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both"/>
              <w:rPr/>
            </w:pPr>
            <w:r>
              <w:rPr/>
              <w:t>ОКПД2: 68.20.12 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г. Хабаровск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менее 54 единиц транспортных средств (грузовых, спецтехника)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bookmarkStart w:id="22" w:name="_Toc51339693"/>
      <w:bookmarkStart w:id="23" w:name="_Toc54643702"/>
      <w:r>
        <w:rPr>
          <w:sz w:val="26"/>
          <w:szCs w:val="26"/>
          <w:lang w:val="ru-RU"/>
        </w:rPr>
        <w:t>Требования</w:t>
      </w:r>
      <w:r>
        <w:rPr>
          <w:sz w:val="26"/>
          <w:szCs w:val="26"/>
        </w:rPr>
        <w:t xml:space="preserve"> к продукции</w:t>
      </w:r>
      <w:bookmarkEnd w:id="22"/>
      <w:bookmarkEnd w:id="23"/>
    </w:p>
    <w:p>
      <w:pPr>
        <w:pStyle w:val="Heading4"/>
        <w:numPr>
          <w:ilvl w:val="1"/>
          <w:numId w:val="3"/>
        </w:numPr>
        <w:ind w:left="432" w:hanging="0"/>
        <w:rPr>
          <w:sz w:val="26"/>
          <w:szCs w:val="26"/>
        </w:rPr>
      </w:pPr>
      <w:bookmarkStart w:id="24" w:name="_Toc54643703"/>
      <w:r>
        <w:rPr>
          <w:sz w:val="26"/>
          <w:szCs w:val="26"/>
        </w:rPr>
        <w:t xml:space="preserve">Требования к объемам и срокам </w:t>
      </w:r>
      <w:r>
        <w:rPr>
          <w:sz w:val="26"/>
          <w:szCs w:val="26"/>
          <w:lang w:val="ru-RU"/>
        </w:rPr>
        <w:t>оказания услуг</w:t>
      </w:r>
      <w:bookmarkEnd w:id="24"/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bookmarkStart w:id="25" w:name="_Toc54643704"/>
      <w:r>
        <w:rPr>
          <w:sz w:val="26"/>
          <w:szCs w:val="26"/>
        </w:rPr>
        <w:t>Требования к перечню и объему услуг</w:t>
      </w:r>
      <w:bookmarkEnd w:id="25"/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26" w:name="_Toc54643705"/>
      <w:bookmarkStart w:id="27" w:name="_Toc51339695"/>
      <w:r>
        <w:rPr>
          <w:sz w:val="26"/>
          <w:szCs w:val="26"/>
        </w:rPr>
        <w:t xml:space="preserve">Таблица 2. Перечень </w:t>
      </w:r>
      <w:bookmarkEnd w:id="27"/>
      <w:r>
        <w:rPr>
          <w:sz w:val="26"/>
          <w:szCs w:val="26"/>
        </w:rPr>
        <w:t>и объем оказываемых услуг</w:t>
      </w:r>
      <w:bookmarkEnd w:id="26"/>
    </w:p>
    <w:tbl>
      <w:tblPr>
        <w:tblW w:w="102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675"/>
        <w:gridCol w:w="5113"/>
        <w:gridCol w:w="2199"/>
        <w:gridCol w:w="221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 / этапа услуг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37" w:leader="none"/>
                <w:tab w:val="left" w:pos="462" w:leader="none"/>
              </w:tabs>
              <w:suppressAutoHyphens w:val="true"/>
              <w:ind w:left="37" w:right="27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7" w:leader="none"/>
                <w:tab w:val="left" w:pos="462" w:leader="none"/>
              </w:tabs>
              <w:suppressAutoHyphens w:val="true"/>
              <w:ind w:left="37" w:right="27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7" w:leader="none"/>
                <w:tab w:val="left" w:pos="462" w:leader="none"/>
              </w:tabs>
              <w:suppressAutoHyphens w:val="true"/>
              <w:ind w:left="37" w:right="27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ОКПД2: 68.20.12 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м2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менее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6"/>
                <w:szCs w:val="26"/>
                <w:u w:val="none"/>
                <w:em w:val="none"/>
              </w:rPr>
              <w:t>1901,30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>Требования к срокам 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sz w:val="26"/>
          <w:szCs w:val="26"/>
        </w:rPr>
      </w:pPr>
      <w:bookmarkStart w:id="28" w:name="_Toc54643707"/>
      <w:bookmarkStart w:id="29" w:name="_Toc51339697"/>
      <w:bookmarkStart w:id="30" w:name="_Toc50125127"/>
      <w:bookmarkStart w:id="31" w:name="_Toc50125126_Копия_1"/>
      <w:bookmarkEnd w:id="31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32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29"/>
      <w:bookmarkEnd w:id="30"/>
      <w:bookmarkEnd w:id="32"/>
      <w:r>
        <w:rPr>
          <w:sz w:val="26"/>
          <w:szCs w:val="26"/>
          <w:lang w:val="ru-RU"/>
        </w:rPr>
        <w:t>оказания услуг</w:t>
      </w:r>
      <w:bookmarkEnd w:id="28"/>
    </w:p>
    <w:tbl>
      <w:tblPr>
        <w:tblW w:w="1020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5113"/>
        <w:gridCol w:w="2199"/>
        <w:gridCol w:w="2212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услуг/ этапа услуг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 к началу срока оказания услуг/ этапа услуг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ind w:left="36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360" w:hang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ListParagraph"/>
              <w:widowControl w:val="false"/>
              <w:suppressAutoHyphens w:val="true"/>
              <w:ind w:left="360" w:hanging="0"/>
              <w:jc w:val="center"/>
              <w:rPr/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ОКПД2: 68.20.12 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01.09.2027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31.07.2028</w:t>
            </w:r>
          </w:p>
        </w:tc>
      </w:tr>
    </w:tbl>
    <w:p>
      <w:pPr>
        <w:sectPr>
          <w:headerReference w:type="even" r:id="rId2"/>
          <w:headerReference w:type="default" r:id="rId3"/>
          <w:type w:val="nextPage"/>
          <w:pgSz w:w="11906" w:h="16838"/>
          <w:pgMar w:left="1134" w:right="851" w:gutter="0" w:header="254" w:top="311" w:footer="0" w:bottom="1276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432" w:hanging="0"/>
        <w:jc w:val="both"/>
        <w:rPr>
          <w:sz w:val="26"/>
          <w:szCs w:val="26"/>
        </w:rPr>
      </w:pPr>
      <w:bookmarkStart w:id="33" w:name="_Toc54643709"/>
      <w:bookmarkStart w:id="34" w:name="_Toc51339698"/>
      <w:bookmarkStart w:id="35" w:name="_Toc50125131"/>
      <w:bookmarkStart w:id="36" w:name="_Toc54643708"/>
      <w:bookmarkStart w:id="37" w:name="_Toc46743511"/>
      <w:bookmarkStart w:id="38" w:name="_Toc46743510_Копия_1_Копия_1_Копия_1"/>
      <w:bookmarkStart w:id="39" w:name="_Toc46743510_Копия_1_Копия_1_Копия_1_Коп"/>
      <w:bookmarkStart w:id="40" w:name="_Toc46743510_Копия_1_Копия_1"/>
      <w:bookmarkStart w:id="41" w:name="_Toc46743510_Копия_1_Копия_1_Копия_1_Коп"/>
      <w:bookmarkEnd w:id="38"/>
      <w:bookmarkEnd w:id="39"/>
      <w:bookmarkEnd w:id="40"/>
      <w:bookmarkEnd w:id="41"/>
      <w:r>
        <w:rPr>
          <w:sz w:val="26"/>
          <w:szCs w:val="26"/>
        </w:rPr>
        <w:t xml:space="preserve">Требования к </w:t>
      </w:r>
      <w:bookmarkEnd w:id="37"/>
      <w:r>
        <w:rPr>
          <w:sz w:val="26"/>
          <w:szCs w:val="26"/>
          <w:lang w:val="ru-RU"/>
        </w:rPr>
        <w:t>качеству услуг</w:t>
      </w:r>
      <w:bookmarkEnd w:id="36"/>
      <w:r>
        <w:rPr>
          <w:sz w:val="26"/>
          <w:szCs w:val="26"/>
          <w:lang w:val="ru-RU"/>
        </w:rPr>
        <w:t xml:space="preserve">: </w:t>
      </w:r>
      <w:r>
        <w:rPr>
          <w:b w:val="false"/>
          <w:bCs w:val="false"/>
          <w:sz w:val="26"/>
          <w:szCs w:val="26"/>
          <w:lang w:val="ru-RU"/>
        </w:rPr>
        <w:t>ОКПД2: 68.20.12 Аренда нежилого отапливаемого помещения (гаража) с прилегающей территорией для размещения спецтехники и офисным помещением для ИТР в г. Хабаровск для нужд Хабаровского транспортного участка Дальневосточного филиала АО "ТК РусГидро"</w:t>
      </w:r>
    </w:p>
    <w:p>
      <w:pPr>
        <w:pStyle w:val="Heading1"/>
        <w:numPr>
          <w:ilvl w:val="0"/>
          <w:numId w:val="0"/>
        </w:numPr>
        <w:ind w:left="0" w:hanging="0"/>
        <w:jc w:val="both"/>
        <w:rPr>
          <w:sz w:val="26"/>
          <w:szCs w:val="26"/>
        </w:rPr>
      </w:pPr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bookmarkEnd w:id="34"/>
      <w:bookmarkEnd w:id="35"/>
      <w:r>
        <w:rPr>
          <w:sz w:val="26"/>
          <w:szCs w:val="26"/>
          <w:lang w:val="ru-RU"/>
        </w:rPr>
        <w:t>качеству услуг</w:t>
      </w:r>
      <w:bookmarkEnd w:id="33"/>
      <w:r>
        <w:rPr>
          <w:sz w:val="26"/>
          <w:szCs w:val="26"/>
          <w:lang w:val="ru-RU"/>
        </w:rPr>
        <w:t>:</w:t>
      </w:r>
      <w:r>
        <w:rPr>
          <w:sz w:val="26"/>
          <w:szCs w:val="26"/>
        </w:rPr>
        <w:t xml:space="preserve"> </w:t>
      </w:r>
    </w:p>
    <w:tbl>
      <w:tblPr>
        <w:tblStyle w:val="af"/>
        <w:tblW w:w="150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0"/>
        <w:gridCol w:w="3402"/>
        <w:gridCol w:w="4368"/>
        <w:gridCol w:w="25"/>
        <w:gridCol w:w="11"/>
        <w:gridCol w:w="2361"/>
        <w:gridCol w:w="25"/>
        <w:gridCol w:w="14"/>
        <w:gridCol w:w="10"/>
        <w:gridCol w:w="2227"/>
        <w:gridCol w:w="15"/>
        <w:gridCol w:w="12"/>
        <w:gridCol w:w="12"/>
        <w:gridCol w:w="1693"/>
      </w:tblGrid>
      <w:tr>
        <w:trPr>
          <w:trHeight w:val="551" w:hRule="atLeast"/>
        </w:trPr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п/п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Требование заказчика</w:t>
            </w:r>
          </w:p>
        </w:tc>
        <w:tc>
          <w:tcPr>
            <w:tcW w:w="4675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32" w:right="-8" w:firstLine="708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626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439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bookmarkStart w:id="42" w:name="_Toc53499667"/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1</w:t>
            </w:r>
            <w:bookmarkEnd w:id="42"/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2</w:t>
            </w:r>
          </w:p>
        </w:tc>
        <w:tc>
          <w:tcPr>
            <w:tcW w:w="43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3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en-US" w:eastAsia="ru-RU" w:bidi="ar-SA"/>
              </w:rPr>
              <w:t>4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en-US" w:eastAsia="ru-RU" w:bidi="ar-SA"/>
              </w:rPr>
              <w:t>5</w:t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en-US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1.1.1.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hanging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Требование к сдаваемым в субаренду помещениям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Функционирование всех инженерно-технических систем и коммуникаций, в том числе: холодное водоснабжение, канализация, отопление, электроснабжение.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1.1.2.</w:t>
            </w:r>
          </w:p>
        </w:tc>
        <w:tc>
          <w:tcPr>
            <w:tcW w:w="780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В стоимость арендной платы должны быть включены: оплата за пользование нежилыми помещениями, уличной прилегающей территории по периметру помещения, а также затраты арендодателя на коммунальные услуги (водоснабжение, водоотведение, отопление и т.п.), уборку территории, вывоз мусора, охрану территории. Оплата за электроэнергию может входить в арендную плату, либо оплачиваться арендатором на основании показаний счетчиков</w:t>
            </w:r>
          </w:p>
        </w:tc>
        <w:tc>
          <w:tcPr>
            <w:tcW w:w="24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291" w:hRule="atLeast"/>
        </w:trPr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1.1.3.</w:t>
            </w:r>
          </w:p>
        </w:tc>
        <w:tc>
          <w:tcPr>
            <w:tcW w:w="780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Требование к площади сдаваемых в аренду помещений:</w:t>
            </w:r>
          </w:p>
        </w:tc>
        <w:tc>
          <w:tcPr>
            <w:tcW w:w="24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  <w:tc>
          <w:tcPr>
            <w:tcW w:w="226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  <w:tc>
          <w:tcPr>
            <w:tcW w:w="1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</w:tr>
      <w:tr>
        <w:trPr>
          <w:trHeight w:val="300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Площадь крытого помещения для хранения ТС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Не менее 1256,30 м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50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Площадь территории для уличного хранения ТС и спецтехники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Не менее 575 м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250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Площадь офисного помещения для размещения ИТР Хабаровского ТУ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Не менее 30 м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76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Площадь  помещения для хранения ТМЦ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Не менее 40 м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76" w:hRule="atLeast"/>
        </w:trPr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1.1.4.</w:t>
            </w:r>
          </w:p>
        </w:tc>
        <w:tc>
          <w:tcPr>
            <w:tcW w:w="7795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Требование к оборудованию сдаваемых в субаренду помещений: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-//-</w:t>
            </w:r>
          </w:p>
        </w:tc>
      </w:tr>
      <w:tr>
        <w:trPr>
          <w:trHeight w:val="376" w:hRule="atLeast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крытое помещение для хранения ТС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Наличие подъемника и смотровой канавы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76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1.1.5.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к помещениям для хранения ТС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Нежилые крытые помещения должны соответствовать производственному назначению и быть пригодны для эксплуатации, в том числе отвечать требованиям в области промышленной и пожарной безопасности, охраны труда и окружающей среды.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376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1.1.6.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к санитарно-бытовым помещениям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Санитарно-бытовые помещения, предназначенные для обеспечения личной гигиены работников, должны быть оборудованы водопроводом, канализацией и отоплением.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563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1.1.7.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Наличие освещения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Times New Roman" w:cs="Times New Roman"/>
                <w:b w:val="false"/>
                <w:kern w:val="0"/>
                <w:sz w:val="26"/>
                <w:szCs w:val="26"/>
                <w:lang w:val="ru-RU" w:eastAsia="ru-RU" w:bidi="ar-SA"/>
              </w:rPr>
              <w:t>Согласно общепринятым нормам по СНиП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9" w:hanging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1.1.8.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Температурный режим в помещении для размещения ИТР, санитарно-бытовых помещениях, помещении для приема пищи, помещении для хранения спецодежды.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Не менее +18 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</w:t>
            </w:r>
          </w:p>
        </w:tc>
        <w:tc>
          <w:tcPr>
            <w:tcW w:w="239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6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1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ind w:left="29" w:hanging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1.1.9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Температурный режим в крытом помещении для хранения ТС</w:t>
            </w:r>
          </w:p>
        </w:tc>
        <w:tc>
          <w:tcPr>
            <w:tcW w:w="43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Не менее +10 </w:t>
            </w:r>
            <w:r>
              <w:rPr>
                <w:rFonts w:eastAsia="Times New Roman" w:cs="Times New Roman"/>
                <w:kern w:val="0"/>
                <w:sz w:val="26"/>
                <w:szCs w:val="26"/>
                <w:vertAlign w:val="superscript"/>
                <w:lang w:val="ru-RU" w:eastAsia="ru-RU" w:bidi="ar-SA"/>
              </w:rPr>
              <w:t>0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</w:t>
            </w:r>
          </w:p>
        </w:tc>
        <w:tc>
          <w:tcPr>
            <w:tcW w:w="239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278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val="ru-RU" w:eastAsia="ru-RU" w:bidi="ar-SA"/>
              </w:rPr>
              <w:t>1.2.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1.2.1.</w:t>
            </w:r>
          </w:p>
        </w:tc>
        <w:tc>
          <w:tcPr>
            <w:tcW w:w="7806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арендодатель обязан своевременно сообщать арендатору о возникновении обстоятельств, способных негативно повлиять на оказание услуг</w:t>
            </w:r>
          </w:p>
        </w:tc>
        <w:tc>
          <w:tcPr>
            <w:tcW w:w="24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662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1.2.2.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Требования к пропускному режиму предприятия арендодателя</w:t>
            </w:r>
          </w:p>
        </w:tc>
        <w:tc>
          <w:tcPr>
            <w:tcW w:w="4393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Доступ на территорию предприятия арендодателя (заезд и выезд) в любое время суток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val="ru-RU" w:eastAsia="ru-RU" w:bidi="ar-SA"/>
              </w:rPr>
              <w:t>2.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val="ru-RU" w:eastAsia="ru-RU" w:bidi="ar-SA"/>
              </w:rPr>
              <w:t>2.1.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>
          <w:trHeight w:val="428" w:hRule="atLeast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2.1.1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Результат оказания услуг</w:t>
            </w:r>
          </w:p>
        </w:tc>
        <w:tc>
          <w:tcPr>
            <w:tcW w:w="43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 xml:space="preserve">аренда нежилого отапливаемого помещения  с уличной прилегающей территорией для размещения не менее 54 единиц ТС, а также </w:t>
            </w: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6"/>
                <w:szCs w:val="26"/>
                <w:lang w:val="ru-RU" w:eastAsia="ru-RU" w:bidi="ar-SA"/>
              </w:rPr>
              <w:t xml:space="preserve">складских, бытовых и </w:t>
            </w: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офисных помещений для размещения ИТР.</w:t>
            </w:r>
          </w:p>
        </w:tc>
        <w:tc>
          <w:tcPr>
            <w:tcW w:w="2397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7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32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 w:eastAsia="ru-RU" w:bidi="ar-SA"/>
              </w:rPr>
              <w:t>2.2.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2.2.1</w:t>
            </w:r>
          </w:p>
        </w:tc>
        <w:tc>
          <w:tcPr>
            <w:tcW w:w="7806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За оказанные услуги арендодатель ежемесячно направляет арендатору подписанные со своей стороны документы, описывающие результат оказания услуг.</w:t>
            </w:r>
          </w:p>
        </w:tc>
        <w:tc>
          <w:tcPr>
            <w:tcW w:w="2410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val="ru-RU" w:eastAsia="ru-RU" w:bidi="ar-SA"/>
              </w:rPr>
              <w:t>2.3.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2.3.1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43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арендодатель передает арендатору акт сдачи-приемки оказанных услуг в двух экземплярах.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 w:eastAsia="ru-RU" w:bidi="ar-SA"/>
              </w:rPr>
              <w:t>2.3.2.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Счет на оплату</w:t>
            </w:r>
          </w:p>
        </w:tc>
        <w:tc>
          <w:tcPr>
            <w:tcW w:w="439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арендодатель передает арендатору счет на оплату после оказания услуги.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>
          <w:trHeight w:val="954" w:hRule="atLeast"/>
        </w:trPr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2.3.3.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439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арендодатель передает арендатору счет-фактуру (если арендатор является плательщиком НДС)</w:t>
            </w:r>
          </w:p>
        </w:tc>
        <w:tc>
          <w:tcPr>
            <w:tcW w:w="2411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4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70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b/>
                <w:kern w:val="0"/>
                <w:sz w:val="26"/>
                <w:szCs w:val="26"/>
                <w:lang w:val="ru-RU" w:eastAsia="ru-RU" w:bidi="ar-SA"/>
              </w:rPr>
              <w:t>3.</w:t>
            </w:r>
          </w:p>
        </w:tc>
        <w:tc>
          <w:tcPr>
            <w:tcW w:w="14175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sz w:val="26"/>
                <w:szCs w:val="26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kern w:val="0"/>
                <w:sz w:val="26"/>
                <w:szCs w:val="26"/>
                <w:lang w:val="ru-RU" w:eastAsia="ru-RU" w:bidi="ar-SA"/>
              </w:rPr>
              <w:t>3.1.</w:t>
            </w:r>
          </w:p>
        </w:tc>
        <w:tc>
          <w:tcPr>
            <w:tcW w:w="7806" w:type="dxa"/>
            <w:gridSpan w:val="4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uppressAutoHyphens w:val="true"/>
              <w:spacing w:before="0" w:after="0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Наличие у арендодателя права собственности на помещения, сдаваемые в субаренду, либо иных законных оснований. На момент заключения договора нежилые помещения, передаваемые в субаренду, не заложены, не арестованы, не являются предметом исков третьих лиц.</w:t>
            </w:r>
          </w:p>
        </w:tc>
        <w:tc>
          <w:tcPr>
            <w:tcW w:w="2400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7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169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276" w:right="992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0" w:hanging="0"/>
        <w:jc w:val="center"/>
        <w:rPr>
          <w:sz w:val="26"/>
          <w:szCs w:val="26"/>
        </w:rPr>
      </w:pPr>
      <w:r>
        <w:rPr>
          <w:sz w:val="26"/>
          <w:szCs w:val="26"/>
        </w:rPr>
        <w:t>Требования к документации по ценообразованию на этапе закупки</w:t>
      </w:r>
    </w:p>
    <w:p>
      <w:pPr>
        <w:pStyle w:val="Heading4"/>
        <w:numPr>
          <w:ilvl w:val="1"/>
          <w:numId w:val="3"/>
        </w:numPr>
        <w:ind w:left="432" w:hanging="0"/>
        <w:jc w:val="both"/>
        <w:rPr>
          <w:sz w:val="26"/>
          <w:szCs w:val="26"/>
        </w:rPr>
      </w:pPr>
      <w:r>
        <w:rPr>
          <w:b w:val="false"/>
          <w:sz w:val="26"/>
          <w:szCs w:val="26"/>
        </w:rPr>
        <w:t>Общая цена за единицу услуг остаётся фиксированной на весь срок действия договора и не подлежит изменению;</w:t>
      </w:r>
    </w:p>
    <w:p>
      <w:pPr>
        <w:pStyle w:val="Heading4"/>
        <w:numPr>
          <w:ilvl w:val="1"/>
          <w:numId w:val="3"/>
        </w:numPr>
        <w:ind w:left="432" w:hanging="0"/>
        <w:jc w:val="both"/>
        <w:rPr>
          <w:sz w:val="26"/>
          <w:szCs w:val="26"/>
        </w:rPr>
      </w:pPr>
      <w:r>
        <w:rPr>
          <w:b w:val="false"/>
          <w:sz w:val="26"/>
          <w:szCs w:val="26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Heading4"/>
        <w:numPr>
          <w:ilvl w:val="0"/>
          <w:numId w:val="0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</w:r>
    </w:p>
    <w:p>
      <w:pPr>
        <w:pStyle w:val="Normal"/>
        <w:rPr>
          <w:sz w:val="26"/>
          <w:szCs w:val="26"/>
        </w:rPr>
      </w:pPr>
      <w:r>
        <w:rPr>
          <w:iCs/>
          <w:sz w:val="26"/>
          <w:szCs w:val="26"/>
        </w:rPr>
      </w:r>
    </w:p>
    <w:p>
      <w:pPr>
        <w:pStyle w:val="Normal"/>
        <w:rPr>
          <w:iCs/>
          <w:sz w:val="26"/>
          <w:szCs w:val="26"/>
        </w:rPr>
      </w:pPr>
      <w:r>
        <w:rPr>
          <w:iCs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994" w:footer="0" w:bottom="1276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11a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numPr>
        <w:ilvl w:val="2"/>
        <w:numId w:val="3"/>
      </w:numPr>
      <w:ind w:left="0" w:hanging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character" w:styleId="Style15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8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6B0DC-120D-4584-B6E5-4DA6AD8F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AlterOffice/3.4.0.9$Linux_X86_64 LibreOffice_project/b8daf9e823b1a5463a2f48435ddc2e8696e7d4fc</Application>
  <AppVersion>15.0000</AppVersion>
  <DocSecurity>4</DocSecurity>
  <Pages>9</Pages>
  <Words>1029</Words>
  <Characters>6754</Characters>
  <CharactersWithSpaces>7591</CharactersWithSpaces>
  <Paragraphs>192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2024-09-03T07:09:00Z</dcterms:created>
  <dc:creator>Быстров Олег Геннадьевич</dc:creator>
  <dc:description/>
  <dc:language>ru-RU</dc:language>
  <cp:lastModifiedBy>yakovlevel@corp.gidroogk.com</cp:lastModifiedBy>
  <cp:lastPrinted>2024-11-28T13:26:56Z</cp:lastPrinted>
  <dcterms:modified xsi:type="dcterms:W3CDTF">2026-09-08T16:15:22Z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