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mbeddings/oleObject1.xlsx" ContentType="application/vnd.openxmlformats-officedocument.spreadsheetml.sheet"/>
  <Override PartName="/word/media/image1.wmf" ContentType="image/x-wmf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843" w:hanging="1843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Приложение № </w:t>
      </w:r>
      <w:r>
        <w:rPr>
          <w:rFonts w:ascii="Times New Roman" w:hAnsi="Times New Roman"/>
          <w:iCs/>
          <w:sz w:val="24"/>
          <w:szCs w:val="24"/>
        </w:rPr>
        <w:t>5</w:t>
      </w:r>
      <w:r>
        <w:rPr>
          <w:rFonts w:ascii="Times New Roman" w:hAnsi="Times New Roman"/>
          <w:iCs/>
          <w:sz w:val="24"/>
          <w:szCs w:val="24"/>
        </w:rPr>
        <w:t xml:space="preserve"> к ТТ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bookmarkStart w:id="0" w:name="_Toc54643713"/>
      <w:bookmarkStart w:id="1" w:name="_Toc54464115"/>
      <w:bookmarkStart w:id="2" w:name="_Toc54459816"/>
      <w:bookmarkStart w:id="3" w:name="_Toc54451385"/>
      <w:r>
        <w:rPr>
          <w:rFonts w:ascii="Times New Roman" w:hAnsi="Times New Roman"/>
          <w:b/>
        </w:rPr>
        <w:t>Требования к оформлению и составлению документации по ценообразованию</w:t>
      </w:r>
      <w:bookmarkEnd w:id="0"/>
      <w:bookmarkEnd w:id="1"/>
      <w:bookmarkEnd w:id="2"/>
      <w:bookmarkEnd w:id="3"/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Требования к оформлению и составлению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расчетов на выполнение работ/услуг по программе технического обслуживания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энергооборудования, сетей, зданий и сооружений.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 xml:space="preserve">Общая часть 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Настоящие требования разработаны для единого подхода к оформлению и составлению расчетов на оказание услуг по программе технического обслуживания энергооборудования, сетей, зданий и сооружений (далее – ТО). 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Расчет стоимости выполнения работ/услуг по ТО составляется на основани</w:t>
      </w:r>
      <w:bookmarkStart w:id="4" w:name="_GoBack"/>
      <w:bookmarkEnd w:id="4"/>
      <w:r>
        <w:rPr>
          <w:rFonts w:ascii="Times New Roman" w:hAnsi="Times New Roman"/>
        </w:rPr>
        <w:t xml:space="preserve">и технических требований (далее – ТТ) филиалов и ПО ПАО «РусГидро». </w:t>
      </w:r>
      <w:r>
        <w:rPr>
          <w:rFonts w:ascii="Times New Roman" w:hAnsi="Times New Roman"/>
          <w:b/>
        </w:rPr>
        <w:t>Специалистами технической службы филиалов и ПО заполняется форма «Перечень типовых работ по Техническому обслуживанию» (приложение №1)</w:t>
      </w:r>
      <w:r>
        <w:rPr>
          <w:rFonts w:ascii="Times New Roman" w:hAnsi="Times New Roman"/>
        </w:rPr>
        <w:t>, в которой указываются исходные данные, необходимые для определения стоимости ТО: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производственный актив;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наименование/состав типовой работы;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воздействий на единицу оборудования;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единиц оборудования;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периодичность выполнения работ;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номенклатура материально-технических ресурсов;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номенклатура механизмов.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определения стоимости выполнения работ/услуг по ТО необходимо определить следующие затраты: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оплата труда рабочих, накладные расходы и сметная прибыль;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материалов;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механизмов.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tabs>
          <w:tab w:val="clear" w:pos="709"/>
          <w:tab w:val="left" w:pos="900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>Методы расчета и индексация стоимости.</w:t>
      </w:r>
    </w:p>
    <w:p>
      <w:pPr>
        <w:pStyle w:val="ConsPlusNormal1"/>
        <w:widowControl/>
        <w:shd w:val="clear" w:color="auto" w:fill="FFFFFF" w:themeFill="background1"/>
        <w:tabs>
          <w:tab w:val="clear" w:pos="709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Определение сметной стоимости работ при техническом обслуживания выполняется:</w:t>
      </w:r>
    </w:p>
    <w:p>
      <w:pPr>
        <w:pStyle w:val="ConsPlusNormal1"/>
        <w:widowControl/>
        <w:tabs>
          <w:tab w:val="clear" w:pos="709"/>
          <w:tab w:val="left" w:pos="426" w:leader="none"/>
          <w:tab w:val="left" w:pos="1134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Ресурсно-индексным методом </w:t>
      </w:r>
      <w:r>
        <w:rPr>
          <w:rFonts w:cs="Times New Roman" w:ascii="Times New Roman" w:hAnsi="Times New Roman"/>
          <w:sz w:val="22"/>
          <w:szCs w:val="22"/>
        </w:rPr>
        <w:t xml:space="preserve">- 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ФГИС ЦС, а также индексов изменения сметной стоимости к группам однородных строительных ресурсов и отдельных видов прочих работ и затрат в базисном уровне цен.  Сметная стоимость, определенная с применением ресурсно-индексного метода, приводится в ЛСР (ЛС) в </w:t>
      </w:r>
      <w:r>
        <w:rPr>
          <w:rFonts w:cs="Times New Roman" w:ascii="Times New Roman" w:hAnsi="Times New Roman"/>
          <w:b/>
          <w:sz w:val="22"/>
          <w:szCs w:val="22"/>
        </w:rPr>
        <w:t>текущем уровне цен</w:t>
      </w:r>
      <w:r>
        <w:rPr>
          <w:rFonts w:cs="Times New Roman" w:ascii="Times New Roman" w:hAnsi="Times New Roman"/>
          <w:sz w:val="22"/>
          <w:szCs w:val="22"/>
        </w:rPr>
        <w:t xml:space="preserve">. </w:t>
      </w:r>
    </w:p>
    <w:p>
      <w:pPr>
        <w:pStyle w:val="ConsPlusNormal1"/>
        <w:widowControl/>
        <w:tabs>
          <w:tab w:val="clear" w:pos="709"/>
          <w:tab w:val="left" w:pos="851" w:leader="none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PlusNormal1"/>
        <w:widowControl/>
        <w:tabs>
          <w:tab w:val="clear" w:pos="709"/>
          <w:tab w:val="left" w:pos="1134" w:leader="none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  <w:u w:val="single"/>
        </w:rPr>
        <w:t>Для ресурсно-индексного метода: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индексы</w:t>
      </w:r>
      <w:r>
        <w:rPr>
          <w:rFonts w:cs="Times New Roman" w:ascii="Times New Roman" w:hAnsi="Times New Roman"/>
          <w:b/>
          <w:sz w:val="22"/>
          <w:szCs w:val="22"/>
        </w:rPr>
        <w:t xml:space="preserve"> к отдельным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строительным ресурсам</w:t>
      </w:r>
      <w:r>
        <w:rPr>
          <w:rFonts w:cs="Times New Roman" w:ascii="Times New Roman" w:hAnsi="Times New Roman"/>
          <w:sz w:val="22"/>
          <w:szCs w:val="22"/>
        </w:rPr>
        <w:t xml:space="preserve">, индексы к </w:t>
      </w:r>
      <w:r>
        <w:rPr>
          <w:rFonts w:cs="Times New Roman" w:ascii="Times New Roman" w:hAnsi="Times New Roman"/>
          <w:b/>
          <w:sz w:val="22"/>
          <w:szCs w:val="22"/>
        </w:rPr>
        <w:t>группам строительных ресурсов (индексы к сметной стоимости отдельных материалов, изделий, конструкций, оборудования, эксплуатации машин и механизмов или к стоимости однородных групп таких строительных ресурсов)</w:t>
      </w:r>
      <w:r>
        <w:rPr>
          <w:rFonts w:cs="Times New Roman" w:ascii="Times New Roman" w:hAnsi="Times New Roman"/>
          <w:sz w:val="22"/>
          <w:szCs w:val="22"/>
        </w:rPr>
        <w:t>;</w:t>
      </w:r>
    </w:p>
    <w:p>
      <w:pPr>
        <w:pStyle w:val="ConsPlusNormal1"/>
        <w:widowControl/>
        <w:tabs>
          <w:tab w:val="clear" w:pos="709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В сметных расчетах </w:t>
      </w:r>
      <w:r>
        <w:rPr>
          <w:rFonts w:cs="Times New Roman" w:ascii="Times New Roman" w:hAnsi="Times New Roman"/>
          <w:sz w:val="22"/>
          <w:szCs w:val="22"/>
        </w:rPr>
        <w:t>на этап работ допускается использовать прогнозные среднегодовые индексы-дефляторы поданным Единых сценарных условий</w:t>
      </w:r>
      <w:r>
        <w:rPr>
          <w:rFonts w:cs="Times New Roman" w:ascii="Times New Roman" w:hAnsi="Times New Roman"/>
          <w:b/>
          <w:sz w:val="22"/>
          <w:szCs w:val="22"/>
        </w:rPr>
        <w:t xml:space="preserve">. Для пересчета сметной стоимости в прогнозный уровень цен применяются индексы: по строке </w:t>
      </w:r>
      <w:r>
        <w:rPr>
          <w:rFonts w:cs="Times New Roman" w:ascii="Times New Roman" w:hAnsi="Times New Roman"/>
          <w:b/>
          <w:sz w:val="22"/>
          <w:szCs w:val="22"/>
          <w:lang w:eastAsia="en-US"/>
        </w:rPr>
        <w:t>индекс-дефлятор промышленной продукции (прогноз – «базовый»)</w:t>
      </w:r>
      <w:r>
        <w:rPr>
          <w:rFonts w:cs="Times New Roman" w:ascii="Times New Roman" w:hAnsi="Times New Roman"/>
          <w:b/>
          <w:sz w:val="22"/>
          <w:szCs w:val="22"/>
        </w:rPr>
        <w:t xml:space="preserve">, определенные в установленном порядке для Общества (в соответствии с планируемым периодом выполнения работ). </w:t>
      </w:r>
      <w:r>
        <w:rPr>
          <w:rFonts w:cs="Times New Roman" w:ascii="Times New Roman" w:hAnsi="Times New Roman"/>
          <w:sz w:val="22"/>
          <w:szCs w:val="22"/>
        </w:rPr>
        <w:t>Индексы</w:t>
      </w:r>
      <w:r>
        <w:rPr>
          <w:rFonts w:cs="Times New Roman" w:ascii="Times New Roman" w:hAnsi="Times New Roman"/>
          <w:color w:val="000000"/>
          <w:sz w:val="22"/>
          <w:szCs w:val="22"/>
        </w:rPr>
        <w:t>-дефляторы принимать без разбивки по кварталам/месяцам.</w:t>
      </w:r>
    </w:p>
    <w:p>
      <w:pPr>
        <w:pStyle w:val="ConsPlusNormal1"/>
        <w:widowControl/>
        <w:tabs>
          <w:tab w:val="clear" w:pos="709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  <w:r>
        <w:rPr>
          <w:rFonts w:cs="Times New Roman" w:ascii="Times New Roman" w:hAnsi="Times New Roman"/>
          <w:i/>
          <w:color w:val="000000"/>
          <w:sz w:val="22"/>
          <w:szCs w:val="22"/>
        </w:rPr>
        <w:t>Например, при проведении работ i-го этапа в 2023 г. при начале работ и составлении сметной документации в уровне цен 2021 г. и окончании работ в 2025г. должен быть учтен индекс-дефлятор на 2022 и 2023 год.</w:t>
      </w:r>
    </w:p>
    <w:p>
      <w:pPr>
        <w:pStyle w:val="ConsPlusNormal1"/>
        <w:widowControl/>
        <w:tabs>
          <w:tab w:val="clear" w:pos="709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Индексы-дефляторы учитывать в ЛСР дополнительным начислением к индексам. </w:t>
      </w:r>
    </w:p>
    <w:p>
      <w:pPr>
        <w:pStyle w:val="ConsPlusNormal1"/>
        <w:widowControl/>
        <w:tabs>
          <w:tab w:val="clear" w:pos="709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</w:t>
      </w:r>
      <w:r>
        <w:rPr>
          <w:rFonts w:ascii="Times New Roman" w:hAnsi="Times New Roman"/>
          <w:color w:val="000000"/>
          <w:sz w:val="22"/>
          <w:szCs w:val="22"/>
        </w:rPr>
        <w:t>до одного года (с момента подписания договора)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, то индекс-дефлятор не применяется. </w:t>
      </w:r>
    </w:p>
    <w:p>
      <w:pPr>
        <w:pStyle w:val="Normal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tabs>
          <w:tab w:val="clear" w:pos="709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>Оплата труда, накладные расходы и сметная прибыль.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Затраты на оплату труда определяются на основании трудоемкости, среднего разряда работы/услуги, стоимости человека-часа.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  <w:tab w:val="left" w:pos="1418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Трудоемкость определяется на основании расценок сборников, справочников: ЕНиР, ГЭСН, ведомственные сборники (ВНиР, ВУЕР, БЦ и т.д.), иные сборники, содержащие данные о трудоемкости выполняемых работ и т.д. В случае отсутствия расценок, допустимо трудозатраты принимать по фактическим данным, при обязательном согласовании их со специалистами технической службы филиала (ПО, станции).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выборе расценки следует руководствоваться следующими критериями: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работ в расценке должен соответствовать фактически выполняемой работе;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трудоемкость, соответствующая фактически выполняемой работе.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Средний разряд работы/услуги, рассчитанный как средневзвешенный с учетом удельного веса трудозатрат с соответствующим разрядом, указывается на основании принятых расценок.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Normal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расчете </w:t>
      </w:r>
      <w:r>
        <w:rPr>
          <w:rFonts w:ascii="Times New Roman" w:hAnsi="Times New Roman"/>
          <w:u w:val="single"/>
        </w:rPr>
        <w:t>ресурсно-индексным методом</w:t>
      </w:r>
      <w:r>
        <w:rPr>
          <w:rFonts w:ascii="Times New Roman" w:hAnsi="Times New Roman"/>
        </w:rPr>
        <w:t xml:space="preserve"> стоимость человеко-часа, соответствующая принятому разряду, определяется по ФГИС ЦС;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Накладные расходы принимать на работы по ТО принять по индивидуальным нормам в размере, не превышающем норму «Прочие ремонтно-строительные работы» - 92 % (в соответствии с Методикой по разработке и применению накладных расходов при определении сметной стоимости строительства, реконструкции, капитального ремонта, сноса объектов капитального строительства, введенной приказом Минстроя РФ от 21.12.2020 № 812/пр).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Сметную прибыль на работы по ТО принять по индивидуальной норме, не превышающей норму «Прочие ремонтно-строительные работы» - 44% (в соответствии с «Методикой по разработке и применению нормативов сметной прибыли при определении сметной стоимости строительства, реконструкции, капитального ремонта, сноса объектов капитального строительства»,</w:t>
      </w:r>
      <w:r>
        <w:rPr>
          <w:rFonts w:ascii="Times New Roman" w:hAnsi="Times New Roman"/>
          <w:color w:val="000000"/>
        </w:rPr>
        <w:t xml:space="preserve"> введенной </w:t>
      </w:r>
      <w:r>
        <w:rPr>
          <w:rFonts w:ascii="Times New Roman" w:hAnsi="Times New Roman"/>
        </w:rPr>
        <w:t xml:space="preserve">приказом Минстроя РФ от 11.12.2020 № 774/пр.). </w:t>
      </w:r>
    </w:p>
    <w:p>
      <w:pPr>
        <w:pStyle w:val="Normal"/>
        <w:tabs>
          <w:tab w:val="clear" w:pos="709"/>
          <w:tab w:val="left" w:pos="900" w:leader="none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 качестве базы для исчисления накладных расходов и сметной прибыли принимается величина средств на оплату труда</w:t>
      </w:r>
      <w:r>
        <w:rPr>
          <w:rFonts w:ascii="Times New Roman" w:hAnsi="Times New Roman"/>
          <w:b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tabs>
          <w:tab w:val="clear" w:pos="709"/>
          <w:tab w:val="left" w:pos="426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>Стоимость материалов и оборудования.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Норму расхода материально-технических ресурсов (далее–МТР) определять на основании принятых расценок в соответствии с номенклатурой, указанной в исходных данных.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МТР определять: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u w:val="single"/>
        </w:rPr>
        <w:t>при ресурсно-индексном методе</w:t>
      </w:r>
      <w:r>
        <w:rPr>
          <w:rFonts w:ascii="Times New Roman" w:hAnsi="Times New Roman"/>
        </w:rPr>
        <w:t xml:space="preserve"> по ФГИС ЦС.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отсутствии материалов в ССЦ и ФГИС ЦС допускается определять стоимость по наиболее  экономичному варианту, определенному на основании сбора информации о текущих ценах (конъектурный анализ)</w:t>
      </w:r>
      <w:r>
        <w:rPr>
          <w:rFonts w:ascii="Times New Roman" w:hAnsi="Times New Roman"/>
          <w:b/>
          <w:color w:val="FF0000"/>
        </w:rPr>
        <w:t>.</w:t>
      </w:r>
      <w:r>
        <w:rPr>
          <w:rFonts w:ascii="Times New Roman" w:hAnsi="Times New Roman"/>
        </w:rPr>
        <w:t xml:space="preserve"> </w:t>
      </w:r>
    </w:p>
    <w:p>
      <w:pPr>
        <w:pStyle w:val="ConsPlusNormal1"/>
        <w:widowControl/>
        <w:ind w:left="71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Транспортные затраты определяются следующими методами:</w:t>
      </w:r>
    </w:p>
    <w:p>
      <w:pPr>
        <w:pStyle w:val="ConsPlusNormal1"/>
        <w:widowControl/>
        <w:ind w:left="426" w:firstLine="141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по доставке материальных ресурсов </w:t>
      </w:r>
    </w:p>
    <w:p>
      <w:pPr>
        <w:pStyle w:val="ConsPlusNormal1"/>
        <w:numPr>
          <w:ilvl w:val="0"/>
          <w:numId w:val="9"/>
        </w:numPr>
        <w:ind w:left="1276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заказчика;</w:t>
      </w:r>
    </w:p>
    <w:p>
      <w:pPr>
        <w:pStyle w:val="ConsPlusNormal1"/>
        <w:numPr>
          <w:ilvl w:val="0"/>
          <w:numId w:val="9"/>
        </w:numPr>
        <w:ind w:left="1276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ConsPlusNormal1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наиболее  экономичному варианту, определенному на основании сбора информации о текущих ценах (конъектурный анализ).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left="927" w:hanging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0000"/>
        </w:rPr>
        <w:t>Заготовительно-складские расходы опре</w:t>
      </w:r>
      <w:r>
        <w:rPr>
          <w:rFonts w:ascii="Times New Roman" w:hAnsi="Times New Roman"/>
        </w:rPr>
        <w:t>деляется в процентах от суммы отпускной цены материалов, изделий, конструкций, оборудования и транспортных затрат</w:t>
      </w:r>
      <w:r>
        <w:rPr>
          <w:rFonts w:ascii="Times New Roman" w:hAnsi="Times New Roman"/>
          <w:color w:val="FF0000"/>
        </w:rPr>
        <w:t>: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360" w:hanging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2% -для материальных ресурсов (кроме металлоконструкций);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360" w:hanging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 0,75% -для металлоконструкций;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360" w:hanging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 1,2 % -для оборудования. 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транспортировка осуществляется заказчиком самостоятельно (самовывоз), данный показатель не учитывается.</w:t>
      </w:r>
    </w:p>
    <w:p>
      <w:pPr>
        <w:pStyle w:val="Normal"/>
        <w:tabs>
          <w:tab w:val="left" w:pos="709" w:leader="none"/>
          <w:tab w:val="left" w:pos="993" w:leader="none"/>
        </w:tabs>
        <w:spacing w:lineRule="auto" w:line="240" w:before="0" w:after="0"/>
        <w:ind w:left="426" w:hanging="0"/>
        <w:jc w:val="center"/>
        <w:rPr>
          <w:rFonts w:ascii="Times New Roman" w:hAnsi="Times New Roman"/>
          <w:i/>
          <w:i/>
        </w:rPr>
      </w:pPr>
      <w:r>
        <w:rPr>
          <w:rFonts w:ascii="Times New Roman" w:hAnsi="Times New Roman"/>
          <w:b/>
          <w:i/>
        </w:rPr>
        <w:t>Стоимость эксплуатации механизмов</w:t>
      </w:r>
      <w:r>
        <w:rPr>
          <w:rFonts w:ascii="Times New Roman" w:hAnsi="Times New Roman"/>
          <w:i/>
        </w:rPr>
        <w:t>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Норму работы механизмов (маш.-час) определять на основании принятых расценок, в соответствии с номенклатурой механизмов, указанной в исходных данных.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bookmarkStart w:id="5" w:name="P240"/>
      <w:bookmarkEnd w:id="5"/>
      <w:r>
        <w:rPr>
          <w:rFonts w:ascii="Times New Roman" w:hAnsi="Times New Roman"/>
        </w:rPr>
        <w:t>Стоимость эксплуатации машин и механизмов определять: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 xml:space="preserve">при ресурсно-индексном методе </w:t>
      </w:r>
      <w:r>
        <w:rPr>
          <w:rFonts w:ascii="Times New Roman" w:hAnsi="Times New Roman"/>
        </w:rPr>
        <w:t xml:space="preserve"> - по данным ФГИС ЦС;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отсутствии данных по строительным машинам и механизмам во ФГИС ЦС сметная цена их эксплуатации в текущем уровне рассчитывается как произведение сметной цены таких машин и механизмов в базисном уровне</w:t>
      </w:r>
      <w:r>
        <w:rPr>
          <w:rFonts w:ascii="Times New Roman" w:hAnsi="Times New Roman"/>
          <w:sz w:val="22"/>
        </w:rPr>
        <w:t xml:space="preserve"> цен (по ФСЭМ) </w:t>
      </w:r>
      <w:r>
        <w:rPr>
          <w:rFonts w:cs="Times New Roman" w:ascii="Times New Roman" w:hAnsi="Times New Roman"/>
          <w:sz w:val="22"/>
          <w:szCs w:val="22"/>
        </w:rPr>
        <w:t>и индексов к группам аналогичных машин и механизмов.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отсутствии механизмов во ФСЭМ допускается стоимость эксплуатации определять по наиболее  экономичному варианту, определенному на основании сбора информации о текущих ценах (конъектурный анализ)</w:t>
      </w:r>
      <w:r>
        <w:rPr>
          <w:rFonts w:ascii="Times New Roman" w:hAnsi="Times New Roman"/>
          <w:color w:val="000000"/>
        </w:rPr>
        <w:t>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12"/>
          <w:szCs w:val="12"/>
          <w:u w:val="single"/>
        </w:rPr>
      </w:pPr>
      <w:r>
        <w:rPr>
          <w:rFonts w:ascii="Times New Roman" w:hAnsi="Times New Roman"/>
          <w:b/>
          <w:sz w:val="12"/>
          <w:szCs w:val="12"/>
          <w:u w:val="single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>Командировочные расходы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 xml:space="preserve">При необходимости учета командировочных расходов в сметной документации составляется расчет. Размер суточных командировочных расходов определить в соответствии с </w:t>
      </w:r>
      <w:r>
        <w:rPr>
          <w:rFonts w:cs="Times New Roman" w:ascii="Times New Roman" w:hAnsi="Times New Roman"/>
          <w:sz w:val="22"/>
          <w:szCs w:val="22"/>
        </w:rPr>
        <w:t>законодательством РФ</w:t>
      </w:r>
      <w:r>
        <w:rPr>
          <w:rFonts w:ascii="Times New Roman" w:hAnsi="Times New Roman"/>
          <w:sz w:val="22"/>
        </w:rPr>
        <w:t xml:space="preserve"> и с учетом норм, определяемых внутренним документом организации.</w:t>
      </w:r>
    </w:p>
    <w:p>
      <w:pPr>
        <w:pStyle w:val="ConsPlusNormal1"/>
        <w:widowControl/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При производстве ТО лимиты командировочных расходов при командировании на территории, не относящиеся к районам Крайнего Севера и приравненных к ним местностям, принимать в размере </w:t>
      </w:r>
      <w:r>
        <w:rPr>
          <w:rFonts w:cs="Times New Roman" w:ascii="Times New Roman" w:hAnsi="Times New Roman"/>
          <w:color w:val="000000"/>
          <w:sz w:val="22"/>
          <w:szCs w:val="22"/>
          <w:u w:val="single"/>
        </w:rPr>
        <w:t>не более</w:t>
      </w:r>
      <w:r>
        <w:rPr>
          <w:rFonts w:cs="Times New Roman" w:ascii="Times New Roman" w:hAnsi="Times New Roman"/>
          <w:color w:val="000000"/>
          <w:sz w:val="22"/>
          <w:szCs w:val="22"/>
        </w:rPr>
        <w:t>:</w:t>
      </w:r>
    </w:p>
    <w:p>
      <w:pPr>
        <w:pStyle w:val="ConsPlusNormal1"/>
        <w:numPr>
          <w:ilvl w:val="0"/>
          <w:numId w:val="4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суточные – 700 руб./сутки;</w:t>
      </w:r>
    </w:p>
    <w:p>
      <w:pPr>
        <w:pStyle w:val="ConsPlusNormal1"/>
        <w:numPr>
          <w:ilvl w:val="0"/>
          <w:numId w:val="4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проживание – 500 руб./сутки;</w:t>
      </w:r>
    </w:p>
    <w:p>
      <w:pPr>
        <w:pStyle w:val="ConsPlusNormal1"/>
        <w:numPr>
          <w:ilvl w:val="0"/>
          <w:numId w:val="4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360" w:hanging="0"/>
        <w:contextualSpacing/>
        <w:jc w:val="center"/>
        <w:rPr>
          <w:rFonts w:ascii="Times New Roman" w:hAnsi="Times New Roman"/>
          <w:b/>
          <w:i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360" w:hanging="0"/>
        <w:contextualSpacing/>
        <w:jc w:val="center"/>
        <w:rPr>
          <w:rFonts w:ascii="Times New Roman" w:hAnsi="Times New Roman"/>
          <w:b/>
          <w:i/>
          <w:i/>
        </w:rPr>
      </w:pPr>
      <w:r>
        <w:rPr>
          <w:rFonts w:ascii="Times New Roman" w:hAnsi="Times New Roman"/>
          <w:b/>
          <w:i/>
        </w:rPr>
        <w:t>Учет в сметной стоимости услуг, представляемых Заказчиком.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FootnoteReference"/>
          <w:rFonts w:ascii="Times New Roman" w:hAnsi="Times New Roman"/>
        </w:rPr>
        <w:footnoteReference w:id="2"/>
      </w:r>
      <w:r>
        <w:rPr>
          <w:rFonts w:ascii="Times New Roman" w:hAnsi="Times New Roman"/>
        </w:rPr>
        <w:t>:</w:t>
      </w:r>
    </w:p>
    <w:p>
      <w:pPr>
        <w:pStyle w:val="ListParagraph"/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Общества на Услуги не учтены. 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 норм и расценок, внесенных в ФРСН, при составлении сметной документации исключать затраты: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предоставляемым грузоподъемным механизмам, учтенным в составе сметных норм и расценок.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ресурсы относить в отдельную позицию с указанием стоимости со знаком «–», не допуская при этом изменений внутри расценки. 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1418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предоставляемой электроэнергии (в том числе, в составе стоимости машино-часа):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смету подлежит включению раздел «Возврат стоимости электрической энергии», в котором стоимость электроэнергии</w:t>
      </w:r>
      <w:r>
        <w:rPr>
          <w:rStyle w:val="FootnoteReference"/>
          <w:rFonts w:ascii="Times New Roman" w:hAnsi="Times New Roman"/>
        </w:rPr>
        <w:footnoteReference w:id="3"/>
      </w:r>
      <w:r>
        <w:rPr>
          <w:rFonts w:ascii="Times New Roman" w:hAnsi="Times New Roman"/>
        </w:rPr>
        <w:t xml:space="preserve"> указывать со знаком «–». 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предоставляемой воде: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418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учитывать данный ресурс в расчете стоимости услуг.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предоставляемому сжатому воздуху: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567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норм и расценок исключать стоимость компрессоров.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предоставлении Услуг, например: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9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химическому анализу турбинных масел;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9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осушению проточной части гидроагрегата, 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указанных Услуг не включать в перечень работ и цену договора подряда.</w:t>
      </w:r>
    </w:p>
    <w:p>
      <w:pPr>
        <w:sectPr>
          <w:footerReference w:type="default" r:id="rId2"/>
          <w:footnotePr>
            <w:numFmt w:val="decimal"/>
            <w:numRestart w:val="eachPage"/>
          </w:footnotePr>
          <w:type w:val="nextPage"/>
          <w:pgSz w:w="11906" w:h="16838"/>
          <w:pgMar w:left="1134" w:right="709" w:gutter="0" w:header="0" w:top="709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9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8646" w:firstLine="567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Приложение №1 </w:t>
      </w:r>
    </w:p>
    <w:p>
      <w:pPr>
        <w:pStyle w:val="Normal"/>
        <w:spacing w:lineRule="auto" w:line="240" w:before="0" w:after="0"/>
        <w:ind w:left="8646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Требованиям к оформлению и составлению</w:t>
      </w:r>
    </w:p>
    <w:p>
      <w:pPr>
        <w:pStyle w:val="Normal"/>
        <w:spacing w:lineRule="auto" w:line="240" w:before="0" w:after="0"/>
        <w:ind w:left="8646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расчетов на выполнение работ/услуг по программе технического обслуживания</w:t>
      </w:r>
    </w:p>
    <w:p>
      <w:pPr>
        <w:pStyle w:val="Normal"/>
        <w:spacing w:lineRule="auto" w:line="240" w:before="0" w:after="0"/>
        <w:ind w:left="8646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энергооборудования, </w:t>
      </w:r>
      <w:r>
        <w:rPr>
          <w:rFonts w:ascii="Times New Roman" w:hAnsi="Times New Roman"/>
          <w:sz w:val="20"/>
          <w:szCs w:val="20"/>
        </w:rPr>
        <w:t xml:space="preserve">сетей, </w:t>
      </w:r>
      <w:r>
        <w:rPr>
          <w:rFonts w:ascii="Times New Roman" w:hAnsi="Times New Roman"/>
          <w:sz w:val="20"/>
        </w:rPr>
        <w:t>зданий и сооружений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pPr w:vertAnchor="page" w:horzAnchor="margin" w:leftFromText="180" w:rightFromText="180" w:tblpX="182" w:tblpY="3079"/>
        <w:tblW w:w="15390" w:type="dxa"/>
        <w:jc w:val="left"/>
        <w:tblInd w:w="-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23"/>
        <w:gridCol w:w="625"/>
        <w:gridCol w:w="623"/>
        <w:gridCol w:w="625"/>
        <w:gridCol w:w="623"/>
        <w:gridCol w:w="625"/>
        <w:gridCol w:w="623"/>
        <w:gridCol w:w="625"/>
        <w:gridCol w:w="623"/>
        <w:gridCol w:w="625"/>
        <w:gridCol w:w="623"/>
        <w:gridCol w:w="624"/>
        <w:gridCol w:w="625"/>
        <w:gridCol w:w="623"/>
        <w:gridCol w:w="625"/>
        <w:gridCol w:w="623"/>
        <w:gridCol w:w="625"/>
        <w:gridCol w:w="623"/>
        <w:gridCol w:w="625"/>
        <w:gridCol w:w="623"/>
        <w:gridCol w:w="625"/>
        <w:gridCol w:w="1037"/>
        <w:gridCol w:w="625"/>
        <w:gridCol w:w="620"/>
      </w:tblGrid>
      <w:tr>
        <w:trPr>
          <w:trHeight w:val="6334" w:hRule="atLeast"/>
          <w:cantSplit w:val="true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№ </w:t>
            </w:r>
            <w:r>
              <w:rPr>
                <w:rFonts w:ascii="Times New Roman" w:hAnsi="Times New Roman"/>
                <w:b/>
                <w:sz w:val="18"/>
              </w:rPr>
              <w:t>п/п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Объект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Оборудование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Единица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измерения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Количество единиц оборудования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BD4B4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Наименование типовой работы, состав работ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BD4B4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Периодичность выполнения работ (кол-во раз в год)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Длительность выполнения на год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. (Час)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Требуемая квалификация производственного персонала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Кол-во производственного  персонала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Кол-во производственного персонала для выполнения работы по расчету</w:t>
            </w:r>
          </w:p>
        </w:tc>
        <w:tc>
          <w:tcPr>
            <w:tcW w:w="6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Требуемая группа допуска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BD4B4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Перечень </w:t>
            </w:r>
            <w:r>
              <w:rPr>
                <w:rFonts w:ascii="Times New Roman" w:hAnsi="Times New Roman"/>
                <w:b/>
                <w:sz w:val="18"/>
              </w:rPr>
              <w:t>МТР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Количество МТР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BD4B4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Средства механизации, автотранспорт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Время использования механизмов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Инструменты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Количество инструментов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Инвентарь</w:t>
            </w:r>
          </w:p>
        </w:tc>
        <w:tc>
          <w:tcPr>
            <w:tcW w:w="6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Количество инвентаря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Услуги лаборатории</w:t>
            </w:r>
          </w:p>
        </w:tc>
        <w:tc>
          <w:tcPr>
            <w:tcW w:w="103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Средства метрологического контроля. Контрольно-измерительные инструменты и приборы для выполнения работы</w:t>
            </w:r>
          </w:p>
        </w:tc>
        <w:tc>
          <w:tcPr>
            <w:tcW w:w="6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Нормативные документы на выполнение работы</w:t>
            </w:r>
          </w:p>
        </w:tc>
        <w:tc>
          <w:tcPr>
            <w:tcW w:w="62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Особые условия по безопасности выполнения работ</w:t>
            </w:r>
          </w:p>
        </w:tc>
      </w:tr>
      <w:tr>
        <w:trPr>
          <w:trHeight w:val="268" w:hRule="atLeast"/>
          <w:cantSplit w:val="true"/>
        </w:trPr>
        <w:tc>
          <w:tcPr>
            <w:tcW w:w="62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BD4B4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BD4B4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BD4B4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14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BD4B4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15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23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24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0"/>
        </w:rPr>
      </w:pPr>
      <w:r/>
      <w:r>
        <w:rPr>
          <w:rFonts w:ascii="Times New Roman" w:hAnsi="Times New Roman"/>
          <w:b/>
          <w:sz w:val="20"/>
        </w:rPr>
        <w:t>Перечень типовых работ по техническому обслуживанию на период_________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3"/>
          <w:footerReference w:type="first" r:id="rId4"/>
          <w:footnotePr>
            <w:numFmt w:val="decimal"/>
            <w:numRestart w:val="eachPage"/>
          </w:footnotePr>
          <w:type w:val="nextPage"/>
          <w:pgSz w:orient="landscape" w:w="16838" w:h="11906"/>
          <w:pgMar w:left="426" w:right="284" w:gutter="0" w:header="0" w:top="709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* ячейки, выделенные цветом, являются исходными данными для определения стоимости работ/услуг по ТО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2 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Требованиям к оформлению и составлению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расчетов на выполнение работ/услуг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программе технического обслуживания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энергооборудования, сетей, зданий и сооружений.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20"/>
        </w:rPr>
        <w:t>Справочник стоимости типовых работ по техническому обслуживанию на период</w:t>
      </w:r>
      <w:r>
        <w:rPr>
          <w:rFonts w:ascii="Times New Roman" w:hAnsi="Times New Roman"/>
          <w:b/>
          <w:sz w:val="18"/>
        </w:rPr>
        <w:t>_________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tbl>
      <w:tblPr>
        <w:tblW w:w="15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10"/>
        <w:gridCol w:w="510"/>
        <w:gridCol w:w="509"/>
        <w:gridCol w:w="510"/>
        <w:gridCol w:w="511"/>
        <w:gridCol w:w="510"/>
        <w:gridCol w:w="509"/>
        <w:gridCol w:w="510"/>
        <w:gridCol w:w="510"/>
        <w:gridCol w:w="511"/>
        <w:gridCol w:w="510"/>
        <w:gridCol w:w="509"/>
        <w:gridCol w:w="510"/>
        <w:gridCol w:w="511"/>
        <w:gridCol w:w="510"/>
        <w:gridCol w:w="510"/>
        <w:gridCol w:w="509"/>
        <w:gridCol w:w="510"/>
        <w:gridCol w:w="511"/>
        <w:gridCol w:w="510"/>
        <w:gridCol w:w="509"/>
        <w:gridCol w:w="510"/>
        <w:gridCol w:w="510"/>
        <w:gridCol w:w="511"/>
        <w:gridCol w:w="510"/>
        <w:gridCol w:w="509"/>
        <w:gridCol w:w="510"/>
        <w:gridCol w:w="655"/>
        <w:gridCol w:w="568"/>
        <w:gridCol w:w="563"/>
      </w:tblGrid>
      <w:tr>
        <w:trPr>
          <w:trHeight w:val="5803" w:hRule="atLeast"/>
          <w:cantSplit w:val="true"/>
        </w:trPr>
        <w:tc>
          <w:tcPr>
            <w:tcW w:w="5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№ </w:t>
            </w:r>
            <w:r>
              <w:rPr>
                <w:rFonts w:ascii="Times New Roman" w:hAnsi="Times New Roman"/>
                <w:b/>
                <w:sz w:val="18"/>
              </w:rPr>
              <w:t>п/п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Объект</w:t>
            </w:r>
          </w:p>
        </w:tc>
        <w:tc>
          <w:tcPr>
            <w:tcW w:w="50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Оборудование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Единица измерения</w:t>
            </w:r>
          </w:p>
        </w:tc>
        <w:tc>
          <w:tcPr>
            <w:tcW w:w="5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Количество единиц оборудования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FFFFF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Наименование типовой работы, состав работ</w:t>
            </w:r>
          </w:p>
        </w:tc>
        <w:tc>
          <w:tcPr>
            <w:tcW w:w="50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Шифр расценки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Единица измерения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Норма трудозатрат на ед. изм.</w:t>
            </w:r>
          </w:p>
        </w:tc>
        <w:tc>
          <w:tcPr>
            <w:tcW w:w="5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Состав работ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Средний разряд работ</w:t>
            </w:r>
          </w:p>
        </w:tc>
        <w:tc>
          <w:tcPr>
            <w:tcW w:w="50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FFFFF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Периодичность выполнения работ (кол-во раз в год)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Длительность выполнения на год</w:t>
            </w:r>
          </w:p>
        </w:tc>
        <w:tc>
          <w:tcPr>
            <w:tcW w:w="5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Стоимость ч/час, руб.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Общая стоимость услуг,  руб.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МТР</w:t>
            </w:r>
          </w:p>
        </w:tc>
        <w:tc>
          <w:tcPr>
            <w:tcW w:w="50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Единица измерения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Норма расхода МТР на единицу работ</w:t>
            </w:r>
          </w:p>
        </w:tc>
        <w:tc>
          <w:tcPr>
            <w:tcW w:w="5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FFFFF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Количество МТР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Обоснование стоимости МТР</w:t>
            </w:r>
          </w:p>
        </w:tc>
        <w:tc>
          <w:tcPr>
            <w:tcW w:w="50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Цена за единицу, руб. без НДС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Стоимость материалов, руб. без НДС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FFFFFF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Средства механизации, автотранспорт</w:t>
            </w:r>
          </w:p>
        </w:tc>
        <w:tc>
          <w:tcPr>
            <w:tcW w:w="5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Норма эксплуатации механизмов, маш/час.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Обоснование стоимости механизмов </w:t>
            </w:r>
          </w:p>
        </w:tc>
        <w:tc>
          <w:tcPr>
            <w:tcW w:w="50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Время использования механизма, маш/час</w:t>
            </w:r>
          </w:p>
        </w:tc>
        <w:tc>
          <w:tcPr>
            <w:tcW w:w="5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Стоимость маш/час, руб.</w:t>
            </w:r>
          </w:p>
        </w:tc>
        <w:tc>
          <w:tcPr>
            <w:tcW w:w="6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D6E3B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Стоимость эксплуатации механизмов и автотранспорта, руб.</w:t>
            </w:r>
          </w:p>
        </w:tc>
        <w:tc>
          <w:tcPr>
            <w:tcW w:w="56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Особые условия по безопасности выполнения работ </w:t>
            </w:r>
          </w:p>
        </w:tc>
        <w:tc>
          <w:tcPr>
            <w:tcW w:w="56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**ячейки, выделенные цветом, добавляются для определения стоимости работ/услуг по ТО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5"/>
          <w:footerReference w:type="first" r:id="rId6"/>
          <w:footnotePr>
            <w:numFmt w:val="decimal"/>
            <w:numRestart w:val="eachPage"/>
          </w:footnotePr>
          <w:type w:val="nextPage"/>
          <w:pgSz w:orient="landscape" w:w="16838" w:h="11906"/>
          <w:pgMar w:left="454" w:right="454" w:gutter="0" w:header="0" w:top="1304" w:footer="709" w:bottom="92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>
      <w:pPr>
        <w:pStyle w:val="Normal"/>
        <w:tabs>
          <w:tab w:val="clear" w:pos="709"/>
          <w:tab w:val="left" w:pos="11624" w:leader="none"/>
        </w:tabs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Требованиям к оформлению и составлению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расчетов на выполнение работ/услуг 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программе технического обслуживания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энергооборудования, </w:t>
      </w:r>
      <w:r>
        <w:rPr>
          <w:rFonts w:ascii="Times New Roman" w:hAnsi="Times New Roman"/>
          <w:sz w:val="20"/>
          <w:szCs w:val="20"/>
        </w:rPr>
        <w:t xml:space="preserve">сетей, </w:t>
      </w:r>
      <w:r>
        <w:rPr>
          <w:rFonts w:ascii="Times New Roman" w:hAnsi="Times New Roman"/>
          <w:sz w:val="20"/>
        </w:rPr>
        <w:t>зданий и сооружений.</w:t>
      </w:r>
    </w:p>
    <w:tbl>
      <w:tblPr>
        <w:tblW w:w="158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55"/>
        <w:gridCol w:w="491"/>
        <w:gridCol w:w="1738"/>
        <w:gridCol w:w="329"/>
        <w:gridCol w:w="216"/>
        <w:gridCol w:w="554"/>
        <w:gridCol w:w="78"/>
        <w:gridCol w:w="22"/>
        <w:gridCol w:w="976"/>
        <w:gridCol w:w="781"/>
        <w:gridCol w:w="348"/>
        <w:gridCol w:w="1133"/>
        <w:gridCol w:w="880"/>
        <w:gridCol w:w="670"/>
        <w:gridCol w:w="1002"/>
        <w:gridCol w:w="603"/>
        <w:gridCol w:w="665"/>
        <w:gridCol w:w="1424"/>
        <w:gridCol w:w="186"/>
        <w:gridCol w:w="240"/>
        <w:gridCol w:w="440"/>
        <w:gridCol w:w="666"/>
        <w:gridCol w:w="827"/>
        <w:gridCol w:w="194"/>
        <w:gridCol w:w="275"/>
        <w:gridCol w:w="682"/>
      </w:tblGrid>
      <w:tr>
        <w:trPr>
          <w:trHeight w:val="255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7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64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Приложение № _______</w:t>
            </w:r>
          </w:p>
        </w:tc>
      </w:tr>
      <w:tr>
        <w:trPr>
          <w:trHeight w:val="255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7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1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5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5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324" w:type="dxa"/>
            <w:gridSpan w:val="7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договору № _____ от "_____"___________202_г.</w:t>
            </w:r>
          </w:p>
        </w:tc>
      </w:tr>
      <w:tr>
        <w:trPr>
          <w:trHeight w:val="270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7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8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70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25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Подрядчик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7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68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Утверждаю: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(Заказчик)</w:t>
            </w:r>
          </w:p>
        </w:tc>
        <w:tc>
          <w:tcPr>
            <w:tcW w:w="2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</w:tr>
      <w:tr>
        <w:trPr>
          <w:trHeight w:val="330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7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64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 Ф.И.О.</w:t>
            </w:r>
          </w:p>
        </w:tc>
        <w:tc>
          <w:tcPr>
            <w:tcW w:w="87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64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 Ф.И.О.</w:t>
            </w:r>
          </w:p>
        </w:tc>
      </w:tr>
      <w:tr>
        <w:trPr>
          <w:trHeight w:val="483" w:hRule="atLeast"/>
        </w:trPr>
        <w:tc>
          <w:tcPr>
            <w:tcW w:w="94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2283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</w:r>
          </w:p>
        </w:tc>
        <w:tc>
          <w:tcPr>
            <w:tcW w:w="9136" w:type="dxa"/>
            <w:gridSpan w:val="1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Сводный расчет стоимости технического обслуживания ________на 20__-20__годы</w:t>
            </w:r>
          </w:p>
        </w:tc>
        <w:tc>
          <w:tcPr>
            <w:tcW w:w="18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6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5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8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94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</w:rPr>
            </w:r>
          </w:p>
        </w:tc>
        <w:tc>
          <w:tcPr>
            <w:tcW w:w="6175" w:type="dxa"/>
            <w:gridSpan w:val="10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Составлен в ценах по состоянию на 20__- 20__г.</w:t>
            </w:r>
          </w:p>
        </w:tc>
        <w:tc>
          <w:tcPr>
            <w:tcW w:w="155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2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</w:t>
            </w:r>
          </w:p>
        </w:tc>
        <w:tc>
          <w:tcPr>
            <w:tcW w:w="1151" w:type="dxa"/>
            <w:gridSpan w:val="3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руб. </w:t>
            </w:r>
          </w:p>
        </w:tc>
      </w:tr>
      <w:tr>
        <w:trPr>
          <w:trHeight w:val="739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выполняемых услуг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Обоснование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работы, руб.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материалов, руб.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механизмов, руб.</w:t>
            </w:r>
          </w:p>
        </w:tc>
        <w:tc>
          <w:tcPr>
            <w:tcW w:w="3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Итого, руб.</w:t>
            </w:r>
          </w:p>
        </w:tc>
      </w:tr>
      <w:tr>
        <w:trPr>
          <w:trHeight w:val="339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>
        <w:trPr>
          <w:trHeight w:val="529" w:hRule="atLeast"/>
        </w:trPr>
        <w:tc>
          <w:tcPr>
            <w:tcW w:w="45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0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 ______________ на 20__ год</w:t>
            </w:r>
          </w:p>
        </w:tc>
        <w:tc>
          <w:tcPr>
            <w:tcW w:w="212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Справочник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trHeight w:val="358" w:hRule="atLeast"/>
        </w:trPr>
        <w:tc>
          <w:tcPr>
            <w:tcW w:w="45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0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 ______________ на 20__ год</w:t>
            </w:r>
          </w:p>
        </w:tc>
        <w:tc>
          <w:tcPr>
            <w:tcW w:w="212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Справочник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45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 ______________ на 20__ год</w:t>
            </w:r>
          </w:p>
        </w:tc>
        <w:tc>
          <w:tcPr>
            <w:tcW w:w="212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Справочник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45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3406" w:type="dxa"/>
            <w:gridSpan w:val="6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договору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3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</w:tr>
      <w:tr>
        <w:trPr>
          <w:trHeight w:val="255" w:hRule="atLeast"/>
        </w:trPr>
        <w:tc>
          <w:tcPr>
            <w:tcW w:w="4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2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9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76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51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55" w:hRule="atLeast"/>
        </w:trPr>
        <w:tc>
          <w:tcPr>
            <w:tcW w:w="4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328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Составил: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Проверил:</w:t>
            </w:r>
          </w:p>
        </w:tc>
        <w:tc>
          <w:tcPr>
            <w:tcW w:w="1076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8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0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2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51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footerReference w:type="default" r:id="rId7"/>
          <w:footerReference w:type="first" r:id="rId8"/>
          <w:footnotePr>
            <w:numFmt w:val="decimal"/>
            <w:numRestart w:val="eachPage"/>
          </w:footnotePr>
          <w:type w:val="nextPage"/>
          <w:pgSz w:orient="landscape" w:w="16838" w:h="11906"/>
          <w:pgMar w:left="454" w:right="454" w:gutter="0" w:header="0" w:top="567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color w:val="000000"/>
          <w:sz w:val="20"/>
        </w:rPr>
      </w:pPr>
      <w:bookmarkStart w:id="6" w:name="P105"/>
      <w:bookmarkStart w:id="7" w:name="P104"/>
      <w:bookmarkStart w:id="8" w:name="P102"/>
      <w:bookmarkStart w:id="9" w:name="P90"/>
      <w:bookmarkStart w:id="10" w:name="P83"/>
      <w:bookmarkStart w:id="11" w:name="P81"/>
      <w:bookmarkStart w:id="12" w:name="P80"/>
      <w:bookmarkStart w:id="13" w:name="P79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ascii="Times New Roman" w:hAnsi="Times New Roman"/>
          <w:color w:val="000000"/>
          <w:sz w:val="20"/>
        </w:rPr>
        <w:t xml:space="preserve">Приложение №4 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Требованиям к оформлению и составлению</w:t>
      </w:r>
    </w:p>
    <w:p>
      <w:pPr>
        <w:pStyle w:val="Normal"/>
        <w:spacing w:lineRule="auto" w:line="240" w:before="0" w:after="0"/>
        <w:ind w:left="8646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расчетов на выполнение работ/услуг по программе технического обслуживания энергооборудования, </w:t>
      </w:r>
      <w:r>
        <w:rPr>
          <w:rFonts w:ascii="Times New Roman" w:hAnsi="Times New Roman"/>
          <w:sz w:val="20"/>
          <w:szCs w:val="20"/>
        </w:rPr>
        <w:t xml:space="preserve">сетей, </w:t>
      </w:r>
      <w:r>
        <w:rPr>
          <w:rFonts w:ascii="Times New Roman" w:hAnsi="Times New Roman"/>
          <w:sz w:val="20"/>
        </w:rPr>
        <w:t>зданий и сооружений</w:t>
      </w:r>
    </w:p>
    <w:p>
      <w:pPr>
        <w:pStyle w:val="Normal"/>
        <w:spacing w:lineRule="auto" w:line="240"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Образец расчета командировочных расходов </w:t>
      </w:r>
    </w:p>
    <w:p>
      <w:pPr>
        <w:pStyle w:val="Normal"/>
        <w:spacing w:lineRule="auto" w:line="240" w:before="0" w:after="0"/>
        <w:ind w:hanging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__ к смете № __</w:t>
      </w:r>
    </w:p>
    <w:p>
      <w:pPr>
        <w:pStyle w:val="Normal"/>
        <w:spacing w:lineRule="auto" w:line="240" w:before="0" w:after="0"/>
        <w:ind w:hanging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Расчет командировочных расходов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485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493"/>
        <w:gridCol w:w="2052"/>
        <w:gridCol w:w="1844"/>
        <w:gridCol w:w="1984"/>
        <w:gridCol w:w="2125"/>
        <w:gridCol w:w="1276"/>
        <w:gridCol w:w="1702"/>
        <w:gridCol w:w="1700"/>
        <w:gridCol w:w="1672"/>
      </w:tblGrid>
      <w:tr>
        <w:trPr/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0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Пункт назначения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специалистов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Проезд к месту командировки (туда и обратно)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Проживание в номере гостиницы класса "3 звезды", 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чел/сутки.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Суточные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сутки/руб.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Продолжи-тельность командировки, сутки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Продолжи-тельность проживания в гостинице, сутки</w:t>
            </w:r>
          </w:p>
        </w:tc>
        <w:tc>
          <w:tcPr>
            <w:tcW w:w="16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затрат, рубли</w:t>
            </w:r>
          </w:p>
        </w:tc>
      </w:tr>
      <w:tr>
        <w:trPr/>
        <w:tc>
          <w:tcPr>
            <w:tcW w:w="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по сметному расчету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eastAsia="Calibri" w:cs="Times New Roman" w:eastAsiaTheme="minorHAnsi"/>
          <w:sz w:val="22"/>
          <w:szCs w:val="22"/>
        </w:rPr>
      </w:pPr>
      <w:r>
        <w:rPr>
          <w:rFonts w:eastAsia="Calibri" w:cs="Times New Roman" w:eastAsiaTheme="minorHAnsi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bookmarkStart w:id="14" w:name="_Hlk152600818"/>
      <w:r>
        <w:rPr>
          <w:rFonts w:ascii="Times New Roman" w:hAnsi="Times New Roman"/>
          <w:sz w:val="20"/>
          <w:szCs w:val="20"/>
        </w:rPr>
        <w:t>Руководитель проектной организации 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Главный инженер проекта 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 ______________________ отдела 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                            </w:t>
      </w:r>
      <w:r>
        <w:rPr>
          <w:rFonts w:ascii="Times New Roman" w:hAnsi="Times New Roman"/>
          <w:i/>
          <w:iCs/>
          <w:sz w:val="20"/>
          <w:szCs w:val="20"/>
        </w:rPr>
        <w:t>(наименование)                                                                        [подпись (инициалы, фамилия)]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Заказчик 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bookmarkStart w:id="15" w:name="_Hlk152600818"/>
      <w:r>
        <w:rPr>
          <w:rFonts w:ascii="Times New Roman" w:hAnsi="Times New Roman"/>
          <w:i/>
          <w:iCs/>
          <w:sz w:val="20"/>
          <w:szCs w:val="20"/>
        </w:rPr>
        <w:t>[должность, подпись (инициалы, фамилия)]</w:t>
      </w:r>
      <w:bookmarkEnd w:id="15"/>
    </w:p>
    <w:p>
      <w:pPr>
        <w:pStyle w:val="Normal"/>
        <w:spacing w:lineRule="auto" w:line="240" w:before="0" w:after="0"/>
        <w:ind w:hanging="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/>
        <w:object>
          <v:shapetype id="_x0000_tole_rId9" coordsize="21600,21600" o:spt="ole_rId9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9" type="_x0000_tole_rId9" style="width:85.8pt;height:53.4pt;mso-wrap-distance-right:0pt" filled="f" o:ole="">
            <v:imagedata r:id="rId10" o:title=""/>
          </v:shape>
          <o:OLEObject Type="Embed" ProgID="Excel.Sheet.12" ShapeID="ole_rId9" DrawAspect="Icon" ObjectID="_708553100" r:id="rId9"/>
        </w:object>
      </w:r>
    </w:p>
    <w:sectPr>
      <w:footerReference w:type="default" r:id="rId11"/>
      <w:footerReference w:type="first" r:id="rId12"/>
      <w:footnotePr>
        <w:numFmt w:val="decimal"/>
        <w:numRestart w:val="eachPage"/>
      </w:footnotePr>
      <w:type w:val="nextPage"/>
      <w:pgSz w:orient="landscape" w:w="16838" w:h="11906"/>
      <w:pgMar w:left="992" w:right="1106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6400758"/>
    </w:sdtPr>
    <w:sdtContent>
      <w:p>
        <w:pPr>
          <w:pStyle w:val="Footer"/>
          <w:jc w:val="center"/>
          <w:rPr/>
        </w:pPr>
        <w:r>
          <w:rPr/>
        </w:r>
      </w:p>
      <w:p>
        <w:pPr>
          <w:pStyle w:val="Footer"/>
          <w:jc w:val="center"/>
          <w:rPr/>
        </w:pPr>
        <w:r>
          <w:rPr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3047168"/>
    </w:sdtPr>
    <w:sdtContent>
      <w:p>
        <w:pPr>
          <w:pStyle w:val="Footer"/>
          <w:jc w:val="center"/>
          <w:rPr/>
        </w:pPr>
        <w:r>
          <w:rPr/>
        </w:r>
      </w:p>
      <w:p>
        <w:pPr>
          <w:pStyle w:val="Footer"/>
          <w:jc w:val="center"/>
          <w:rPr/>
        </w:pPr>
        <w:r>
          <w:rPr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73324238"/>
    </w:sdtPr>
    <w:sdtContent>
      <w:p>
        <w:pPr>
          <w:pStyle w:val="Footer"/>
          <w:jc w:val="center"/>
          <w:rPr/>
        </w:pPr>
        <w:r>
          <w:rPr/>
        </w:r>
      </w:p>
      <w:p>
        <w:pPr>
          <w:pStyle w:val="Footer"/>
          <w:jc w:val="center"/>
          <w:rPr/>
        </w:pPr>
        <w:r>
          <w:rPr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52831086"/>
    </w:sdtPr>
    <w:sdtContent>
      <w:p>
        <w:pPr>
          <w:pStyle w:val="Footer"/>
          <w:jc w:val="center"/>
          <w:rPr/>
        </w:pPr>
        <w:r>
          <w:rPr/>
        </w:r>
      </w:p>
      <w:p>
        <w:pPr>
          <w:pStyle w:val="Footer"/>
          <w:jc w:val="center"/>
          <w:rPr/>
        </w:pPr>
        <w:r>
          <w:rPr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 xml:space="preserve">Пункт 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3">
    <w:p>
      <w:pPr>
        <w:pStyle w:val="FootnoteText"/>
        <w:jc w:val="both"/>
        <w:rPr/>
      </w:pPr>
      <w:r>
        <w:rPr>
          <w:rStyle w:val="Style3"/>
        </w:rPr>
        <w:footnoteRef/>
      </w:r>
      <w:r>
        <w:rPr>
          <w:rStyle w:val="Style3"/>
        </w:rPr>
        <w:t>2</w:t>
      </w:r>
      <w:r>
        <w:rPr/>
        <w:t xml:space="preserve"> Стоимость электроэнергии определять в соответствии с рекомендациями, изложенными по ссылке http://grandsmeta82.ru/znaj-kak/grand-smeta-baza-znanij/109-raschet-zatrat-na-energonositeli-elektroenergiyu-toplivo-i-pr-v-grand-smete.html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41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3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7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EndnoteReference">
    <w:name w:val="Endnote Reference"/>
    <w:rPr>
      <w:vertAlign w:val="superscript"/>
    </w:rPr>
  </w:style>
  <w:style w:type="character" w:styleId="Style16">
    <w:name w:val="Символ концевой сноск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0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1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2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3" w:customStyle="1">
    <w:name w:val="Подпункт"/>
    <w:basedOn w:val="Style22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4" w:customStyle="1">
    <w:name w:val="Подподпункт"/>
    <w:basedOn w:val="Style23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5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6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27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8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29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0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1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10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ConsPlusNonformat" w:customStyle="1">
    <w:name w:val="ConsPlusNonformat"/>
    <w:basedOn w:val="Normal"/>
    <w:qFormat/>
    <w:rsid w:val="000753e1"/>
    <w:pPr>
      <w:spacing w:lineRule="auto" w:line="240" w:before="0" w:after="0"/>
    </w:pPr>
    <w:rPr>
      <w:rFonts w:ascii="Courier New" w:hAnsi="Courier New" w:eastAsia="Calibri" w:cs="Courier New" w:eastAsia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5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package" Target="embeddings/oleObject1.xlsx"/><Relationship Id="rId10" Type="http://schemas.openxmlformats.org/officeDocument/2006/relationships/image" Target="media/image1.wmf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notes" Target="footnotes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66C0A-2552-4274-A0B3-A25B9C75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8</Pages>
  <Words>1834</Words>
  <Characters>13145</Characters>
  <CharactersWithSpaces>14837</CharactersWithSpaces>
  <Paragraphs>260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2024-07-05T07:44:00Z</dcterms:created>
  <dc:creator>Торопов Денис Владимирович</dc:creator>
  <dc:description/>
  <dc:language>ru-RU</dc:language>
  <cp:lastModifiedBy>kuzminav@corp.gidroogk.com</cp:lastModifiedBy>
  <cp:lastPrinted>2021-07-09T09:18:00Z</cp:lastPrinted>
  <dcterms:modified xsi:type="dcterms:W3CDTF">2026-05-29T16:28:22Z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