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b/>
          <w:bCs/>
        </w:rPr>
      </w:pPr>
      <w:r>
        <w:rPr>
          <w:b/>
          <w:bCs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b/>
          <w:bCs/>
        </w:rPr>
      </w:pPr>
      <w:r>
        <w:rPr>
          <w:b/>
          <w:bCs/>
        </w:rPr>
      </w:r>
    </w:p>
    <w:p>
      <w:pPr>
        <w:pStyle w:val="Heading3"/>
        <w:rPr/>
      </w:pPr>
      <w:r>
        <w:rPr>
          <w:rFonts w:eastAsia="Arial Unicode MS" w:cs="Arial Unicode MS"/>
        </w:rPr>
        <w:t>ОКПД2 33.12.29.900 Техническое обслуживание компрессоров  производства Almig 1-3 К-8 Загорской ГАЭС</w:t>
      </w:r>
    </w:p>
    <w:p>
      <w:pPr>
        <w:pStyle w:val="Normal"/>
        <w:keepNext w:val="true"/>
        <w:keepLines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ind w:left="-142" w:hanging="0"/>
        <w:rPr/>
      </w:pPr>
      <w:r>
        <w:rPr/>
      </w:r>
      <w:r>
        <w:br w:type="page"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ind w:left="0" w:right="-285" w:hanging="0"/>
            <w:rPr/>
          </w:pPr>
          <w:r>
            <w:rPr>
              <w:b/>
              <w:color w:val="000000" w:themeColor="text1"/>
              <w:sz w:val="28"/>
              <w:szCs w:val="28"/>
            </w:rPr>
            <w:t>1. Общие сведения</w:t>
          </w:r>
          <w:r>
            <w:rPr>
              <w:vanish/>
              <w:color w:val="000000" w:themeColor="text1"/>
            </w:rPr>
            <w:t xml:space="preserve">                                                                                            </w:t>
          </w:r>
          <w:r>
            <w:rPr>
              <w:vanish/>
              <w:color w:val="000000" w:themeColor="text1"/>
              <w:sz w:val="28"/>
              <w:szCs w:val="28"/>
            </w:rPr>
            <w:t>3</w:t>
            <w:br/>
          </w:r>
        </w:p>
        <w:p>
          <w:pPr>
            <w:pStyle w:val="Normal"/>
            <w:rPr/>
          </w:pPr>
          <w:r>
            <w:rPr>
              <w:b/>
              <w:color w:val="000000" w:themeColor="text1"/>
            </w:rPr>
            <w:t>1.</w:t>
          </w:r>
        </w:p>
        <w:p>
          <w:pPr>
            <w:pStyle w:val="Normal"/>
            <w:ind w:right="-285" w:hanging="0"/>
            <w:rPr/>
          </w:pPr>
          <w:r>
            <w:fldChar w:fldCharType="begin"/>
          </w:r>
          <w:r>
            <w:rPr>
              <w:b/>
              <w:color w:val="000000"/>
            </w:rPr>
            <w:instrText xml:space="preserve"> TOC \z \o "1-3" \u \h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 w:themeColor="text1"/>
            </w:rPr>
            <w:t>1Обозначения и сокращения</w:t>
          </w:r>
          <w:r>
            <w:rPr>
              <w:color w:val="000000" w:themeColor="text1"/>
            </w:rPr>
            <w:t xml:space="preserve">                                                                              </w:t>
            <w:tab/>
            <w:t>3</w:t>
            <w:br/>
          </w:r>
        </w:p>
        <w:p>
          <w:pPr>
            <w:pStyle w:val="TOC3"/>
            <w:ind w:right="-285" w:hanging="0"/>
            <w:rPr>
              <w:vanish/>
              <w:color w:val="000000" w:themeColor="text1"/>
              <w:sz w:val="28"/>
              <w:szCs w:val="28"/>
            </w:rPr>
          </w:pPr>
          <w:r>
            <w:rPr>
              <w:b/>
              <w:color w:val="000000" w:themeColor="text1"/>
              <w:sz w:val="28"/>
              <w:szCs w:val="28"/>
            </w:rPr>
            <w:t>1.2 Наименование закупаемой продукции</w:t>
          </w:r>
          <w:r>
            <w:rPr>
              <w:color w:val="000000" w:themeColor="text1"/>
              <w:sz w:val="28"/>
              <w:szCs w:val="28"/>
            </w:rPr>
            <w:tab/>
            <w:t>4</w:t>
            <w:br/>
          </w:r>
        </w:p>
        <w:p>
          <w:pPr>
            <w:pStyle w:val="TOC3"/>
            <w:ind w:right="-285" w:hanging="0"/>
            <w:rPr>
              <w:color w:val="000000" w:themeColor="text1"/>
              <w:sz w:val="28"/>
              <w:szCs w:val="28"/>
            </w:rPr>
          </w:pPr>
          <w:r>
            <w:rPr>
              <w:b/>
              <w:color w:val="000000" w:themeColor="text1"/>
              <w:sz w:val="28"/>
              <w:szCs w:val="28"/>
            </w:rPr>
            <w:t>1.3 Цель оказания услуг</w:t>
          </w:r>
          <w:r>
            <w:rPr>
              <w:color w:val="000000" w:themeColor="text1"/>
              <w:sz w:val="28"/>
              <w:szCs w:val="28"/>
            </w:rPr>
            <w:tab/>
            <w:t>4</w:t>
          </w:r>
        </w:p>
        <w:p>
          <w:pPr>
            <w:pStyle w:val="TOC3"/>
            <w:ind w:right="-285" w:hanging="0"/>
            <w:rPr>
              <w:color w:val="000000" w:themeColor="text1"/>
              <w:sz w:val="28"/>
              <w:szCs w:val="28"/>
            </w:rPr>
          </w:pPr>
          <w:r>
            <w:rPr>
              <w:b/>
              <w:color w:val="000000" w:themeColor="text1"/>
              <w:sz w:val="28"/>
              <w:szCs w:val="28"/>
            </w:rPr>
            <w:t>1.4 Существующее положение</w:t>
          </w:r>
          <w:r>
            <w:rPr>
              <w:color w:val="000000" w:themeColor="text1"/>
              <w:sz w:val="28"/>
              <w:szCs w:val="28"/>
            </w:rPr>
            <w:tab/>
            <w:t>4</w:t>
          </w:r>
        </w:p>
        <w:p>
          <w:pPr>
            <w:pStyle w:val="TOC3"/>
            <w:ind w:right="-285" w:hanging="0"/>
            <w:rPr>
              <w:color w:val="000000" w:themeColor="text1"/>
              <w:sz w:val="28"/>
              <w:szCs w:val="28"/>
            </w:rPr>
          </w:pPr>
          <w:r>
            <w:rPr>
              <w:b/>
              <w:color w:val="000000" w:themeColor="text1"/>
              <w:sz w:val="28"/>
              <w:szCs w:val="28"/>
            </w:rPr>
            <w:t>Таблица 1. Перечень объектов заказчика</w:t>
          </w:r>
          <w:r>
            <w:rPr>
              <w:color w:val="000000" w:themeColor="text1"/>
              <w:sz w:val="28"/>
              <w:szCs w:val="28"/>
            </w:rPr>
            <w:tab/>
            <w:t>4</w:t>
          </w:r>
        </w:p>
        <w:p>
          <w:pPr>
            <w:pStyle w:val="TOC3"/>
            <w:ind w:right="-285" w:hanging="0"/>
            <w:rPr>
              <w:color w:val="000000" w:themeColor="text1"/>
              <w:sz w:val="28"/>
              <w:szCs w:val="28"/>
            </w:rPr>
          </w:pPr>
          <w:r>
            <w:rPr>
              <w:b/>
              <w:color w:val="000000" w:themeColor="text1"/>
              <w:sz w:val="28"/>
              <w:szCs w:val="28"/>
            </w:rPr>
            <w:t>1.5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</w:r>
          <w:r>
            <w:rPr>
              <w:color w:val="000000" w:themeColor="text1"/>
              <w:sz w:val="28"/>
              <w:szCs w:val="28"/>
            </w:rPr>
            <w:tab/>
            <w:t>5</w:t>
          </w:r>
        </w:p>
        <w:p>
          <w:pPr>
            <w:pStyle w:val="TOC3"/>
            <w:ind w:right="-285" w:hanging="0"/>
            <w:rPr>
              <w:rFonts w:eastAsia="Helvetica Neue" w:eastAsiaTheme="minorEastAsia"/>
              <w:color w:val="000000" w:themeColor="text1"/>
              <w:sz w:val="28"/>
              <w:szCs w:val="28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</w:rPr>
            <w:t>2. Требования к продукции</w:t>
          </w:r>
          <w:r>
            <w:rPr>
              <w:color w:val="000000" w:themeColor="text1"/>
              <w:sz w:val="28"/>
              <w:szCs w:val="28"/>
            </w:rPr>
            <w:tab/>
            <w:t>6</w:t>
          </w:r>
        </w:p>
        <w:p>
          <w:pPr>
            <w:pStyle w:val="TOC3"/>
            <w:ind w:right="-285" w:hanging="0"/>
            <w:rPr>
              <w:rFonts w:eastAsia="Helvetica Neue" w:eastAsiaTheme="minorEastAsia"/>
              <w:color w:val="000000" w:themeColor="text1"/>
              <w:sz w:val="28"/>
              <w:szCs w:val="28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</w:rPr>
            <w:t>2.1 Требования к объемам и срокам оказания услуг</w:t>
          </w:r>
          <w:r>
            <w:rPr>
              <w:color w:val="000000" w:themeColor="text1"/>
              <w:sz w:val="28"/>
              <w:szCs w:val="28"/>
            </w:rPr>
            <w:tab/>
            <w:t>6</w:t>
          </w:r>
        </w:p>
        <w:p>
          <w:pPr>
            <w:pStyle w:val="TOC3"/>
            <w:ind w:right="-285" w:hanging="0"/>
            <w:rPr>
              <w:rFonts w:eastAsia="Helvetica Neue" w:eastAsiaTheme="minorEastAsia"/>
              <w:color w:val="000000" w:themeColor="text1"/>
              <w:sz w:val="28"/>
              <w:szCs w:val="28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</w:rPr>
            <w:t>Таблица 2. Перечень и объем оказываемых услуг</w:t>
          </w:r>
          <w:r>
            <w:rPr>
              <w:color w:val="000000" w:themeColor="text1"/>
              <w:sz w:val="28"/>
              <w:szCs w:val="28"/>
            </w:rPr>
            <w:tab/>
            <w:t>6</w:t>
          </w:r>
        </w:p>
        <w:p>
          <w:pPr>
            <w:pStyle w:val="TOC3"/>
            <w:ind w:right="-285" w:hanging="0"/>
            <w:rPr>
              <w:rFonts w:eastAsia="Helvetica Neue" w:eastAsiaTheme="minorEastAsia"/>
              <w:color w:val="000000" w:themeColor="text1"/>
              <w:sz w:val="28"/>
              <w:szCs w:val="28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</w:rPr>
            <w:t>2.2 Требования к срокам оказания услуг</w:t>
          </w:r>
          <w:r>
            <w:rPr>
              <w:color w:val="000000" w:themeColor="text1"/>
              <w:sz w:val="28"/>
              <w:szCs w:val="28"/>
            </w:rPr>
            <w:tab/>
            <w:t>6</w:t>
          </w:r>
        </w:p>
        <w:p>
          <w:pPr>
            <w:pStyle w:val="TOC3"/>
            <w:ind w:right="-285" w:hanging="0"/>
            <w:rPr>
              <w:vanish/>
              <w:color w:val="000000" w:themeColor="text1"/>
              <w:sz w:val="28"/>
              <w:szCs w:val="28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</w:rPr>
            <w:t>Таблица 3. Требования к срокам оказания услуг</w:t>
          </w:r>
          <w:r>
            <w:rPr>
              <w:color w:val="000000" w:themeColor="text1"/>
              <w:sz w:val="28"/>
              <w:szCs w:val="28"/>
            </w:rPr>
            <w:tab/>
            <w:t>6</w:t>
            <w:br/>
          </w:r>
        </w:p>
        <w:p>
          <w:pPr>
            <w:pStyle w:val="TOC3"/>
            <w:ind w:right="-285" w:hanging="0"/>
            <w:rPr>
              <w:rFonts w:eastAsia="Helvetica Neue" w:eastAsiaTheme="minorEastAsia"/>
              <w:color w:val="000000" w:themeColor="text1"/>
              <w:sz w:val="28"/>
              <w:szCs w:val="28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</w:rPr>
            <w:t>3. Требования к качеству услуг</w:t>
          </w:r>
          <w:r>
            <w:rPr>
              <w:color w:val="000000" w:themeColor="text1"/>
              <w:sz w:val="28"/>
              <w:szCs w:val="28"/>
            </w:rPr>
            <w:tab/>
            <w:t>7</w:t>
          </w:r>
        </w:p>
        <w:p>
          <w:pPr>
            <w:pStyle w:val="TOC3"/>
            <w:ind w:right="-285" w:hanging="0"/>
            <w:rPr>
              <w:vanish/>
              <w:color w:val="000000" w:themeColor="text1"/>
              <w:sz w:val="28"/>
              <w:szCs w:val="28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</w:rPr>
            <w:t>Таблица 4. Требования к качеству услуг</w:t>
          </w:r>
          <w:r>
            <w:rPr>
              <w:color w:val="000000" w:themeColor="text1"/>
              <w:sz w:val="28"/>
              <w:szCs w:val="28"/>
            </w:rPr>
            <w:tab/>
            <w:t>7</w:t>
            <w:br/>
          </w:r>
        </w:p>
        <w:p>
          <w:pPr>
            <w:pStyle w:val="TOC3"/>
            <w:ind w:right="-285" w:hanging="0"/>
            <w:rPr>
              <w:rFonts w:eastAsia="Helvetica Neue" w:eastAsiaTheme="minorEastAsia"/>
              <w:color w:val="000000" w:themeColor="text1"/>
              <w:sz w:val="28"/>
              <w:szCs w:val="28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</w:rPr>
            <w:t>4.Требования к документации по ценообразованию на этапе закупки</w:t>
          </w:r>
          <w:r>
            <w:rPr>
              <w:color w:val="000000" w:themeColor="text1"/>
              <w:sz w:val="28"/>
              <w:szCs w:val="28"/>
            </w:rPr>
            <w:tab/>
            <w:t>15</w:t>
          </w:r>
        </w:p>
        <w:p>
          <w:pPr>
            <w:pStyle w:val="TOC3"/>
            <w:ind w:right="-285" w:hanging="0"/>
            <w:rPr>
              <w:rFonts w:eastAsia="Helvetica Neue" w:eastAsiaTheme="minorEastAsia"/>
              <w:color w:val="000000" w:themeColor="text1"/>
              <w:sz w:val="28"/>
              <w:szCs w:val="28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</w:rPr>
            <w:t>5. Требования к документации по ценообразованию на этапе заключения (исполнения) договора</w:t>
          </w:r>
          <w:r>
            <w:rPr>
              <w:color w:val="000000" w:themeColor="text1"/>
              <w:sz w:val="28"/>
              <w:szCs w:val="28"/>
            </w:rPr>
            <w:tab/>
            <w:t>15</w:t>
          </w:r>
        </w:p>
        <w:p>
          <w:pPr>
            <w:pStyle w:val="TOC3"/>
            <w:ind w:right="-285" w:hanging="0"/>
            <w:rPr>
              <w:rFonts w:eastAsia="Helvetica Neue" w:eastAsiaTheme="minorEastAsia"/>
              <w:color w:val="000000" w:themeColor="text1"/>
              <w:sz w:val="28"/>
              <w:szCs w:val="28"/>
              <w:lang w:val="en-US"/>
            </w:rPr>
          </w:pPr>
          <w:r>
            <w:rPr>
              <w:rFonts w:eastAsia="Helvetica Neue" w:eastAsiaTheme="minorEastAsia"/>
              <w:b/>
              <w:color w:val="000000" w:themeColor="text1"/>
              <w:sz w:val="28"/>
              <w:szCs w:val="28"/>
              <w:lang w:val="en-US"/>
            </w:rPr>
            <w:t>Приложения</w:t>
          </w:r>
          <w:r>
            <w:rPr>
              <w:color w:val="000000" w:themeColor="text1"/>
              <w:sz w:val="28"/>
              <w:szCs w:val="28"/>
            </w:rPr>
            <w:tab/>
          </w:r>
          <w:r>
            <w:rPr>
              <w:color w:val="000000" w:themeColor="text1"/>
              <w:sz w:val="28"/>
              <w:szCs w:val="28"/>
              <w:lang w:val="en-US"/>
            </w:rPr>
            <w:t>16</w:t>
          </w:r>
        </w:p>
        <w:p>
          <w:pPr>
            <w:pStyle w:val="Normal"/>
            <w:ind w:right="-285" w:hanging="0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keepNext w:val="true"/>
        <w:keepLines/>
        <w:jc w:val="center"/>
        <w:rPr/>
      </w:pPr>
      <w:r>
        <w:rPr/>
      </w:r>
      <w:r>
        <w:br w:type="page"/>
      </w:r>
    </w:p>
    <w:p>
      <w:pPr>
        <w:pStyle w:val="Title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1"/>
      <w:r>
        <w:rPr>
          <w:rFonts w:cs="Times New Roman" w:ascii="Times New Roman" w:hAnsi="Times New Roman"/>
          <w:b/>
          <w:sz w:val="28"/>
          <w:szCs w:val="28"/>
          <w:lang w:val="en-US"/>
        </w:rPr>
        <w:t xml:space="preserve">1. </w:t>
      </w:r>
      <w:r>
        <w:rPr>
          <w:rFonts w:cs="Times New Roman" w:ascii="Times New Roman" w:hAnsi="Times New Roman"/>
          <w:b/>
          <w:sz w:val="28"/>
          <w:szCs w:val="28"/>
        </w:rPr>
        <w:t>Общие сведения</w:t>
      </w:r>
      <w:bookmarkEnd w:id="0"/>
    </w:p>
    <w:p>
      <w:pPr>
        <w:pStyle w:val="Subtitle"/>
        <w:numPr>
          <w:ilvl w:val="0"/>
          <w:numId w:val="0"/>
        </w:numPr>
        <w:spacing w:before="0" w:after="0"/>
        <w:ind w:left="0" w:hanging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2"/>
      <w:r>
        <w:rPr>
          <w:rFonts w:cs="Times New Roman" w:ascii="Times New Roman" w:hAnsi="Times New Roman"/>
          <w:b/>
          <w:color w:val="000000" w:themeColor="text1"/>
          <w:sz w:val="28"/>
          <w:szCs w:val="28"/>
          <w:lang w:val="en-US"/>
        </w:rPr>
        <w:t xml:space="preserve">1.1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Обозначения и сокращения</w:t>
      </w:r>
      <w:bookmarkEnd w:id="1"/>
    </w:p>
    <w:p>
      <w:pPr>
        <w:pStyle w:val="Normal"/>
        <w:rPr>
          <w:i/>
          <w:i/>
          <w:iCs/>
          <w:sz w:val="26"/>
          <w:szCs w:val="26"/>
          <w:shd w:fill="FFFF99" w:val="clear"/>
        </w:rPr>
      </w:pPr>
      <w:r>
        <w:rPr>
          <w:i/>
          <w:iCs/>
          <w:sz w:val="26"/>
          <w:szCs w:val="26"/>
          <w:shd w:fill="FFFF99" w:val="clear"/>
        </w:rPr>
      </w:r>
    </w:p>
    <w:tbl>
      <w:tblPr>
        <w:tblStyle w:val="TableNormal"/>
        <w:tblW w:w="9783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trHeight w:val="318" w:hRule="atLeast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гидроаккумулирующая электростанция</w:t>
            </w:r>
          </w:p>
        </w:tc>
      </w:tr>
      <w:tr>
        <w:trPr>
          <w:trHeight w:val="318" w:hRule="atLeast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государственный стандарт</w:t>
            </w:r>
          </w:p>
        </w:tc>
      </w:tr>
      <w:tr>
        <w:trPr>
          <w:trHeight w:val="318" w:hRule="atLeast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публичное акционерное общество</w:t>
            </w:r>
          </w:p>
        </w:tc>
      </w:tr>
    </w:tbl>
    <w:p>
      <w:pPr>
        <w:pStyle w:val="Normal"/>
        <w:jc w:val="center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Subtitle"/>
        <w:numPr>
          <w:ilvl w:val="0"/>
          <w:numId w:val="0"/>
        </w:numPr>
        <w:ind w:left="0" w:hanging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3"/>
      <w:r>
        <w:rPr>
          <w:rFonts w:cs="Times New Roman" w:ascii="Times New Roman" w:hAnsi="Times New Roman"/>
          <w:b/>
          <w:color w:val="000000" w:themeColor="text1"/>
          <w:sz w:val="28"/>
          <w:szCs w:val="28"/>
          <w:lang w:val="en-US"/>
        </w:rPr>
        <w:t xml:space="preserve">1.2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Наименование закупаемой продукции</w:t>
      </w:r>
      <w:bookmarkEnd w:id="2"/>
    </w:p>
    <w:p>
      <w:pPr>
        <w:pStyle w:val="Normal"/>
        <w:spacing w:before="0" w:after="240"/>
        <w:ind w:firstLine="426"/>
        <w:rPr/>
      </w:pPr>
      <w:r>
        <w:rPr/>
        <w:t>«ОКПД2 33.12.19.000 Техническое обслуживание компрессоров 1-3 К-8 Загорской ГАЭС».</w:t>
      </w:r>
    </w:p>
    <w:p>
      <w:pPr>
        <w:pStyle w:val="Subtitle"/>
        <w:numPr>
          <w:ilvl w:val="0"/>
          <w:numId w:val="0"/>
        </w:numPr>
        <w:ind w:left="0" w:hanging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4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1.3 Цель оказания услуг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426"/>
        <w:jc w:val="both"/>
        <w:rPr>
          <w:shd w:fill="FFFF99" w:val="clear"/>
        </w:rPr>
      </w:pPr>
      <w:r>
        <w:rPr/>
        <w:t>Поддержание работоспособного состояния компрессорного оборудования, произведённого фирмой «Almig», установленного в компрессорной станции здания ГАЭС Филиала ПАО «РусГидро» - «Загорская ГАЭС».</w:t>
      </w:r>
    </w:p>
    <w:p>
      <w:pPr>
        <w:pStyle w:val="Subtitle"/>
        <w:numPr>
          <w:ilvl w:val="0"/>
          <w:numId w:val="0"/>
        </w:numPr>
        <w:ind w:left="0" w:hanging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5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1.4 Существующее положение</w:t>
      </w:r>
      <w:bookmarkEnd w:id="4"/>
    </w:p>
    <w:p>
      <w:pPr>
        <w:pStyle w:val="Normal"/>
        <w:spacing w:before="0" w:after="240"/>
        <w:ind w:firstLine="426"/>
        <w:jc w:val="both"/>
        <w:rPr/>
      </w:pPr>
      <w:r>
        <w:rPr/>
        <w:t>3 компрессора марки Almig VARIABLE XP 55 5-13 (оперативные обозначения 1,2,3К-8) предназначены для снабжения сжатым воздухом давления 8 кгс/см2 системы торможения гидроагрегатов, ремонтного уплотнения насос-турбин, пневмогидравлики для продувки импульсных трубок системы измерений уровня воды нижнего бьефа, системы технических нужд (питание пневмоинструментов при ремонтных работах).</w:t>
      </w:r>
    </w:p>
    <w:p>
      <w:pPr>
        <w:pStyle w:val="Normal"/>
        <w:ind w:firstLine="426"/>
        <w:rPr/>
      </w:pPr>
      <w:r>
        <w:rPr/>
        <w:t>Технические характеристики компрессора Almig VARIABLE XP 55 5-13</w:t>
      </w:r>
    </w:p>
    <w:tbl>
      <w:tblPr>
        <w:tblStyle w:val="TableNormal"/>
        <w:tblW w:w="7796" w:type="dxa"/>
        <w:jc w:val="left"/>
        <w:tblInd w:w="18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noVBand="1" w:noHBand="0" w:lastColumn="0" w:firstColumn="1" w:lastRow="0" w:firstRow="1"/>
      </w:tblPr>
      <w:tblGrid>
        <w:gridCol w:w="3968"/>
        <w:gridCol w:w="849"/>
        <w:gridCol w:w="2979"/>
      </w:tblGrid>
      <w:tr>
        <w:trPr>
          <w:trHeight w:val="308" w:hRule="atLeast"/>
        </w:trPr>
        <w:tc>
          <w:tcPr>
            <w:tcW w:w="3968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Производительность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-</w:t>
            </w:r>
          </w:p>
        </w:tc>
        <w:tc>
          <w:tcPr>
            <w:tcW w:w="2979" w:type="dxa"/>
            <w:tcBorders/>
            <w:shd w:color="auto" w:fill="auto" w:val="clear"/>
            <w:tcMar>
              <w:left w:w="251" w:type="dxa"/>
            </w:tcMar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171" w:hanging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3,16 - 9,60 м</w:t>
            </w:r>
            <w:r>
              <w:rPr>
                <w:rFonts w:eastAsia="Arial Unicode MS"/>
                <w:kern w:val="0"/>
                <w:vertAlign w:val="superscript"/>
                <w:lang w:val="ru-RU" w:eastAsia="ru-RU" w:bidi="ar-SA"/>
              </w:rPr>
              <w:t>3</w:t>
            </w:r>
            <w:r>
              <w:rPr>
                <w:rFonts w:eastAsia="Arial Unicode MS"/>
                <w:kern w:val="0"/>
                <w:lang w:val="ru-RU" w:eastAsia="ru-RU" w:bidi="ar-SA"/>
              </w:rPr>
              <w:t>/мин</w:t>
            </w:r>
          </w:p>
        </w:tc>
      </w:tr>
      <w:tr>
        <w:trPr>
          <w:trHeight w:val="308" w:hRule="atLeast"/>
        </w:trPr>
        <w:tc>
          <w:tcPr>
            <w:tcW w:w="3968" w:type="dxa"/>
            <w:tcBorders/>
            <w:shd w:color="auto" w:fill="auto" w:val="clear"/>
          </w:tcPr>
          <w:p>
            <w:pPr>
              <w:pStyle w:val="BodyText"/>
              <w:widowControl w:val="false"/>
              <w:tabs>
                <w:tab w:val="clear" w:pos="708"/>
                <w:tab w:val="left" w:pos="647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Давление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-</w:t>
            </w:r>
          </w:p>
        </w:tc>
        <w:tc>
          <w:tcPr>
            <w:tcW w:w="2979" w:type="dxa"/>
            <w:tcBorders/>
            <w:shd w:color="auto" w:fill="auto" w:val="clear"/>
            <w:tcMar>
              <w:left w:w="251" w:type="dxa"/>
            </w:tcMar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171" w:hanging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5-13 бар</w:t>
            </w:r>
          </w:p>
        </w:tc>
      </w:tr>
      <w:tr>
        <w:trPr>
          <w:trHeight w:val="308" w:hRule="atLeast"/>
        </w:trPr>
        <w:tc>
          <w:tcPr>
            <w:tcW w:w="3968" w:type="dxa"/>
            <w:tcBorders/>
            <w:shd w:color="auto" w:fill="auto" w:val="clear"/>
          </w:tcPr>
          <w:p>
            <w:pPr>
              <w:pStyle w:val="BodyText"/>
              <w:widowControl w:val="false"/>
              <w:tabs>
                <w:tab w:val="clear" w:pos="708"/>
                <w:tab w:val="left" w:pos="647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Охлаждение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-</w:t>
            </w:r>
          </w:p>
        </w:tc>
        <w:tc>
          <w:tcPr>
            <w:tcW w:w="2979" w:type="dxa"/>
            <w:tcBorders/>
            <w:shd w:color="auto" w:fill="auto" w:val="clear"/>
            <w:tcMar>
              <w:left w:w="251" w:type="dxa"/>
            </w:tcMar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171" w:hanging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воздушное</w:t>
            </w:r>
          </w:p>
        </w:tc>
      </w:tr>
      <w:tr>
        <w:trPr>
          <w:trHeight w:val="308" w:hRule="atLeast"/>
        </w:trPr>
        <w:tc>
          <w:tcPr>
            <w:tcW w:w="3968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Марка масла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-</w:t>
            </w:r>
          </w:p>
        </w:tc>
        <w:tc>
          <w:tcPr>
            <w:tcW w:w="2979" w:type="dxa"/>
            <w:tcBorders/>
            <w:shd w:color="auto" w:fill="auto" w:val="clear"/>
            <w:tcMar>
              <w:left w:w="251" w:type="dxa"/>
            </w:tcMar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171" w:hanging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«ALUB Blue S+»</w:t>
            </w:r>
          </w:p>
        </w:tc>
      </w:tr>
      <w:tr>
        <w:trPr>
          <w:trHeight w:val="308" w:hRule="atLeast"/>
        </w:trPr>
        <w:tc>
          <w:tcPr>
            <w:tcW w:w="3968" w:type="dxa"/>
            <w:tcBorders/>
            <w:shd w:color="auto" w:fill="auto" w:val="clear"/>
          </w:tcPr>
          <w:p>
            <w:pPr>
              <w:pStyle w:val="BodyText"/>
              <w:widowControl w:val="false"/>
              <w:tabs>
                <w:tab w:val="clear" w:pos="708"/>
                <w:tab w:val="left" w:pos="29" w:leader="none"/>
                <w:tab w:val="left" w:pos="6442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Температура воздуха на входе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-</w:t>
            </w:r>
          </w:p>
        </w:tc>
        <w:tc>
          <w:tcPr>
            <w:tcW w:w="2979" w:type="dxa"/>
            <w:tcBorders/>
            <w:shd w:color="auto" w:fill="auto" w:val="clear"/>
            <w:tcMar>
              <w:left w:w="251" w:type="dxa"/>
            </w:tcMar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171" w:hanging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+5...+40°С</w:t>
            </w:r>
          </w:p>
        </w:tc>
      </w:tr>
      <w:tr>
        <w:trPr>
          <w:trHeight w:val="308" w:hRule="atLeast"/>
        </w:trPr>
        <w:tc>
          <w:tcPr>
            <w:tcW w:w="3968" w:type="dxa"/>
            <w:tcBorders/>
            <w:shd w:color="auto" w:fill="auto" w:val="clear"/>
          </w:tcPr>
          <w:p>
            <w:pPr>
              <w:pStyle w:val="BodyText"/>
              <w:widowControl w:val="false"/>
              <w:tabs>
                <w:tab w:val="clear" w:pos="708"/>
                <w:tab w:val="left" w:pos="1163" w:leader="none"/>
                <w:tab w:val="left" w:pos="6442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Мощность электродвигателя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-</w:t>
            </w:r>
          </w:p>
        </w:tc>
        <w:tc>
          <w:tcPr>
            <w:tcW w:w="2979" w:type="dxa"/>
            <w:tcBorders/>
            <w:shd w:color="auto" w:fill="auto" w:val="clear"/>
            <w:tcMar>
              <w:left w:w="251" w:type="dxa"/>
            </w:tcMar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171" w:hanging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55 кВт</w:t>
            </w:r>
          </w:p>
        </w:tc>
      </w:tr>
      <w:tr>
        <w:trPr>
          <w:trHeight w:val="308" w:hRule="atLeast"/>
        </w:trPr>
        <w:tc>
          <w:tcPr>
            <w:tcW w:w="3968" w:type="dxa"/>
            <w:tcBorders/>
            <w:shd w:color="auto" w:fill="auto" w:val="clear"/>
          </w:tcPr>
          <w:p>
            <w:pPr>
              <w:pStyle w:val="BodyText"/>
              <w:widowControl w:val="false"/>
              <w:tabs>
                <w:tab w:val="clear" w:pos="708"/>
                <w:tab w:val="left" w:pos="1730" w:leader="none"/>
                <w:tab w:val="left" w:pos="6442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Напряжение питания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-</w:t>
            </w:r>
          </w:p>
        </w:tc>
        <w:tc>
          <w:tcPr>
            <w:tcW w:w="2979" w:type="dxa"/>
            <w:tcBorders/>
            <w:shd w:color="auto" w:fill="auto" w:val="clear"/>
            <w:tcMar>
              <w:left w:w="251" w:type="dxa"/>
            </w:tcMar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171" w:hanging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380 В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Heading3"/>
        <w:ind w:left="0" w:right="30" w:hanging="0"/>
        <w:rPr/>
      </w:pPr>
      <w:bookmarkStart w:id="5" w:name="_Toc201234512"/>
      <w:bookmarkStart w:id="6" w:name="_Toc6"/>
      <w:r>
        <w:rPr>
          <w:rFonts w:eastAsia="Arial Unicode MS" w:cs="Arial Unicode MS"/>
        </w:rPr>
        <w:t>Таблица 1. Перечень объектов заказчика</w:t>
      </w:r>
      <w:bookmarkEnd w:id="5"/>
      <w:bookmarkEnd w:id="6"/>
    </w:p>
    <w:tbl>
      <w:tblPr>
        <w:tblStyle w:val="TableNormal"/>
        <w:tblW w:w="9915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noVBand="1" w:noHBand="0" w:lastColumn="0" w:firstColumn="1" w:lastRow="0" w:firstRow="1"/>
      </w:tblPr>
      <w:tblGrid>
        <w:gridCol w:w="575"/>
        <w:gridCol w:w="2212"/>
        <w:gridCol w:w="2462"/>
        <w:gridCol w:w="2193"/>
        <w:gridCol w:w="2473"/>
      </w:tblGrid>
      <w:tr>
        <w:trPr>
          <w:trHeight w:val="2100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Наименование объекта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Расположение объекта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1894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252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lang w:val="en-US" w:eastAsia="ru-RU" w:bidi="ar-SA"/>
              </w:rPr>
              <w:t>1.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Техническое обслуживание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городской округ, р.п. Богородское, д. 100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Компрессор Almig VARIABLE XP 55 5-13, оперативное обозначение 1К-8, заводской номер 217.20500-119143180020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Эксплуатирующая организация Филиал ПАО «РусГидро» - «Загорская ГАЭС»</w:t>
            </w:r>
          </w:p>
        </w:tc>
      </w:tr>
      <w:tr>
        <w:trPr>
          <w:trHeight w:val="1766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252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lang w:val="en-US" w:eastAsia="ru-RU" w:bidi="ar-SA"/>
              </w:rPr>
              <w:t>2.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Техническое обслуживание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городской округ, р.п. Богородское, д. 100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Компрессор Almig VARIABLE XP 55 5-13, оперативное обозначение 2К-8, заводской номер 217.20500-119143180010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Эксплуатирующая организация Филиал ПАО «РусГидро» - «Загорская ГАЭС»</w:t>
            </w:r>
          </w:p>
        </w:tc>
      </w:tr>
      <w:tr>
        <w:trPr>
          <w:trHeight w:val="1797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right w:w="252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lang w:val="en-US" w:eastAsia="ru-RU" w:bidi="ar-SA"/>
              </w:rPr>
              <w:t>3.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Техническое обслуживание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городской округ, р.п. Богородское, д. 100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Компрессор Almig VARIABLE XP 55 5-13, оперативное обозначение 3К-8, заводской номер 217.20500-119143180010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Эксплуатирующая организация Филиал ПАО «РусГидро» - «Загорская ГАЭС»</w:t>
            </w:r>
          </w:p>
        </w:tc>
      </w:tr>
    </w:tbl>
    <w:p>
      <w:pPr>
        <w:pStyle w:val="Heading3"/>
        <w:ind w:left="0" w:right="30" w:hanging="0"/>
        <w:jc w:val="left"/>
        <w:rPr/>
      </w:pPr>
      <w:r>
        <w:rPr/>
      </w:r>
    </w:p>
    <w:p>
      <w:pPr>
        <w:pStyle w:val="Subtitle"/>
        <w:numPr>
          <w:ilvl w:val="1"/>
        </w:num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bookmarkStart w:id="7" w:name="_Toc7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1.5 Информация в отношении исполнения договора, </w:t>
      </w:r>
      <w:bookmarkStart w:id="8" w:name="_Hlk46492347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которая должна быть учтена при подготовке заявки </w:t>
      </w:r>
      <w:bookmarkEnd w:id="8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(в том числе перечень ресурсов, услуг и документов, предоставляемых заказчиком на этапе исполнения договора)</w:t>
      </w:r>
      <w:bookmarkStart w:id="9" w:name="_Hlk48209761"/>
      <w:bookmarkEnd w:id="7"/>
    </w:p>
    <w:p>
      <w:pPr>
        <w:pStyle w:val="Normal"/>
        <w:shd w:val="clear" w:color="auto" w:fill="FFFFFF"/>
        <w:spacing w:lineRule="auto" w:line="235"/>
        <w:ind w:firstLine="426"/>
        <w:jc w:val="both"/>
        <w:rPr/>
      </w:pPr>
      <w:r>
        <w:rPr/>
        <w:t>Заказчик назначает представителя для оперативного рассмотрения и решения технических и организационных вопросов, связанных с оказанием услуг.</w:t>
      </w:r>
    </w:p>
    <w:p>
      <w:pPr>
        <w:pStyle w:val="Normal"/>
        <w:ind w:firstLine="426"/>
        <w:rPr/>
      </w:pPr>
      <w:r>
        <w:rPr/>
        <w:t>Заказчик предоставляет подрядчику</w:t>
      </w:r>
      <w:r>
        <w:rPr>
          <w:lang w:val="en-US"/>
        </w:rPr>
        <w:t>:</w:t>
      </w:r>
    </w:p>
    <w:p>
      <w:pPr>
        <w:pStyle w:val="Normal"/>
        <w:ind w:firstLine="426"/>
        <w:rPr>
          <w:lang w:val="en-US"/>
        </w:rPr>
      </w:pPr>
      <w:r>
        <w:rPr>
          <w:lang w:val="en-US"/>
        </w:rPr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Следующие виды ресурсов на безвозмездной основе в потребном количестве на время оказания услуг:</w:t>
      </w:r>
    </w:p>
    <w:p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Электрическая энергия, напряжение 220 В, частота 50 Гц для электроинструмента и приборов освещения.</w:t>
      </w:r>
    </w:p>
    <w:p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Сжатый воздух, давление 8 кгс/см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для пневмоинструмента.</w:t>
      </w:r>
    </w:p>
    <w:p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Площадка для разгрузки запасных частей и материалов.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7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Техническую документацию:</w:t>
      </w:r>
    </w:p>
    <w:p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Руководство по эксплуатации Almig GEAR XP 45, 55, 75, 90 VARIABLE XP 45, 55, 75, 90;</w:t>
      </w:r>
    </w:p>
    <w:p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Руководство по эксплуатации AC P;</w:t>
      </w:r>
    </w:p>
    <w:p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Паспорт компрессора Almig VARIABLE XP 55 5-13, (1К-8);</w:t>
      </w:r>
    </w:p>
    <w:p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Паспорт компрессора Almig VARIABLE XP 55 5-13, (2К-8);</w:t>
      </w:r>
    </w:p>
    <w:p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Паспорт компрессора Almig VARIABLE XP 55 5-13, (3К-8).</w:t>
      </w:r>
    </w:p>
    <w:p>
      <w:pPr>
        <w:pStyle w:val="Normal"/>
        <w:ind w:left="709" w:hanging="0"/>
        <w:rPr/>
      </w:pPr>
      <w:r>
        <w:rPr/>
      </w:r>
    </w:p>
    <w:p>
      <w:pPr>
        <w:pStyle w:val="Normal"/>
        <w:ind w:firstLine="426"/>
        <w:jc w:val="both"/>
        <w:rPr/>
      </w:pPr>
      <w:r>
        <w:rPr/>
        <w:t>Заказчик ознакомляет Исполнителя с локальными нормативными актами Заказчика, устанавливающими требования по охране труда, промышленной и пожарной безопасности, охране окружающей среды, правилами пропускного и внутриобъектового режима Заказчика.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itle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2. </w:t>
      </w:r>
      <w:bookmarkStart w:id="10" w:name="_Toc8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Требования к продукции</w:t>
      </w:r>
      <w:bookmarkEnd w:id="10"/>
    </w:p>
    <w:p>
      <w:pPr>
        <w:pStyle w:val="Subtitle"/>
        <w:numPr>
          <w:ilvl w:val="1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1" w:name="_Toc9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2.1 Требования к объемам и срокам оказания услуг</w:t>
      </w:r>
      <w:bookmarkEnd w:id="9"/>
      <w:bookmarkEnd w:id="11"/>
    </w:p>
    <w:p>
      <w:pPr>
        <w:pStyle w:val="Heading3"/>
        <w:rPr/>
      </w:pPr>
      <w:bookmarkStart w:id="12" w:name="_Toc201234513"/>
      <w:bookmarkStart w:id="13" w:name="_Toc10"/>
      <w:r>
        <w:rPr>
          <w:rFonts w:eastAsia="Arial Unicode MS" w:cs="Arial Unicode MS"/>
        </w:rPr>
        <w:t>Таблица 2. Перечень и объем оказываемых услуг</w:t>
      </w:r>
      <w:bookmarkEnd w:id="12"/>
      <w:bookmarkEnd w:id="13"/>
    </w:p>
    <w:tbl>
      <w:tblPr>
        <w:tblStyle w:val="TableNormal"/>
        <w:tblW w:w="9750" w:type="dxa"/>
        <w:jc w:val="left"/>
        <w:tblInd w:w="61" w:type="dxa"/>
        <w:tblLayout w:type="fixed"/>
        <w:tblCellMar>
          <w:top w:w="80" w:type="dxa"/>
          <w:left w:w="440" w:type="dxa"/>
          <w:bottom w:w="80" w:type="dxa"/>
          <w:right w:w="80" w:type="dxa"/>
        </w:tblCellMar>
        <w:tblLook w:val="04a0" w:noVBand="1" w:noHBand="0" w:lastColumn="0" w:firstColumn="1" w:lastRow="0" w:firstRow="1"/>
      </w:tblPr>
      <w:tblGrid>
        <w:gridCol w:w="1212"/>
        <w:gridCol w:w="4863"/>
        <w:gridCol w:w="1980"/>
        <w:gridCol w:w="1694"/>
      </w:tblGrid>
      <w:tr>
        <w:trPr>
          <w:trHeight w:val="60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434" w:right="-79" w:hanging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№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-434" w:right="-79" w:hanging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п/п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Наименование услуг / этапа услуг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Единица измерения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434" w:right="-79" w:hanging="0"/>
              <w:jc w:val="center"/>
              <w:rPr>
                <w:b/>
              </w:rPr>
            </w:pPr>
            <w:r>
              <w:rPr>
                <w:rFonts w:eastAsia="Arial Unicode MS"/>
                <w:b/>
                <w:kern w:val="0"/>
                <w:lang w:val="ru-RU" w:eastAsia="ru-RU" w:bidi="ar-SA"/>
              </w:rPr>
              <w:t>1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4</w:t>
            </w:r>
          </w:p>
        </w:tc>
      </w:tr>
      <w:tr>
        <w:trPr>
          <w:trHeight w:val="1347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84" w:right="-79" w:hanging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1.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Техническое обслуживание 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Almig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VARIABLE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XP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 55 5-13 1-3К-8 Загорской ГАЭС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В соответствии с перечнем типовых услуг по ТО компрессоров К-8 Загорской ГАЭС (Приложение № 3 к настоящим Техническим требованиям)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Subtitle"/>
        <w:numPr>
          <w:ilvl w:val="1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4" w:name="_Toc11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2.2 Требования к срокам оказания услуг</w:t>
      </w:r>
      <w:bookmarkEnd w:id="14"/>
    </w:p>
    <w:p>
      <w:pPr>
        <w:pStyle w:val="Heading3"/>
        <w:ind w:left="0" w:right="30" w:hanging="0"/>
        <w:rPr/>
      </w:pPr>
      <w:bookmarkStart w:id="15" w:name="_Toc201234514"/>
      <w:bookmarkStart w:id="16" w:name="_Toc12"/>
      <w:r>
        <w:rPr>
          <w:rFonts w:eastAsia="Arial Unicode MS" w:cs="Arial Unicode MS"/>
        </w:rPr>
        <w:t xml:space="preserve">Таблица 3. </w:t>
      </w:r>
      <w:bookmarkStart w:id="17" w:name="_Hlk50465284"/>
      <w:r>
        <w:rPr>
          <w:rFonts w:eastAsia="Arial Unicode MS" w:cs="Arial Unicode MS"/>
        </w:rPr>
        <w:t xml:space="preserve">Требования к срокам </w:t>
      </w:r>
      <w:bookmarkEnd w:id="17"/>
      <w:r>
        <w:rPr>
          <w:rFonts w:eastAsia="Arial Unicode MS" w:cs="Arial Unicode MS"/>
        </w:rPr>
        <w:t>оказания услуг</w:t>
      </w:r>
      <w:bookmarkEnd w:id="15"/>
      <w:bookmarkEnd w:id="16"/>
    </w:p>
    <w:tbl>
      <w:tblPr>
        <w:tblStyle w:val="TableNormal"/>
        <w:tblW w:w="9781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noVBand="1" w:noHBand="0" w:lastColumn="0" w:firstColumn="1" w:lastRow="0" w:firstRow="1"/>
      </w:tblPr>
      <w:tblGrid>
        <w:gridCol w:w="1118"/>
        <w:gridCol w:w="3129"/>
        <w:gridCol w:w="2701"/>
        <w:gridCol w:w="2832"/>
      </w:tblGrid>
      <w:tr>
        <w:trPr>
          <w:trHeight w:val="900" w:hRule="atLeast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Наименование услуг/ этапа услуг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Требования к началу срока оказания услуг/ этапа услуг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132" w:hRule="atLeast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37" w:type="dxa"/>
              <w:right w:w="137" w:type="dxa"/>
            </w:tcMar>
            <w:vAlign w:val="center"/>
          </w:tcPr>
          <w:p>
            <w:pPr>
              <w:pStyle w:val="Style16"/>
              <w:keepNext w:val="false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37" w:type="dxa"/>
              <w:right w:w="137" w:type="dxa"/>
            </w:tcMar>
            <w:vAlign w:val="center"/>
          </w:tcPr>
          <w:p>
            <w:pPr>
              <w:pStyle w:val="Style16"/>
              <w:keepNext w:val="false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>
          <w:trHeight w:val="1068" w:hRule="atLeast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  <w:t>1.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Техническое обслуживание компрессоров 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Almig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VARIABLE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XP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 55 5-13 1-3К-8 Загорской ГАЭС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0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11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.2027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20.12.2027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Title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3. </w:t>
      </w:r>
      <w:bookmarkStart w:id="18" w:name="_Toc13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Требования к качеству услуг</w:t>
      </w:r>
      <w:bookmarkEnd w:id="18"/>
    </w:p>
    <w:p>
      <w:pPr>
        <w:pStyle w:val="Normal"/>
        <w:rPr/>
      </w:pPr>
      <w:r>
        <w:rPr/>
      </w:r>
    </w:p>
    <w:p>
      <w:pPr>
        <w:pStyle w:val="Heading3"/>
        <w:rPr/>
      </w:pPr>
      <w:bookmarkStart w:id="19" w:name="_Toc201234515"/>
      <w:bookmarkStart w:id="20" w:name="_Toc14"/>
      <w:r>
        <w:rPr>
          <w:rFonts w:eastAsia="Arial Unicode MS" w:cs="Arial Unicode MS"/>
        </w:rPr>
        <w:t>Таблица 4. Требования к качеству услуг</w:t>
      </w:r>
      <w:bookmarkEnd w:id="19"/>
      <w:bookmarkEnd w:id="20"/>
    </w:p>
    <w:p>
      <w:pPr>
        <w:pStyle w:val="Normal"/>
        <w:ind w:right="395" w:hanging="0"/>
        <w:jc w:val="both"/>
        <w:rPr>
          <w:i/>
          <w:i/>
          <w:iCs/>
          <w:sz w:val="32"/>
          <w:shd w:fill="FFFF99" w:val="clear"/>
        </w:rPr>
      </w:pPr>
      <w:r>
        <w:rPr>
          <w:b/>
          <w:bCs/>
          <w:szCs w:val="24"/>
        </w:rPr>
        <w:t>Наименование услуг/этапа услуг (позиция №1 Таблицы 2):</w:t>
      </w:r>
      <w:r>
        <w:rPr>
          <w:sz w:val="32"/>
        </w:rPr>
        <w:t xml:space="preserve"> </w:t>
      </w:r>
      <w:r>
        <w:rPr>
          <w:szCs w:val="24"/>
        </w:rPr>
        <w:t>Техническое обслуживание компрессоров Almig VARIABLE XP 55 5-13 1-3К-8 Загорской ГАЭС</w:t>
      </w:r>
    </w:p>
    <w:tbl>
      <w:tblPr>
        <w:tblStyle w:val="TableNormal"/>
        <w:tblW w:w="10560" w:type="dxa"/>
        <w:jc w:val="left"/>
        <w:tblInd w:w="-87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noVBand="1" w:noHBand="0" w:lastColumn="0" w:firstColumn="1" w:lastRow="0" w:firstRow="1"/>
      </w:tblPr>
      <w:tblGrid>
        <w:gridCol w:w="706"/>
        <w:gridCol w:w="1721"/>
        <w:gridCol w:w="2523"/>
        <w:gridCol w:w="1653"/>
        <w:gridCol w:w="2098"/>
        <w:gridCol w:w="1858"/>
      </w:tblGrid>
      <w:tr>
        <w:trPr>
          <w:trHeight w:val="900" w:hRule="atLeast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1500" w:hRule="atLeast"/>
        </w:trPr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5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подтверждающе-го документа или иной способ подтверждения</w:t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27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1.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1.1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01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63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1.1.1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Требования к оказанию услуг по техническому обслуживанию компрессора Almig VARIABLE XP 55 5-13 1К-8 Загорской ГАЭС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Техническое обслуживание должно проводиться с отключением компрессора от систем электро- и воздухоснабжения, в объёме, предусмотренном Приложением № 3 к настоящим ТТ.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/>
            </w:pPr>
            <w:bookmarkStart w:id="21" w:name="_Toc201234516"/>
            <w:r>
              <w:rPr>
                <w:rFonts w:eastAsia="Arial Unicode MS" w:cs="Times New Roman" w:ascii="Symbol" w:hAnsi="Symbol"/>
                <w:b w:val="false"/>
                <w:bCs w:val="false"/>
                <w:kern w:val="0"/>
                <w:sz w:val="28"/>
                <w:szCs w:val="28"/>
                <w:lang w:val="ru-RU" w:eastAsia="ru-RU" w:bidi="ar-SA"/>
              </w:rPr>
              <w:t></w:t>
            </w:r>
            <w:bookmarkEnd w:id="21"/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1.1.2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Требования к оказанию услуг по техническому обслуживанию компрессора Almig VARIABLE XP 55 5-13 2К-8 Загорской ГАЭС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Arial Unicode MS"/>
                <w:kern w:val="0"/>
                <w:sz w:val="24"/>
                <w:lang w:val="ru-RU" w:eastAsia="ru-RU" w:bidi="ar-SA"/>
              </w:rPr>
              <w:t>Техническое обслуживание должно проводиться с отключением компрессора от систем электро- и воздухоснабжения, в объёме, предусмотренном Приложением № 3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 к настоящим ТТ.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4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1.1.3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Требования к оказанию услуг по техническому обслуживанию компрессора Almig VARIABLE XP 55 5-13 3К-8 Загорской ГАЭС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Техническое обслуживание должно проводиться с отключением компрессора от систем электро- и воздухоснабжения, в объёме, предусмотренном Приложением № 3 к настоящим ТТ.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1.2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07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1.2.1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Требование к используемым запасным частям и материалам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Запасные части и материалы, необходимые для оказания услуг по техническому обслуживанию компрессоров Almig VARIABLE XP 55 5-13 1-3К-8 Загорской ГАЭС, приобретаются исполнителем самостоятельно согласно Приложению № 3 к настоящим ТТ. Применение эквивалента не допускается в соответствии с пп.3Б п.6.1 ст.3 закона </w:t>
            </w:r>
            <w:r>
              <w:rPr>
                <w:rFonts w:eastAsia="Arial Unicode MS" w:cs="Arial Unicode MS"/>
                <w:color w:val="000000"/>
                <w:kern w:val="0"/>
                <w:sz w:val="24"/>
                <w:szCs w:val="24"/>
                <w:u w:val="none" w:color="000000"/>
                <w:lang w:val="ru-RU" w:eastAsia="ru-RU" w:bidi="ar-SA"/>
              </w:rPr>
              <w:t>№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223- ФЗ от 18.07.2011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Symbol" w:hAnsi="Symbol"/>
                <w:kern w:val="0"/>
                <w:lang w:val="ru-RU" w:eastAsia="ru-RU" w:bidi="ar-SA"/>
              </w:rPr>
              <w:t>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Предложения по количеству и наименованию запасных частей и материалов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1.3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520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1.3.1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Требования к количеству персонала на этапе исполнения договора, оказывающего услуги по техническому обслуживанию компрессоров Almig VARIABLE XP 55 5-13 1-3К-8 Загорской ГАЭС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Не менее 2-ух специалистов с группой по электробезопасности не ниже 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III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, в том числе с правами производителя работ.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90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1.3.2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Требования к обязательному применению СИЗ персоналом, проводящим техническое обслуживание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Персонал подрядной организации, при оказании услуг, обязан применять сертифицированную специальную одежду, специальную обувь и другие средства индивидуальной защиты соответствующие характеру оказываемых услуг.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Согласие с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Symbol" w:hAnsi="Symbol"/>
                <w:kern w:val="0"/>
                <w:lang w:val="ru-RU" w:eastAsia="ru-RU" w:bidi="ar-SA"/>
              </w:rPr>
              <w:t>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2.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услуг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2.1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19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2.1.1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Результат оказания услуг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Проведенное техническое обслуживание компрессоров Almig VARIABLE XP 55 5-13 (1-3 К-8), позволяющее безаварийно эксплуатировать перечисленное оборудование до следующего технического обслуживания по регламенту.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cs="Times New Roman"/>
              </w:rPr>
            </w:pPr>
            <w:bookmarkStart w:id="22" w:name="_Toc201234517"/>
            <w:r>
              <w:rPr>
                <w:rFonts w:eastAsia="Arial Unicode MS" w:cs="Times New Roman" w:ascii="Symbol" w:hAnsi="Symbol"/>
                <w:b w:val="false"/>
                <w:bCs w:val="false"/>
                <w:kern w:val="0"/>
                <w:sz w:val="28"/>
                <w:szCs w:val="28"/>
                <w:lang w:val="ru-RU" w:eastAsia="ru-RU" w:bidi="ar-SA"/>
              </w:rPr>
              <w:t></w:t>
            </w:r>
            <w:bookmarkEnd w:id="22"/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40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2.2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услуг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73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2.2.1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Про</w:t>
            </w: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хождение подконтрольной эксплуатации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Перед передачей заказчику результатов оказания услуг исполнитель должен провести подконтрольную эксплуатацию компрессорного оборудования продолжительностью не менее 24 ч. После заказчику должен быть передан пакет документов, указанных в п. 2.3 настоящей таблицы.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Symbol" w:hAnsi="Symbol"/>
                <w:kern w:val="0"/>
                <w:lang w:val="ru-RU" w:eastAsia="ru-RU" w:bidi="ar-SA"/>
              </w:rPr>
              <w:t>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8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2.3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0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2.3.1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журналы проведения технического обслуживания и паспорта компрессоров, содержащие отметки о проведении технического обслуживания.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cs="Times New Roman"/>
              </w:rPr>
            </w:pPr>
            <w:bookmarkStart w:id="23" w:name="_Toc201234518"/>
            <w:r>
              <w:rPr>
                <w:rFonts w:eastAsia="Arial Unicode MS" w:cs="Times New Roman" w:ascii="Symbol" w:hAnsi="Symbol"/>
                <w:b w:val="false"/>
                <w:bCs w:val="false"/>
                <w:kern w:val="0"/>
                <w:sz w:val="28"/>
                <w:szCs w:val="28"/>
                <w:lang w:val="ru-RU" w:eastAsia="ru-RU" w:bidi="ar-SA"/>
              </w:rPr>
              <w:t></w:t>
            </w:r>
            <w:bookmarkEnd w:id="23"/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75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3.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485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3.1.1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 w:eastAsia="Arial Unicode MS"/>
                <w:kern w:val="0"/>
                <w:sz w:val="20"/>
                <w:szCs w:val="20"/>
                <w:lang w:val="ru-RU" w:eastAsia="ru-RU" w:bidi="ar-SA"/>
              </w:rPr>
            </w:pPr>
            <w:bookmarkStart w:id="24" w:name="_Toc201234519"/>
            <w:r>
              <w:rPr>
                <w:rFonts w:eastAsia="Arial Unicode MS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Соблюдение при указании услуг норм и правил нормативно-технических документов</w:t>
            </w:r>
            <w:bookmarkEnd w:id="24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Услуги должны осуществляться в соответствии с национальными, отраслевыми и корпоративными (ПАО «РусГидро») нормативно-техническими документами (НТД) и нормативно-правовыми актами (НПА):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Правилами по охране труда при эксплуатации электроустановок, утвержденными приказом Министерства труда и социальной защиты Российской Федерации от 15.12.2020 г. № 903н (ред. от 29.04.2022 г.);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Правила работы с персоналом в организация</w:t>
            </w:r>
            <w:bookmarkStart w:id="25" w:name="_GoBack"/>
            <w:bookmarkEnd w:id="25"/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х электроэнергетики РФ (ред. от 09.12.2024) (утверждены Приказом Министерства энергетики РФ от 22.09.2020 № 796);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Правилами технической эксплуатации электрических станций и сетей Российской Федерации, утвержденными приказом Минэнерго России от 04.10.2022 № 1070;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Правилами по охране труда при работе с инструментом и приспособлениями, утвержденными приказом Минтруда и соцзащиты России от 27.11.2020 № 835н;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Правилами противопожарного режима в РФ, введёнными Постановлением Правительства РФ от 16.09.2020 №1479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Правилами организации технического обслуживания и ремонта объектов электроэнергетики, утвержденными приказом Минэнерго России от 25.10.2017 № 1013;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Правилами по охране труда при размещении, монтаже, техническом обслуживании и ремонте технологического оборудования, утвержденными приказом Минтруда и соцзащиты России от 27.11.2020 № 883н;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Национальный стандарт ГОСТ Р 72193- 2025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Методикой допуска персонала подрядных организаций к выполнению работ на объектах Общества, утвержденной приказом ПАО «РусГидро» от 28.04.2023 № 300 (Приложение № 2 к настоящим ТТ);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СТО РусГидро 02.01.62-2021 «Электрические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требования», утвержденный приказом ПАО «РусГидро» от 28.12.2021 № 1184.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cs="Times New Roman"/>
              </w:rPr>
            </w:pPr>
            <w:bookmarkStart w:id="26" w:name="_Toc201234520"/>
            <w:r>
              <w:rPr>
                <w:rFonts w:eastAsia="Arial Unicode MS" w:cs="Times New Roman" w:ascii="Symbol" w:hAnsi="Symbol"/>
                <w:b w:val="false"/>
                <w:bCs w:val="false"/>
                <w:kern w:val="0"/>
                <w:sz w:val="28"/>
                <w:szCs w:val="28"/>
                <w:lang w:val="ru-RU" w:eastAsia="ru-RU" w:bidi="ar-SA"/>
              </w:rPr>
              <w:t></w:t>
            </w:r>
            <w:bookmarkEnd w:id="26"/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kern w:val="0"/>
                <w:sz w:val="24"/>
                <w:szCs w:val="24"/>
                <w:lang w:val="en-US" w:eastAsia="ru-RU" w:bidi="ar-SA"/>
              </w:rPr>
              <w:t>4.</w:t>
            </w:r>
          </w:p>
        </w:tc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70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71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en-US" w:eastAsia="ru-RU" w:bidi="ar-SA"/>
              </w:rPr>
              <w:t>4.1.1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услуг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17" w:type="dxa"/>
            </w:tcMar>
          </w:tcPr>
          <w:p>
            <w:pPr>
              <w:pStyle w:val="ListParagraph"/>
              <w:widowControl w:val="false"/>
              <w:tabs>
                <w:tab w:val="clear" w:pos="708"/>
                <w:tab w:val="left" w:pos="-60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Гарантийный срок на заменённые запасные части должен составлять 2000 часов наработки компрессоров Almig VARIABLE XP 55 5-13  (1-3К-8) либо не менее 12 месяцев с даты подписания приёмки указанных услуг.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Symbol" w:hAnsi="Symbol"/>
                <w:kern w:val="0"/>
                <w:lang w:val="ru-RU" w:eastAsia="ru-RU" w:bidi="ar-SA"/>
              </w:rPr>
              <w:t>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  <w:t xml:space="preserve">Указать срок </w:t>
              <w:br/>
              <w:t>(в часах наработки оборудования и месяцах).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footerReference w:type="first" r:id="rId5"/>
          <w:type w:val="nextPage"/>
          <w:pgSz w:w="11906" w:h="16838"/>
          <w:pgMar w:left="992" w:right="567" w:gutter="0" w:header="680" w:top="851" w:footer="737" w:bottom="851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Title"/>
        <w:widowControl w:val="false"/>
        <w:tabs>
          <w:tab w:val="clear" w:pos="708"/>
          <w:tab w:val="left" w:pos="426" w:leader="none"/>
        </w:tabs>
        <w:suppressAutoHyphens w:val="true"/>
        <w:bidi w:val="0"/>
        <w:spacing w:before="60" w:after="0"/>
        <w:ind w:firstLine="567"/>
        <w:contextualSpacing/>
        <w:jc w:val="both"/>
        <w:rPr>
          <w:shd w:fill="FFFF99" w:val="clear"/>
        </w:rPr>
      </w:pPr>
      <w:r>
        <w:rPr/>
      </w:r>
    </w:p>
    <w:p>
      <w:pPr>
        <w:pStyle w:val="Normal"/>
        <w:rPr>
          <w:caps/>
        </w:rPr>
      </w:pPr>
      <w:r>
        <w:rPr>
          <w:caps/>
        </w:rPr>
      </w:r>
    </w:p>
    <w:p>
      <w:pPr>
        <w:pStyle w:val="Title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7" w:name="_Toc16"/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4. Требования к документации по ценообразованию на этапе заключения (исполнения) договора</w:t>
      </w:r>
      <w:bookmarkEnd w:id="27"/>
    </w:p>
    <w:p>
      <w:pPr>
        <w:pStyle w:val="Normal"/>
        <w:ind w:firstLine="709"/>
        <w:jc w:val="both"/>
        <w:rPr/>
      </w:pPr>
      <w:r>
        <w:rPr/>
        <w:t>Сметная   документация   разрабатывается   исполнителем   в   соответствии   с Требованиями к оформлению и составлению сметной документации приведены в Приложении No5 к Техническому Заданию на выполнение работ и согласовывается с Заказчиком на этапе заключения договора.ие.</w:t>
      </w:r>
    </w:p>
    <w:p>
      <w:pPr>
        <w:pStyle w:val="Normal"/>
        <w:ind w:firstLine="709"/>
        <w:jc w:val="both"/>
        <w:rPr/>
      </w:pPr>
      <w:r>
        <w:rPr/>
      </w:r>
      <w:r>
        <w:br w:type="page"/>
      </w:r>
    </w:p>
    <w:p>
      <w:pPr>
        <w:pStyle w:val="Title"/>
        <w:spacing w:before="0" w:after="240"/>
        <w:contextualSpacing/>
        <w:jc w:val="center"/>
        <w:rPr>
          <w:b/>
          <w:sz w:val="28"/>
          <w:szCs w:val="28"/>
        </w:rPr>
      </w:pPr>
      <w:bookmarkStart w:id="28" w:name="_Toc17"/>
      <w:r>
        <w:rPr>
          <w:b/>
          <w:sz w:val="28"/>
          <w:szCs w:val="28"/>
        </w:rPr>
        <w:t>Приложения</w:t>
      </w:r>
      <w:bookmarkEnd w:id="28"/>
    </w:p>
    <w:p>
      <w:pPr>
        <w:pStyle w:val="ListParagraph"/>
        <w:numPr>
          <w:ilvl w:val="0"/>
          <w:numId w:val="4"/>
        </w:numPr>
        <w:ind w:left="0" w:hanging="0"/>
        <w:rPr>
          <w:sz w:val="28"/>
        </w:rPr>
      </w:pPr>
      <w:r>
        <w:rPr>
          <w:sz w:val="28"/>
        </w:rPr>
        <w:t>Приложение №1: Руководство по эксплуатации Almig GEAR XP 45, 55, 75, 90 VARIABLE XP 45, 55, 75, 90.</w:t>
      </w:r>
    </w:p>
    <w:p>
      <w:pPr>
        <w:pStyle w:val="ListParagraph"/>
        <w:numPr>
          <w:ilvl w:val="0"/>
          <w:numId w:val="4"/>
        </w:numPr>
        <w:ind w:left="0" w:hanging="0"/>
        <w:rPr>
          <w:sz w:val="28"/>
        </w:rPr>
      </w:pPr>
      <w:r>
        <w:rPr>
          <w:sz w:val="28"/>
        </w:rPr>
        <w:t>Приложение №2: Методика допуска персонала подрядных организаций.</w:t>
      </w:r>
    </w:p>
    <w:p>
      <w:pPr>
        <w:pStyle w:val="ListParagraph"/>
        <w:numPr>
          <w:ilvl w:val="0"/>
          <w:numId w:val="4"/>
        </w:numPr>
        <w:ind w:left="0" w:hanging="0"/>
        <w:rPr>
          <w:sz w:val="28"/>
        </w:rPr>
      </w:pPr>
      <w:r>
        <w:rPr>
          <w:sz w:val="28"/>
        </w:rPr>
        <w:t>Приложение №3: Перечень типовых услуг по техническому обслуживанию компрессоров 1-3 К-8 Загорской ГАЭС.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709" w:leader="none"/>
        </w:tabs>
        <w:spacing w:before="0" w:after="240"/>
        <w:ind w:left="0" w:hanging="0"/>
        <w:jc w:val="both"/>
        <w:rPr>
          <w:sz w:val="28"/>
        </w:rPr>
      </w:pPr>
      <w:r>
        <w:rPr>
          <w:sz w:val="28"/>
        </w:rPr>
        <w:t xml:space="preserve">Приложение №4: Каталог запасных частей </w:t>
      </w:r>
      <w:r>
        <w:rPr>
          <w:sz w:val="28"/>
          <w:lang w:val="en-US"/>
        </w:rPr>
        <w:t>GEAR</w:t>
      </w:r>
      <w:r>
        <w:rPr>
          <w:sz w:val="28"/>
        </w:rPr>
        <w:t xml:space="preserve"> / </w:t>
      </w:r>
      <w:r>
        <w:rPr>
          <w:sz w:val="28"/>
          <w:lang w:val="en-US"/>
        </w:rPr>
        <w:t>VARIABLE</w:t>
      </w:r>
      <w:r>
        <w:rPr>
          <w:sz w:val="28"/>
        </w:rPr>
        <w:t xml:space="preserve"> </w:t>
      </w:r>
      <w:r>
        <w:rPr>
          <w:sz w:val="28"/>
          <w:lang w:val="en-US"/>
        </w:rPr>
        <w:t>XP</w:t>
      </w:r>
      <w:r>
        <w:rPr>
          <w:sz w:val="28"/>
        </w:rPr>
        <w:t xml:space="preserve"> 45 – 90.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709" w:leader="none"/>
        </w:tabs>
        <w:spacing w:before="0" w:after="240"/>
        <w:ind w:left="0" w:hanging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Приложение №5: </w:t>
      </w:r>
      <w:r>
        <w:rPr>
          <w:b w:val="false"/>
          <w:i w:val="false"/>
          <w:caps w:val="false"/>
          <w:smallCaps w:val="false"/>
          <w:spacing w:val="0"/>
          <w:sz w:val="28"/>
        </w:rPr>
        <w:t>Требования к оформлению и составлению документации по</w:t>
      </w:r>
      <w:r>
        <w:rPr>
          <w:caps w:val="false"/>
          <w:smallCaps w:val="false"/>
          <w:spacing w:val="0"/>
          <w:sz w:val="28"/>
        </w:rPr>
        <w:t xml:space="preserve"> </w:t>
      </w:r>
      <w:r>
        <w:rPr>
          <w:b w:val="false"/>
          <w:i w:val="false"/>
          <w:caps w:val="false"/>
          <w:smallCaps w:val="false"/>
          <w:spacing w:val="0"/>
          <w:sz w:val="28"/>
        </w:rPr>
        <w:t>ценообразованию</w:t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134" w:right="851" w:gutter="0" w:header="680" w:top="1134" w:footer="737" w:bottom="992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Helvetica Neu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249731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Style1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5750954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Style1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1139" w:hanging="375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22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58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56" w:hanging="144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894" w:hanging="144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2" w:hanging="18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90" w:hanging="21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43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43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86" w:hanging="39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43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43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39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43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43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39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lvl w:ilvl="0">
      <w:start w:val="1"/>
      <w:numFmt w:val="lowerLetter"/>
      <w:lvlText w:val="%1."/>
      <w:lvlJc w:val="left"/>
      <w:pPr>
        <w:tabs>
          <w:tab w:val="num" w:pos="1416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136"/>
        </w:tabs>
        <w:ind w:left="1429" w:firstLine="12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856"/>
        </w:tabs>
        <w:ind w:left="2149" w:firstLine="64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576"/>
        </w:tabs>
        <w:ind w:left="2869" w:firstLine="36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296"/>
        </w:tabs>
        <w:ind w:left="3589" w:firstLine="48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5016"/>
        </w:tabs>
        <w:ind w:left="4309" w:firstLine="1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736"/>
        </w:tabs>
        <w:ind w:left="5029" w:firstLine="72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6456"/>
        </w:tabs>
        <w:ind w:left="5749" w:firstLine="84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7176"/>
        </w:tabs>
        <w:ind w:left="6469" w:firstLine="136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kern w:val="0"/>
        <w:szCs w:val="28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1139" w:hanging="375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22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58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56" w:hanging="144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894" w:hanging="144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2" w:hanging="18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90" w:hanging="21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1139" w:hanging="375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22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58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56" w:hanging="144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894" w:hanging="144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2" w:hanging="18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90" w:hanging="21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44c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8"/>
      <w:szCs w:val="28"/>
      <w:u w:val="none" w:color="000000"/>
      <w:lang w:val="ru-RU" w:eastAsia="ru-RU" w:bidi="ar-SA"/>
    </w:rPr>
  </w:style>
  <w:style w:type="paragraph" w:styleId="Heading1">
    <w:name w:val="Heading 1"/>
    <w:next w:val="Normal"/>
    <w:qFormat/>
    <w:pPr>
      <w:keepNext w:val="true"/>
      <w:widowControl/>
      <w:shd w:val="clear" w:color="auto" w:fill="FFFFFF"/>
      <w:suppressAutoHyphens w:val="true"/>
      <w:bidi w:val="0"/>
      <w:spacing w:before="30" w:after="30"/>
      <w:ind w:left="786" w:right="30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:u w:val="none" w:color="000000"/>
      <w:lang w:val="ru-RU" w:eastAsia="ru-RU" w:bidi="ar-SA"/>
    </w:rPr>
  </w:style>
  <w:style w:type="paragraph" w:styleId="Heading2">
    <w:name w:val="Heading 2"/>
    <w:next w:val="Normal"/>
    <w:qFormat/>
    <w:pPr>
      <w:keepNext w:val="true"/>
      <w:widowControl/>
      <w:shd w:val="clear" w:color="auto" w:fill="FFFFFF"/>
      <w:suppressAutoHyphens w:val="true"/>
      <w:bidi w:val="0"/>
      <w:spacing w:before="30" w:after="30"/>
      <w:ind w:left="1440" w:right="30" w:hanging="36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:u w:val="none" w:color="000000"/>
      <w:lang w:val="ru-RU" w:eastAsia="ru-RU" w:bidi="ar-SA"/>
    </w:rPr>
  </w:style>
  <w:style w:type="paragraph" w:styleId="Heading3">
    <w:name w:val="Heading 3"/>
    <w:next w:val="Normal"/>
    <w:qFormat/>
    <w:pPr>
      <w:keepNext w:val="true"/>
      <w:widowControl/>
      <w:shd w:val="clear" w:color="auto" w:fill="FFFFFF"/>
      <w:suppressAutoHyphens w:val="true"/>
      <w:bidi w:val="0"/>
      <w:spacing w:before="30" w:after="30"/>
      <w:ind w:left="786" w:right="30" w:hanging="0"/>
      <w:jc w:val="center"/>
      <w:outlineLvl w:val="2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:u w:val="none" w:color="000000"/>
      <w:lang w:val="ru-RU" w:eastAsia="ru-RU" w:bidi="ar-SA"/>
    </w:rPr>
  </w:style>
  <w:style w:type="paragraph" w:styleId="Heading4">
    <w:name w:val="Heading 4"/>
    <w:next w:val="Normal"/>
    <w:qFormat/>
    <w:pPr>
      <w:keepNext w:val="true"/>
      <w:widowControl/>
      <w:shd w:val="clear" w:color="auto" w:fill="FFFFFF"/>
      <w:suppressAutoHyphens w:val="true"/>
      <w:bidi w:val="0"/>
      <w:spacing w:before="30" w:after="30"/>
      <w:ind w:left="1440" w:right="30" w:hanging="360"/>
      <w:jc w:val="center"/>
      <w:outlineLvl w:val="3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:u w:val="none" w:color="00000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Pr>
      <w:u w:val="single"/>
    </w:rPr>
  </w:style>
  <w:style w:type="character" w:styleId="Style5" w:customStyle="1">
    <w:name w:val="Текст выноски Знак"/>
    <w:basedOn w:val="DefaultParagraphFont"/>
    <w:link w:val="BalloonText"/>
    <w:uiPriority w:val="99"/>
    <w:semiHidden/>
    <w:qFormat/>
    <w:rsid w:val="00172fc0"/>
    <w:rPr>
      <w:rFonts w:ascii="Segoe UI" w:hAnsi="Segoe UI" w:cs="Segoe UI"/>
      <w:color w:val="000000"/>
      <w:sz w:val="18"/>
      <w:szCs w:val="18"/>
      <w:u w:val="none" w:color="00000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1742a"/>
    <w:rPr>
      <w:sz w:val="16"/>
      <w:szCs w:val="16"/>
    </w:rPr>
  </w:style>
  <w:style w:type="character" w:styleId="Style6" w:customStyle="1">
    <w:name w:val="Текст примечания Знак"/>
    <w:basedOn w:val="DefaultParagraphFont"/>
    <w:link w:val="Annotationtext"/>
    <w:uiPriority w:val="99"/>
    <w:semiHidden/>
    <w:qFormat/>
    <w:rsid w:val="0081742a"/>
    <w:rPr>
      <w:rFonts w:cs="Arial Unicode MS"/>
      <w:color w:val="000000"/>
      <w:u w:val="none" w:color="000000"/>
    </w:rPr>
  </w:style>
  <w:style w:type="character" w:styleId="Style7" w:customStyle="1">
    <w:name w:val="Тема примечания Знак"/>
    <w:basedOn w:val="Style6"/>
    <w:link w:val="Annotationsubject"/>
    <w:uiPriority w:val="99"/>
    <w:semiHidden/>
    <w:qFormat/>
    <w:rsid w:val="0081742a"/>
    <w:rPr>
      <w:rFonts w:cs="Arial Unicode MS"/>
      <w:b/>
      <w:bCs/>
      <w:color w:val="000000"/>
      <w:u w:val="none" w:color="000000"/>
    </w:rPr>
  </w:style>
  <w:style w:type="character" w:styleId="Style8" w:customStyle="1">
    <w:name w:val="Заголовок Знак"/>
    <w:basedOn w:val="DefaultParagraphFont"/>
    <w:uiPriority w:val="10"/>
    <w:qFormat/>
    <w:rsid w:val="003d14a9"/>
    <w:rPr>
      <w:rFonts w:ascii="Helvetica Neue" w:hAnsi="Helvetica Neue" w:eastAsia="Helvetica Neue" w:cs="Helvetica Neue" w:asciiTheme="majorHAnsi" w:cstheme="majorBidi" w:eastAsiaTheme="majorEastAsia" w:hAnsiTheme="majorHAnsi"/>
      <w:spacing w:val="-10"/>
      <w:kern w:val="2"/>
      <w:sz w:val="56"/>
      <w:szCs w:val="56"/>
      <w:u w:val="none" w:color="000000"/>
    </w:rPr>
  </w:style>
  <w:style w:type="character" w:styleId="Style9" w:customStyle="1">
    <w:name w:val="Подзаголовок Знак"/>
    <w:basedOn w:val="DefaultParagraphFont"/>
    <w:uiPriority w:val="11"/>
    <w:qFormat/>
    <w:rsid w:val="003d14a9"/>
    <w:rPr>
      <w:rFonts w:ascii="Helvetica Neue" w:hAnsi="Helvetica Neue" w:eastAsia="Helvetica Neue" w:cs="Helvetica Neue" w:asciiTheme="minorHAnsi" w:cstheme="minorBidi" w:eastAsiaTheme="minorEastAsia" w:hAnsiTheme="minorHAnsi"/>
      <w:color w:val="5A5A5A" w:themeColor="text1" w:themeTint="a5"/>
      <w:spacing w:val="15"/>
      <w:sz w:val="22"/>
      <w:szCs w:val="22"/>
      <w:u w:val="none" w:color="000000"/>
    </w:rPr>
  </w:style>
  <w:style w:type="character" w:styleId="Style10" w:customStyle="1">
    <w:name w:val="Нижний колонтитул Знак"/>
    <w:basedOn w:val="DefaultParagraphFont"/>
    <w:uiPriority w:val="99"/>
    <w:qFormat/>
    <w:rsid w:val="00c868ef"/>
    <w:rPr>
      <w:rFonts w:cs="Arial Unicode MS"/>
      <w:color w:val="000000"/>
      <w:sz w:val="28"/>
      <w:szCs w:val="28"/>
      <w:u w:val="none" w:color="000000"/>
    </w:rPr>
  </w:style>
  <w:style w:type="character" w:styleId="Style11" w:customStyle="1">
    <w:name w:val="Ссылка указателя"/>
    <w:qFormat/>
    <w:rPr/>
  </w:style>
  <w:style w:type="character" w:styleId="LineNumber">
    <w:name w:val="Line Number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Arial Unicode MS" w:cs="Arial Unicode MS"/>
      <w:color w:val="000000"/>
      <w:kern w:val="0"/>
      <w:sz w:val="28"/>
      <w:szCs w:val="28"/>
      <w:u w:val="none" w:color="000000"/>
      <w:lang w:val="ru-RU" w:eastAsia="ru-RU" w:bidi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8"/>
    <w:uiPriority w:val="10"/>
    <w:qFormat/>
    <w:rsid w:val="003d14a9"/>
    <w:pPr>
      <w:spacing w:before="0" w:after="0"/>
      <w:contextualSpacing/>
    </w:pPr>
    <w:rPr>
      <w:rFonts w:ascii="Helvetica Neue" w:hAnsi="Helvetica Neue" w:eastAsia="Helvetica Neue" w:cs="Helvetica Neue" w:asciiTheme="majorHAnsi" w:cstheme="majorBidi" w:eastAsiaTheme="majorEastAsia" w:hAnsiTheme="majorHAnsi"/>
      <w:color w:val="auto"/>
      <w:spacing w:val="-10"/>
      <w:kern w:val="2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pPr>
      <w:widowControl/>
      <w:tabs>
        <w:tab w:val="clear" w:pos="708"/>
        <w:tab w:val="center" w:pos="4677" w:leader="none"/>
        <w:tab w:val="right" w:pos="9355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Style15" w:customStyle="1">
    <w:name w:val="Колонтитулы"/>
    <w:qFormat/>
    <w:pPr>
      <w:widowControl/>
      <w:tabs>
        <w:tab w:val="clear" w:pos="708"/>
        <w:tab w:val="right" w:pos="9020" w:leader="none"/>
      </w:tabs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TOC1">
    <w:name w:val="TOC 1"/>
    <w:pPr>
      <w:widowControl/>
      <w:tabs>
        <w:tab w:val="clear" w:pos="708"/>
        <w:tab w:val="left" w:pos="560" w:leader="none"/>
        <w:tab w:val="right" w:pos="9911" w:leader="dot"/>
      </w:tabs>
      <w:suppressAutoHyphens w:val="true"/>
      <w:bidi w:val="0"/>
      <w:spacing w:before="120" w:after="0"/>
      <w:jc w:val="left"/>
    </w:pPr>
    <w:rPr>
      <w:rFonts w:ascii="Times New Roman" w:hAnsi="Times New Roman" w:eastAsia="Times New Roman" w:cs="Times New Roman"/>
      <w:b/>
      <w:bCs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TOC2">
    <w:name w:val="TOC 2"/>
    <w:pPr>
      <w:widowControl/>
      <w:tabs>
        <w:tab w:val="clear" w:pos="708"/>
        <w:tab w:val="left" w:pos="560" w:leader="none"/>
        <w:tab w:val="right" w:pos="9911" w:leader="dot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TOC3">
    <w:name w:val="TOC 3"/>
    <w:uiPriority w:val="39"/>
    <w:pPr>
      <w:widowControl/>
      <w:tabs>
        <w:tab w:val="clear" w:pos="708"/>
        <w:tab w:val="left" w:pos="142" w:leader="none"/>
        <w:tab w:val="left" w:pos="840" w:leader="none"/>
        <w:tab w:val="right" w:pos="9911" w:leader="dot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u w:val="none" w:color="000000"/>
      <w:lang w:val="ru-RU" w:eastAsia="ru-RU" w:bidi="ar-SA"/>
    </w:rPr>
  </w:style>
  <w:style w:type="paragraph" w:styleId="TOC4">
    <w:name w:val="TOC 4"/>
    <w:pPr>
      <w:widowControl/>
      <w:tabs>
        <w:tab w:val="clear" w:pos="708"/>
        <w:tab w:val="left" w:pos="142" w:leader="none"/>
        <w:tab w:val="left" w:pos="1120" w:leader="none"/>
        <w:tab w:val="right" w:pos="9911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u w:val="none" w:color="000000"/>
      <w:lang w:val="ru-RU" w:eastAsia="ru-RU" w:bidi="ar-SA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ind w:left="720" w:hanging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Style16" w:customStyle="1">
    <w:name w:val="Таблица шапка"/>
    <w:qFormat/>
    <w:pPr>
      <w:keepNext w:val="true"/>
      <w:widowControl/>
      <w:suppressAutoHyphens w:val="true"/>
      <w:bidi w:val="0"/>
      <w:spacing w:before="40" w:after="40"/>
      <w:ind w:left="57" w:right="57" w:hanging="0"/>
      <w:jc w:val="left"/>
    </w:pPr>
    <w:rPr>
      <w:rFonts w:ascii="Times New Roman" w:hAnsi="Times New Roman" w:eastAsia="Arial Unicode MS" w:cs="Arial Unicode MS"/>
      <w:color w:val="000000"/>
      <w:kern w:val="0"/>
      <w:sz w:val="22"/>
      <w:szCs w:val="22"/>
      <w:u w:val="none" w:color="000000"/>
      <w:lang w:val="ru-RU" w:eastAsia="ru-RU" w:bidi="ar-SA"/>
    </w:rPr>
  </w:style>
  <w:style w:type="paragraph" w:styleId="Style17" w:customStyle="1">
    <w:name w:val="Таблица"/>
    <w:qFormat/>
    <w:pPr>
      <w:keepNext w:val="true"/>
      <w:widowControl/>
      <w:suppressAutoHyphens w:val="true"/>
      <w:bidi w:val="0"/>
      <w:spacing w:before="60" w:after="60"/>
      <w:jc w:val="center"/>
    </w:pPr>
    <w:rPr>
      <w:rFonts w:ascii="Times New Roman" w:hAnsi="Times New Roman" w:eastAsia="Arial Unicode MS" w:cs="Arial Unicode MS"/>
      <w:b/>
      <w:bCs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BalloonText">
    <w:name w:val="Balloon Text"/>
    <w:basedOn w:val="Normal"/>
    <w:link w:val="Style5"/>
    <w:uiPriority w:val="99"/>
    <w:semiHidden/>
    <w:unhideWhenUsed/>
    <w:qFormat/>
    <w:rsid w:val="00172fc0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6"/>
    <w:uiPriority w:val="99"/>
    <w:semiHidden/>
    <w:unhideWhenUsed/>
    <w:qFormat/>
    <w:rsid w:val="0081742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7"/>
    <w:uiPriority w:val="99"/>
    <w:semiHidden/>
    <w:unhideWhenUsed/>
    <w:qFormat/>
    <w:rsid w:val="0081742a"/>
    <w:pPr/>
    <w:rPr>
      <w:b/>
      <w:bCs/>
    </w:rPr>
  </w:style>
  <w:style w:type="paragraph" w:styleId="Subtitle">
    <w:name w:val="Subtitle"/>
    <w:basedOn w:val="Normal"/>
    <w:next w:val="Normal"/>
    <w:link w:val="Style9"/>
    <w:uiPriority w:val="11"/>
    <w:qFormat/>
    <w:rsid w:val="003d14a9"/>
    <w:pPr>
      <w:numPr>
        <w:ilvl w:val="1"/>
      </w:numPr>
      <w:spacing w:before="0" w:after="160"/>
    </w:pPr>
    <w:rPr>
      <w:rFonts w:ascii="Helvetica Neue" w:hAnsi="Helvetica Neue" w:eastAsia="Helvetica Neue" w:cs="Helvetica Neue" w:asciiTheme="minorHAnsi" w:cstheme="minorBid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Footer">
    <w:name w:val="Footer"/>
    <w:basedOn w:val="Normal"/>
    <w:link w:val="Style10"/>
    <w:uiPriority w:val="99"/>
    <w:unhideWhenUsed/>
    <w:rsid w:val="00c868e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IndexHeading">
    <w:name w:val="Index Heading"/>
    <w:basedOn w:val="Style12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c868ef"/>
    <w:pPr>
      <w:keepLines/>
      <w:shd w:val="clear" w:color="auto" w:fill="auto"/>
      <w:spacing w:lineRule="auto" w:line="259" w:before="240" w:after="0"/>
      <w:ind w:left="0" w:right="0" w:hanging="0"/>
      <w:jc w:val="left"/>
      <w:outlineLvl w:val="9"/>
    </w:pPr>
    <w:rPr>
      <w:rFonts w:ascii="Helvetica Neue" w:hAnsi="Helvetica Neue" w:eastAsia="Helvetica Neue" w:cs="Helvetica Neue" w:asciiTheme="majorHAnsi" w:cstheme="majorBidi" w:eastAsiaTheme="majorEastAsia" w:hAnsiTheme="majorHAnsi"/>
      <w:b w:val="false"/>
      <w:bCs w:val="false"/>
      <w:color w:val="2F5496" w:themeColor="accent1" w:themeShade="bf"/>
      <w:sz w:val="32"/>
      <w:szCs w:val="32"/>
    </w:rPr>
  </w:style>
  <w:style w:type="paragraph" w:styleId="Style1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3" w:customStyle="1">
    <w:name w:val="Импортированный стиль 3"/>
    <w:qFormat/>
  </w:style>
  <w:style w:type="numbering" w:styleId="5" w:customStyle="1">
    <w:name w:val="Импортированный стиль 5"/>
    <w:qFormat/>
  </w:style>
  <w:style w:type="numbering" w:styleId="6" w:customStyle="1">
    <w:name w:val="Импортированный стиль 6"/>
    <w:qFormat/>
  </w:style>
  <w:style w:type="numbering" w:styleId="7" w:customStyle="1">
    <w:name w:val="Импортированный стиль 7"/>
    <w:qFormat/>
  </w:style>
  <w:style w:type="numbering" w:styleId="8" w:customStyle="1">
    <w:name w:val="Импортированный стиль 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77CAD-4BB0-4032-909C-5A9ED9391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AlterOffice/3.4.0.9$Linux_X86_64 LibreOffice_project/b8daf9e823b1a5463a2f48435ddc2e8696e7d4fc</Application>
  <AppVersion>15.0000</AppVersion>
  <Pages>15</Pages>
  <Words>1623</Words>
  <Characters>10873</Characters>
  <CharactersWithSpaces>12301</CharactersWithSpaces>
  <Paragraphs>263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2026-05-21T13:47:00Z</dcterms:created>
  <dc:creator>Зайцев Валерий Васильевич</dc:creator>
  <dc:description/>
  <dc:language>ru-RU</dc:language>
  <cp:lastModifiedBy>tsarkovis@corp.gidroogk.com</cp:lastModifiedBy>
  <cp:lastPrinted>2025-07-01T12:54:00Z</cp:lastPrinted>
  <dcterms:modified xsi:type="dcterms:W3CDTF">2026-05-29T16:51:54Z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