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spacing w:lineRule="auto" w:line="276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b/>
        </w:rPr>
      </w:pPr>
      <w:r>
        <w:rPr>
          <w:rFonts w:eastAsia="Calibri"/>
          <w:b/>
          <w:i/>
          <w:sz w:val="26"/>
          <w:szCs w:val="26"/>
          <w:lang w:eastAsia="x-none"/>
        </w:rPr>
        <w:t>поставка материалов для устройства хоз. питьевого водоснабжения на головном и напорном узле Баксанской ГЭС и на головном узле Кашхатау ГЭС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6"/>
          <w:szCs w:val="26"/>
        </w:rPr>
      </w:pPr>
      <w:r>
        <w:rPr>
          <w:rFonts w:eastAsia="Calibri"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</w:rPr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Toc75446566">
            <w:r>
              <w:rPr>
                <w:rStyle w:val="Style14"/>
              </w:rPr>
              <w:t>1.</w:t>
            </w:r>
            <w:r>
              <w:rPr>
                <w:rStyle w:val="Style14"/>
                <w:rFonts w:ascii="Calibri" w:hAnsi="Calibr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4"/>
              <w:szCs w:val="24"/>
            </w:rPr>
          </w:pPr>
          <w:hyperlink w:anchor="_Toc75446567">
            <w:r>
              <w:rPr>
                <w:rStyle w:val="Style14"/>
                <w:iCs/>
                <w:sz w:val="24"/>
                <w:szCs w:val="24"/>
              </w:rPr>
              <w:t>1.1.</w:t>
            </w:r>
            <w:r>
              <w:rPr>
                <w:rStyle w:val="Style14"/>
                <w:rFonts w:ascii="Calibri" w:hAnsi="Calibr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4"/>
              <w:szCs w:val="24"/>
            </w:rPr>
          </w:pPr>
          <w:hyperlink w:anchor="_Toc75446568">
            <w:r>
              <w:rPr>
                <w:rStyle w:val="Style14"/>
                <w:iCs/>
                <w:sz w:val="24"/>
                <w:szCs w:val="24"/>
              </w:rPr>
              <w:t>1.2.</w:t>
            </w:r>
            <w:r>
              <w:rPr>
                <w:rStyle w:val="Style14"/>
                <w:rFonts w:ascii="Calibri" w:hAnsi="Calibr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4"/>
              <w:szCs w:val="24"/>
            </w:rPr>
          </w:pPr>
          <w:hyperlink w:anchor="_Toc75446569">
            <w:r>
              <w:rPr>
                <w:rStyle w:val="Style14"/>
                <w:iCs/>
                <w:sz w:val="24"/>
                <w:szCs w:val="24"/>
              </w:rPr>
              <w:t>1.3.</w:t>
            </w:r>
            <w:r>
              <w:rPr>
                <w:rStyle w:val="Style14"/>
                <w:rFonts w:ascii="Calibri" w:hAnsi="Calibr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Цель использования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4"/>
              <w:szCs w:val="24"/>
            </w:rPr>
          </w:pPr>
          <w:hyperlink w:anchor="_Toc75446570">
            <w:r>
              <w:rPr>
                <w:rStyle w:val="Style14"/>
                <w:iCs/>
                <w:sz w:val="24"/>
                <w:szCs w:val="24"/>
              </w:rPr>
              <w:t>1.4.</w:t>
            </w:r>
            <w:r>
              <w:rPr>
                <w:rStyle w:val="Style14"/>
                <w:rFonts w:ascii="Calibri" w:hAnsi="Calibr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Существующее положение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</w:rPr>
          </w:pPr>
          <w:hyperlink w:anchor="_Toc75446573">
            <w:r>
              <w:rPr>
                <w:rStyle w:val="Style14"/>
              </w:rPr>
              <w:t>2.</w:t>
            </w:r>
            <w:r>
              <w:rPr>
                <w:rStyle w:val="Style14"/>
                <w:rFonts w:ascii="Calibri" w:hAnsi="Calibr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4"/>
              <w:szCs w:val="24"/>
            </w:rPr>
          </w:pPr>
          <w:hyperlink w:anchor="_Toc75446574">
            <w:r>
              <w:rPr>
                <w:rStyle w:val="Style14"/>
                <w:iCs/>
                <w:sz w:val="24"/>
                <w:szCs w:val="24"/>
              </w:rPr>
              <w:t>2.1.</w:t>
            </w:r>
            <w:r>
              <w:rPr>
                <w:rStyle w:val="Style14"/>
                <w:rFonts w:ascii="Calibri" w:hAnsi="Calibr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4"/>
              <w:szCs w:val="24"/>
            </w:rPr>
          </w:pPr>
          <w:hyperlink w:anchor="_Toc75446575">
            <w:r>
              <w:rPr>
                <w:rStyle w:val="Style14"/>
                <w:sz w:val="24"/>
                <w:szCs w:val="24"/>
              </w:rPr>
              <w:t>2.1.1.</w:t>
            </w:r>
            <w:r>
              <w:rPr>
                <w:rStyle w:val="Style14"/>
                <w:rFonts w:ascii="Calibri" w:hAnsi="Calibr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1.1 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</w:rPr>
          </w:pPr>
          <w:hyperlink w:anchor="_Toc754465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1.2 Перечень и объем закупаемых сопутствующих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4"/>
              <w:szCs w:val="24"/>
            </w:rPr>
          </w:pPr>
          <w:hyperlink w:anchor="_Toc75446578">
            <w:r>
              <w:rPr>
                <w:rStyle w:val="Style14"/>
                <w:sz w:val="24"/>
                <w:szCs w:val="24"/>
              </w:rPr>
              <w:t>2.1.2.</w:t>
            </w:r>
            <w:r>
              <w:rPr>
                <w:rStyle w:val="Style14"/>
                <w:rFonts w:ascii="Calibri" w:hAnsi="Calibr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срокам поставки продукции и оказания сопутствующих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2.1 Требования по срокам поставки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</w:rPr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2.2 Требования по срокам оказания сопутствующих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4"/>
              <w:szCs w:val="24"/>
            </w:rPr>
          </w:pPr>
          <w:hyperlink w:anchor="_Toc75446581">
            <w:r>
              <w:rPr>
                <w:rStyle w:val="Style14"/>
                <w:iCs/>
                <w:sz w:val="24"/>
                <w:szCs w:val="24"/>
              </w:rPr>
              <w:t>2.2.</w:t>
            </w:r>
            <w:r>
              <w:rPr>
                <w:rStyle w:val="Style14"/>
                <w:rFonts w:ascii="Calibri" w:hAnsi="Calibr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качеству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 3. Требования к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</w:rPr>
          </w:pPr>
          <w:hyperlink w:anchor="_Toc75446583">
            <w:r>
              <w:rPr>
                <w:rStyle w:val="Style14"/>
              </w:rPr>
              <w:t>3.</w:t>
            </w:r>
            <w:r>
              <w:rPr>
                <w:rStyle w:val="Style14"/>
                <w:rFonts w:ascii="Calibri" w:hAnsi="Calibri"/>
                <w:b w:val="false"/>
                <w:bCs w:val="false"/>
              </w:rPr>
              <w:tab/>
            </w:r>
            <w:r>
              <w:rPr>
                <w:rStyle w:val="Style14"/>
              </w:rPr>
              <w:t xml:space="preserve">Требования к документации по ценообразованию на этапе </w:t>
            </w:r>
            <w:r>
              <w:rPr>
                <w:rStyle w:val="Style14"/>
                <w:lang w:val="en-US"/>
              </w:rPr>
              <w:t>заключения              (исполнения) договора</w:t>
            </w:r>
            <w:r>
              <w:rPr>
                <w:rStyle w:val="Style14"/>
              </w:rPr>
              <w:tab/>
            </w:r>
            <w:r>
              <w:rPr>
                <w:rStyle w:val="Style14"/>
                <w:lang w:val="en-US"/>
              </w:rPr>
              <w:t>1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b w:val="false"/>
                <w:bCs w:val="false"/>
                <w:lang w:val="en-US"/>
              </w:rPr>
              <w:t>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b w:val="false"/>
              <w:bCs w:val="false"/>
              <w:rFonts w:ascii="Calibri" w:hAnsi="Calibri"/>
              <w:lang w:val="en-US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689"/>
        <w:gridCol w:w="7093"/>
      </w:tblGrid>
      <w:tr>
        <w:trPr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bCs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стандарт отраслевой</w:t>
            </w:r>
          </w:p>
        </w:tc>
      </w:tr>
      <w:tr>
        <w:trPr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bCs/>
                <w:i/>
                <w:i/>
              </w:rPr>
            </w:pPr>
            <w:r>
              <w:rPr>
                <w:i/>
                <w:sz w:val="24"/>
                <w:szCs w:val="24"/>
              </w:rPr>
              <w:t>гидравлическая электростанция</w:t>
            </w:r>
          </w:p>
        </w:tc>
      </w:tr>
      <w:tr>
        <w:trPr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ПАО «РусГидро»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bCs/>
                <w:i/>
                <w:i/>
              </w:rPr>
            </w:pPr>
            <w:r>
              <w:rPr>
                <w:i/>
                <w:sz w:val="24"/>
                <w:szCs w:val="24"/>
              </w:rPr>
              <w:t>публичное акционерное общество «Федеральная гидрогенерирующая компания-РусГидро»</w:t>
            </w:r>
          </w:p>
        </w:tc>
      </w:tr>
      <w:tr>
        <w:trPr>
          <w:trHeight w:val="465" w:hRule="atLeast"/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eastAsia="Calibri"/>
                <w:i/>
                <w:i/>
                <w:sz w:val="24"/>
                <w:szCs w:val="24"/>
                <w:lang w:eastAsia="x-none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филиал ПАО «РусГидро»-«Кабардино-Балкарский филиал»</w:t>
            </w:r>
          </w:p>
        </w:tc>
      </w:tr>
      <w:tr>
        <w:trPr>
          <w:trHeight w:val="465" w:hRule="atLeast"/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i/>
                <w:i/>
              </w:rPr>
            </w:pPr>
            <w:r>
              <w:rPr>
                <w:i/>
                <w:sz w:val="24"/>
                <w:szCs w:val="24"/>
              </w:rPr>
              <w:t>НМЦ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/>
                <w:i/>
              </w:rPr>
            </w:pPr>
            <w:r>
              <w:rPr>
                <w:i/>
                <w:sz w:val="24"/>
                <w:szCs w:val="24"/>
              </w:rPr>
              <w:t>начальная максимальная цена</w:t>
            </w:r>
          </w:p>
        </w:tc>
      </w:tr>
      <w:tr>
        <w:trPr>
          <w:trHeight w:val="465" w:hRule="atLeast"/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i/>
                <w:i/>
              </w:rPr>
            </w:pPr>
            <w:r>
              <w:rPr>
                <w:i/>
                <w:sz w:val="24"/>
                <w:szCs w:val="24"/>
              </w:rPr>
              <w:t>НДС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/>
                <w:i/>
              </w:rPr>
            </w:pPr>
            <w:r>
              <w:rPr>
                <w:i/>
                <w:sz w:val="24"/>
                <w:szCs w:val="24"/>
              </w:rPr>
              <w:t>налог на добавленную стоимость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Поставка материалов для устройства хоз. питьевого водоснабжения на головном и напорном узле Баксанской ГЭС.</w:t>
      </w:r>
    </w:p>
    <w:p>
      <w:pPr>
        <w:pStyle w:val="Heading4"/>
        <w:numPr>
          <w:ilvl w:val="1"/>
          <w:numId w:val="3"/>
        </w:numPr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/>
        <w:t>использования закупаемой продукции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Приобретение материалов для устройства хоз. питьевого водоснабжения.</w:t>
      </w:r>
    </w:p>
    <w:p>
      <w:pPr>
        <w:pStyle w:val="Heading4"/>
        <w:numPr>
          <w:ilvl w:val="1"/>
          <w:numId w:val="3"/>
        </w:numPr>
        <w:rPr/>
      </w:pPr>
      <w:bookmarkStart w:id="8" w:name="_Toc46743508"/>
      <w:bookmarkStart w:id="9" w:name="_Toc75446570"/>
      <w:r>
        <w:rPr/>
        <w:t>Существующее положение</w:t>
      </w:r>
      <w:bookmarkEnd w:id="8"/>
      <w:bookmarkEnd w:id="9"/>
    </w:p>
    <w:p>
      <w:pPr>
        <w:pStyle w:val="Normal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На напорном и станционном узле Баксанской ГЭС, на головном узле Кашхатау ГЭС нет хоз. питьевого.</w:t>
      </w:r>
    </w:p>
    <w:p>
      <w:pPr>
        <w:pStyle w:val="Normal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0" w:name="_Toc51339693"/>
      <w:bookmarkStart w:id="11" w:name="_Toc75446573"/>
      <w:bookmarkStart w:id="12" w:name="_Toc46743510"/>
      <w:bookmarkStart w:id="13" w:name="_Toc50125126"/>
      <w:bookmarkEnd w:id="12"/>
      <w:bookmarkEnd w:id="13"/>
      <w:r>
        <w:rPr>
          <w:iCs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4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75446575"/>
      <w:r>
        <w:rPr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142" w:hanging="0"/>
        <w:rPr>
          <w:sz w:val="24"/>
          <w:szCs w:val="24"/>
          <w:lang w:val="ru-RU"/>
        </w:rPr>
      </w:pPr>
      <w:bookmarkStart w:id="16" w:name="_Toc75446576"/>
      <w:bookmarkStart w:id="1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закупаемой продукции</w:t>
      </w:r>
      <w:bookmarkEnd w:id="16"/>
    </w:p>
    <w:tbl>
      <w:tblPr>
        <w:tblW w:w="96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35"/>
        <w:gridCol w:w="5053"/>
        <w:gridCol w:w="1599"/>
        <w:gridCol w:w="2272"/>
      </w:tblGrid>
      <w:tr>
        <w:trPr>
          <w:trHeight w:val="411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198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214" w:hRule="atLeast"/>
        </w:trPr>
        <w:tc>
          <w:tcPr>
            <w:tcW w:w="9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Баксанская ГЭС</w:t>
            </w:r>
          </w:p>
        </w:tc>
      </w:tr>
      <w:tr>
        <w:trPr>
          <w:trHeight w:val="214" w:hRule="atLeast"/>
        </w:trPr>
        <w:tc>
          <w:tcPr>
            <w:tcW w:w="96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i/>
                <w:i/>
                <w:iCs/>
              </w:rPr>
            </w:pPr>
            <w:r>
              <w:rPr>
                <w:i/>
                <w:iCs/>
              </w:rPr>
              <w:t>Хоз. Питьевое водоснабжение на головном узле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ПНД SDR Ø 25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ПНД SDR Ø 25/25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ПНД SDR Ø 25/1/2 наружная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Кран латунный Ø 1/2 вн/нар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5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Американка Ø 20/1/2 внутренняя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6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латунный Ø 1/2вн./1/2/нар/1/2/нар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7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ППР SDR Ø 20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8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ППР SDR Ø 20 90º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9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ППР SDR Ø 20 45º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10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SDR ППР Ø 20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11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комбинированный ППР SDR Ø 20/1/2 наружная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12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Клипса Ø 20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13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соединительная Ø 20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14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Кольцо КС 15-9 ЖБИ внутренний D-1500 мм высота-900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15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Крышка для колодца ПП 15-1 с отверстием наружный D-1700, отверстия D-700 мм высота -130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16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Люк полимерно-композитный тяжелый Агросток 760х630х100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214" w:hRule="atLeast"/>
        </w:trPr>
        <w:tc>
          <w:tcPr>
            <w:tcW w:w="96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</w:rPr>
              <w:t>Хоз. Питьевое водоснабжение на напорном узле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ПНД SDR Ø 25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ПНД SDR Ø 25/25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ПНД SDR Ø 25/1/2 наружная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Кран латунный Ø 1/2 вн/нар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5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Американка Ø 20/1/2 внутренняя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6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латунный Ø 1/2вн./1/2/нар/1/2/нар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7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ПНД SDR Ø 20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8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ПНД SDR Ø 20 90º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9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ПНД SDR Ø 20 45º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10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ПНД SDR Ø 20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11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комбинированный ПНД SDR Ø 20/1/2 наружная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12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Клипса Ø 20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13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соединительная Ø 20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14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Кольцо КС 15-9 ЖБИ внутренний D-1500 мм высота-900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>
        <w:trPr>
          <w:trHeight w:val="21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15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Крышка для колодца ПП 15-1 с отверстием наружный D-1700, отверстия D-700 мм высота -130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16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Люк полимерно-композитный тяжелый Агросток 760х630х100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96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Кашхатау ГЭС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17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Хомут врезной двухзамковый ДУ=400 ОД=400-420 L=400 внут. резб. ДУ50 ВЗПА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18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ПНД 50 мм x 2мм водопроводная питьевая напорная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1000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19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Скорлупа ППУ 57/50 L 1000 мм из пенополиуретана с покрытием из оцинкованной стали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20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Клей-пена полиуретановый Polynor Fixo для теплоизоляции 1000 мл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21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Cтяжка стальная S с полимерным покрытием 4,6x850 AISI 304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150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22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Кран шаровой БАЗ 11б27п1 А31 1 1/4″ ДУ-50 PN-40 полнопроходный, латунный, никелированный, резьба вр и нр, ручка-рычаг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23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Кран шаровой БАЗ 11б27п1 А31 1 1/4″ ДУ-50 PN-40 полнопроходный, латунный, никелированный, резьба внутреняя, ручка-рычаг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24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Кран шаровой БАЗ 11б27п1 А31 1 1/4″ ДУ-50 PN-40 полнопроходный, латунный, никелированный, резьба наружныя, ручка-рычаг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25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d 50 мм соединительная компрессионная ПНД poelsan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26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Компрессионная муфта НР 50x3/4" poelsan (перехода с полиэтиленовой трубы на наружную резьбу)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27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Компрессионная муфта НР 50x3/4" poelsan (перехода с полиэтиленовой трубы на внутрению резьбу)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28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Кольцо КС 15-9 ЖБИ внутренний D-1500 мм высота-900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29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Крышка для колодца ПП 15-1 с отверстием наружный D-1700, отверстия D-700 мм высота -130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>
        <w:trPr>
          <w:trHeight w:val="32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30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Люк полимерно-композитный тяжелый Агросток 760х630х100 мм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</w:tbl>
    <w:p>
      <w:pPr>
        <w:pStyle w:val="Heading1"/>
        <w:keepLines/>
        <w:tabs>
          <w:tab w:val="clear" w:pos="0"/>
        </w:tabs>
        <w:spacing w:before="240" w:after="60"/>
        <w:ind w:left="142" w:hanging="0"/>
        <w:rPr>
          <w:sz w:val="24"/>
          <w:szCs w:val="24"/>
          <w:lang w:val="ru-RU"/>
        </w:rPr>
      </w:pPr>
      <w:bookmarkStart w:id="18" w:name="_Toc75446579"/>
      <w:bookmarkStart w:id="19" w:name="_Toc50125127"/>
      <w:bookmarkStart w:id="20" w:name="_Toc51339697"/>
      <w:bookmarkStart w:id="21" w:name="_Toc50125126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tbl>
      <w:tblPr>
        <w:tblW w:w="9922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10"/>
        <w:gridCol w:w="4389"/>
        <w:gridCol w:w="2325"/>
        <w:gridCol w:w="2497"/>
      </w:tblGrid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-244" w:hanging="360"/>
              <w:jc w:val="center"/>
              <w:rPr>
                <w:i/>
                <w:i/>
                <w:shd w:fill="FFFF00" w:val="clear"/>
              </w:rPr>
            </w:pPr>
            <w:r>
              <w:rPr>
                <w:i/>
                <w:shd w:fill="FFFF00" w:val="clear"/>
              </w:rPr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x-none"/>
              </w:rPr>
              <w:t>Баксанская ГЭС головной узел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 даты следующей за датой заключения договора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sz w:val="22"/>
                <w:szCs w:val="22"/>
                <w:lang w:val="en-US"/>
              </w:rPr>
              <w:t>30.10.2026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-244" w:hanging="360"/>
              <w:jc w:val="center"/>
              <w:rPr>
                <w:i/>
                <w:i/>
                <w:shd w:fill="FFFF00" w:val="clear"/>
              </w:rPr>
            </w:pPr>
            <w:r>
              <w:rPr>
                <w:i/>
                <w:shd w:fill="FFFF00" w:val="clear"/>
              </w:rPr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x-none"/>
              </w:rPr>
              <w:t>Баксанская ГЭС станционный узел</w:t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-244" w:hanging="360"/>
              <w:jc w:val="center"/>
              <w:rPr>
                <w:i/>
                <w:i/>
                <w:shd w:fill="FFFF00" w:val="clear"/>
              </w:rPr>
            </w:pPr>
            <w:r>
              <w:rPr>
                <w:i/>
                <w:shd w:fill="FFFF00" w:val="clear"/>
              </w:rPr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x-none"/>
              </w:rPr>
              <w:t>Кашхатау ГЭС</w:t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3" w:name="_Toc51339698"/>
      <w:bookmarkStart w:id="24" w:name="_Toc75446581"/>
      <w:bookmarkStart w:id="25" w:name="_Toc46743511"/>
      <w:bookmarkStart w:id="26" w:name="_Toc754465801"/>
      <w:bookmarkEnd w:id="26"/>
      <w:r>
        <w:rPr/>
        <w:t xml:space="preserve">Требования к </w:t>
      </w:r>
      <w:bookmarkEnd w:id="25"/>
      <w:r>
        <w:rPr>
          <w:lang w:val="ru-RU"/>
        </w:rPr>
        <w:t>качеству продукции</w:t>
      </w:r>
      <w:bookmarkEnd w:id="24"/>
    </w:p>
    <w:p>
      <w:pPr>
        <w:pStyle w:val="Heading1"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r>
        <w:rPr>
          <w:sz w:val="24"/>
          <w:szCs w:val="24"/>
        </w:rPr>
        <w:t xml:space="preserve"> </w:t>
      </w:r>
      <w:bookmarkEnd w:id="23"/>
    </w:p>
    <w:p>
      <w:pPr>
        <w:pStyle w:val="Normal"/>
        <w:spacing w:before="240" w:after="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tbl>
      <w:tblPr>
        <w:tblW w:w="15171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9"/>
        <w:gridCol w:w="3403"/>
        <w:gridCol w:w="3741"/>
        <w:gridCol w:w="2637"/>
        <w:gridCol w:w="2268"/>
        <w:gridCol w:w="2272"/>
      </w:tblGrid>
      <w:tr>
        <w:trPr/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51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Баксанская ГЭС</w:t>
            </w:r>
          </w:p>
          <w:p>
            <w:pPr>
              <w:pStyle w:val="ListParagraph"/>
              <w:widowControl w:val="false"/>
              <w:ind w:left="0" w:hanging="0"/>
              <w:rPr>
                <w:i/>
                <w:i/>
                <w:iCs/>
              </w:rPr>
            </w:pPr>
            <w:r>
              <w:rPr>
                <w:i/>
                <w:iCs/>
              </w:rPr>
              <w:t>Хоз. Питьевое водоснабжение на головном узле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ПНД  SDR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Ø 25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ПНД  SDR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Ø 25/25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Ø 25/1/2 наружная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Кран латунный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Ø 1/2 вн/нар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Американка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20/1/2 внутренняя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латунный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1/2вн./1/2/нар/1/2/нар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 90º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 45º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комбинированный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20/1/2 наружная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Клипса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соединительная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Кольцо КС 15-9 ЖБИ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внутренний D-1500 мм высота-900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Крышка для колодца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ПП 15-1 с отверстием наружный D-1700, отверстия D-700 мм высота -130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Люк полимерно-композитный тяжелый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Агросток 760х630х100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1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3" w:right="227" w:hanging="0"/>
              <w:rPr>
                <w:rFonts w:eastAsia="Calibri"/>
                <w:i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Calibri"/>
                <w:i/>
                <w:iCs/>
                <w:sz w:val="24"/>
                <w:szCs w:val="24"/>
              </w:rPr>
              <w:t>Хоз. Питьевое водоснабжение на напорном узле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25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25/25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25/1/2 наружная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Кран латунный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1/2 вн/нар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Американка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20/1/2 внутренняя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латунный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1/2вн./1/2/нар/1/2/нар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Труба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 90º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 45º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Тройник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Угол комбинированный ПНД  SDR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20/1/2 наружная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Клипса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Муфта соединительная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Ø 20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Кольцо КС 15-9 ЖБИ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внутренний D-1500 мм высота-900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Крышка для колодца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ПП 15-1 с отверстием наружный D-1700, отверстия D-700 мм высота -130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Люк полимерно-композитный тяжелый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Агросток 760х630х100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5" w:hRule="atLeast"/>
        </w:trPr>
        <w:tc>
          <w:tcPr>
            <w:tcW w:w="151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right="113" w:hanging="0"/>
              <w:contextualSpacing/>
              <w:rPr>
                <w:i/>
                <w:i/>
                <w:iCs/>
              </w:rPr>
            </w:pPr>
            <w:r>
              <w:rPr>
                <w:b/>
                <w:bCs/>
                <w:i/>
                <w:iCs/>
                <w:lang w:eastAsia="x-none"/>
              </w:rPr>
              <w:t xml:space="preserve"> </w:t>
            </w:r>
            <w:r>
              <w:rPr>
                <w:b/>
                <w:bCs/>
                <w:i/>
                <w:iCs/>
                <w:lang w:eastAsia="x-none"/>
              </w:rPr>
              <w:t>Кашхатау ГЭС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Хомут врезной двухзамковый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ДУ=400 ОД=400-420 L=400 внут. резб. ДУ50 ВЗПА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Труба ПНД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 мм x 2мм водопроводная питьевая напорная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Скорлупа ППУ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57/50 L 1000 мм из пенополиуретана с покрытием из оцинкованной стали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Клей-пена полиуретановый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Polynor Fixo для теплоизоляции 1000 мл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Cтяжка стальная S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полимерным покрытием 4,6x850 AISI 304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Кран шаровой БАЗ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11б27п1 А31 1 1/4″ ДУ-50 PN-40 полнопроходный, латунный, никелированный, резьба вр и нр, ручка-рычаг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Кран шаровой БАЗ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11б27п1 А31 1 1/4″ ДУ-50 PN-40 полнопроходный, латунный, никелированный, резьба внутреняя, ручка-рычаг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Кран шаровой БАЗ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11б27п1 А31 1 1/4″ ДУ-50 PN-40 полнопроходный, латунный, никелированный, резьба наружныя, ручка-рычаг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Муфта d 50 мм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соединительная компрессионная ПНД poelsan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Компрессионная муфта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НР 50x3/4" poelsan (перехода с полиэтиленовой трубы на наружную резьбу)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Компрессионная муфта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НР 50x3/4" poelsan (перехода с полиэтиленовой трубы на внутрению резьбу)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Кольцо КС 15-9 ЖБИ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внутренний D-1500 мм высота-900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Крышка для колодца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ПП 15-1 с отверстием наружный D-1700, отверстия D-700 мм высота -130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Люк полимерно-композитный тяжелый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Агросток 760х630х100 мм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1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i/>
                <w:i/>
                <w:iCs/>
                <w:lang w:eastAsia="x-none"/>
              </w:rPr>
            </w:pPr>
            <w:r>
              <w:rPr>
                <w:i/>
                <w:iCs/>
                <w:lang w:eastAsia="x-none"/>
              </w:rPr>
              <w:t>Выключатели должны соответствовать технологичности  установки в комплектном распределительном устройстве К-104 Кашхатау ГЭС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hd w:fill="FFFF00" w:val="clear"/>
                <w:lang w:eastAsia="x-none"/>
              </w:rPr>
            </w:pPr>
            <w:r>
              <w:rPr>
                <w:shd w:fill="FFFF00" w:val="clear"/>
                <w:lang w:eastAsia="x-none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16" w:hanging="0"/>
              <w:jc w:val="center"/>
              <w:rPr/>
            </w:pPr>
            <w:r>
              <w:rPr/>
              <w:t>-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3.1.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Место поставки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(склад Заказчика)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КБР, Чегемский район, 9 км ж/д станции «Нартан», Производственно-строительная база филиала ПАО «РусГидро» – «Кабардино-Балкарский филиал».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3.2.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упаковке и доставке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11" w:leader="none"/>
              </w:tabs>
              <w:ind w:left="113" w:firstLine="227"/>
              <w:jc w:val="both"/>
              <w:rPr>
                <w:lang w:eastAsia="x-none"/>
              </w:rPr>
            </w:pPr>
            <w:r>
              <w:rPr/>
              <w:t>Поставляемая продукция должна быть защищена надлежащим образом для транспортировки. Способ упаковки продукции должен гарантировать, что   продукция не будет повреждена, деформирована или утеряна во время транспортировки.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118" w:leader="none"/>
              </w:tabs>
              <w:ind w:left="113" w:firstLine="283"/>
              <w:jc w:val="both"/>
              <w:rPr/>
            </w:pPr>
            <w:r>
              <w:rPr/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118" w:leader="none"/>
              </w:tabs>
              <w:ind w:left="113" w:firstLine="283"/>
              <w:jc w:val="both"/>
              <w:rPr/>
            </w:pPr>
            <w:r>
              <w:rPr/>
              <w:t>Поставка производится на склад Заказчика.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118" w:leader="none"/>
              </w:tabs>
              <w:spacing w:before="0" w:after="0"/>
              <w:ind w:left="113" w:firstLine="397"/>
              <w:contextualSpacing w:val="false"/>
              <w:jc w:val="both"/>
              <w:rPr>
                <w:lang w:eastAsia="x-none"/>
              </w:rPr>
            </w:pPr>
            <w:r>
              <w:rPr>
                <w:rFonts w:eastAsia="Times New Roman"/>
              </w:rPr>
              <w:t>Поставляемая продукция должна быть новой и ранее не использованной.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0"/>
              <w:ind w:left="57" w:firstLine="454"/>
              <w:contextualSpacing w:val="false"/>
              <w:jc w:val="both"/>
              <w:rPr>
                <w:lang w:eastAsia="x-none"/>
              </w:rPr>
            </w:pPr>
            <w:r>
              <w:rPr>
                <w:rFonts w:eastAsia="Times New Roman"/>
                <w:bCs/>
              </w:rPr>
              <w:t>Наличие страховки грузов до места доставки всего поставляемого оборудования от утери, от порчи</w:t>
            </w:r>
            <w:r>
              <w:rPr>
                <w:rFonts w:eastAsia="Times New Roman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118" w:leader="none"/>
              </w:tabs>
              <w:spacing w:before="0" w:after="0"/>
              <w:ind w:left="57" w:firstLine="454"/>
              <w:contextualSpacing w:val="false"/>
              <w:jc w:val="both"/>
              <w:rPr>
                <w:lang w:eastAsia="x-none"/>
              </w:rPr>
            </w:pPr>
            <w:r>
              <w:rPr>
                <w:rFonts w:eastAsia="Times New Roman"/>
              </w:rPr>
              <w:t>Поставщик гарантирует замену утерянного, поврежденного при транспортировке или выбракованного при первичном осмотре.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1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участникам закупки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в закупке может юридическое / физическое лицо, в том числе индивидуальный предприниматель, или несколько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капитала, за исключением юридического / физического лица, являющегося иностранным агентом в соответствии с Федеральным законом от 14 июля 2022 года № 255-ФЗ  «О контроле за деятельностью лиц, находящихся под иностранным влиянием».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8" w:name="_Toc46743519"/>
      <w:bookmarkStart w:id="29" w:name="_Toc51339699"/>
      <w:bookmarkEnd w:id="28"/>
      <w:bookmarkEnd w:id="29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ind w:left="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предоставить технико-коммерческое предложение, спецификацию поставляемого оборудования соответствующее следующей форме: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0" w:name="_Toc513396991"/>
      <w:bookmarkStart w:id="31" w:name="_Toc467435191"/>
      <w:bookmarkStart w:id="32" w:name="_Toc513396991"/>
      <w:bookmarkStart w:id="33" w:name="_Toc467435191"/>
      <w:bookmarkEnd w:id="32"/>
      <w:bookmarkEnd w:id="33"/>
    </w:p>
    <w:p>
      <w:pPr>
        <w:pStyle w:val="Normal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tbl>
      <w:tblPr>
        <w:tblW w:w="150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05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>
        <w:trPr>
          <w:trHeight w:val="100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Технические характеристики (описание)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430" w:hanging="43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1134" w:right="539" w:gutter="0" w:header="709" w:top="1304" w:footer="0" w:bottom="92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2"/>
          <w:szCs w:val="22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tabs>
          <w:tab w:val="clear" w:pos="720"/>
          <w:tab w:val="left" w:pos="5923" w:leader="none"/>
        </w:tabs>
        <w:ind w:left="851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rFonts w:eastAsia="Calibri"/>
          <w:iCs/>
          <w:lang w:val="x-none" w:eastAsia="x-none"/>
        </w:rPr>
      </w:pPr>
      <w:r>
        <w:rPr>
          <w:rFonts w:eastAsia="Calibri"/>
          <w:iCs/>
          <w:lang w:val="x-none" w:eastAsia="x-none"/>
        </w:rPr>
      </w:r>
    </w:p>
    <w:p>
      <w:pPr>
        <w:pStyle w:val="Normal"/>
        <w:tabs>
          <w:tab w:val="clear" w:pos="720"/>
          <w:tab w:val="left" w:pos="5923" w:leader="none"/>
        </w:tabs>
        <w:ind w:left="851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20"/>
          <w:tab w:val="left" w:pos="5923" w:leader="none"/>
        </w:tabs>
        <w:ind w:left="851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5923" w:leader="none"/>
        </w:tabs>
        <w:ind w:left="851" w:hanging="0"/>
        <w:rPr>
          <w:b/>
          <w:sz w:val="24"/>
          <w:szCs w:val="24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left="-170" w:hanging="0"/>
      <w:jc w:val="center"/>
      <w:rPr/>
    </w:pPr>
    <w:r>
      <w:rPr/>
      <w:t>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9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unhideWhenUsed/>
    <w:qFormat/>
    <w:pPr>
      <w:outlineLvl w:val="1"/>
    </w:pPr>
    <w:rPr/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tabs>
        <w:tab w:val="clear" w:pos="720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uiPriority w:val="9"/>
    <w:unhideWhenUsed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 w:customStyle="1">
    <w:name w:val="Strong1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link w:val="25"/>
    <w:qFormat/>
    <w:rPr>
      <w:b/>
      <w:sz w:val="28"/>
    </w:rPr>
  </w:style>
  <w:style w:type="character" w:styleId="12" w:customStyle="1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Bodytext" w:customStyle="1">
    <w:name w:val="Body text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9"/>
      <w:sz w:val="21"/>
      <w:szCs w:val="21"/>
      <w:u w:val="none"/>
    </w:rPr>
  </w:style>
  <w:style w:type="character" w:styleId="23" w:customStyle="1">
    <w:name w:val="Основной текст2"/>
    <w:basedOn w:val="Bodytex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9"/>
      <w:w w:val="100"/>
      <w:sz w:val="21"/>
      <w:szCs w:val="21"/>
      <w:u w:val="none"/>
      <w:lang w:val="ru-RU"/>
    </w:rPr>
  </w:style>
  <w:style w:type="character" w:styleId="Bodytext75ptSmallCaps" w:customStyle="1">
    <w:name w:val="Body text + 7;5 pt;Small Caps"/>
    <w:basedOn w:val="Bodytext"/>
    <w:qFormat/>
    <w:rPr>
      <w:rFonts w:ascii="Times New Roman" w:hAnsi="Times New Roman" w:eastAsia="Times New Roman" w:cs="Times New Roman"/>
      <w:b w:val="false"/>
      <w:bCs w:val="false"/>
      <w:i w:val="false"/>
      <w:iCs w:val="false"/>
      <w:smallCaps/>
      <w:strike w:val="false"/>
      <w:dstrike w:val="false"/>
      <w:color w:val="000000"/>
      <w:spacing w:val="9"/>
      <w:w w:val="100"/>
      <w:sz w:val="15"/>
      <w:szCs w:val="15"/>
      <w:u w:val="none"/>
      <w:lang w:val="en-US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1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1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1"/>
    <w:uiPriority w:val="10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cs="Calibri"/>
      <w:sz w:val="20"/>
      <w:szCs w:val="20"/>
    </w:rPr>
  </w:style>
  <w:style w:type="paragraph" w:styleId="Style22" w:customStyle="1">
    <w:name w:val="Раздел регламента"/>
    <w:basedOn w:val="Normal"/>
    <w:qFormat/>
    <w:pPr/>
    <w:rPr/>
  </w:style>
  <w:style w:type="paragraph" w:styleId="Style23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cs="Calibri"/>
      <w:sz w:val="20"/>
      <w:szCs w:val="20"/>
    </w:rPr>
  </w:style>
  <w:style w:type="paragraph" w:styleId="26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9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42" w:customStyle="1">
    <w:name w:val="Основной текст4"/>
    <w:basedOn w:val="Normal"/>
    <w:qFormat/>
    <w:pPr>
      <w:shd w:val="clear" w:color="auto" w:fill="FFFFFF"/>
      <w:spacing w:lineRule="exact" w:line="274" w:before="60" w:after="240"/>
      <w:ind w:hanging="260"/>
      <w:jc w:val="right"/>
    </w:pPr>
    <w:rPr>
      <w:spacing w:val="9"/>
      <w:sz w:val="21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qFormat/>
  </w:style>
  <w:style w:type="numbering" w:styleId="210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Application>AlterOffice/3.4.0.9$Linux_X86_64 LibreOffice_project/b8daf9e823b1a5463a2f48435ddc2e8696e7d4fc</Application>
  <AppVersion>15.0000</AppVersion>
  <Pages>15</Pages>
  <Words>1656</Words>
  <Characters>9467</Characters>
  <CharactersWithSpaces>10683</CharactersWithSpaces>
  <Paragraphs>490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2026-09-08T07:02:00Z</dcterms:created>
  <dc:creator>Быстров Олег Геннадьевич</dc:creator>
  <dc:description/>
  <dc:language>ru-RU</dc:language>
  <cp:lastModifiedBy>ahmatovmm@corp.gidroogk.com</cp:lastModifiedBy>
  <cp:lastPrinted>2026-09-08T14:21:32Z</cp:lastPrinted>
  <dcterms:modified xsi:type="dcterms:W3CDTF">2026-09-08T16:59:33Z</dcterms:modified>
  <cp:revision>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