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drawing>
          <wp:inline distT="0" distB="0" distL="0" distR="0">
            <wp:extent cx="2973705" cy="316928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О запросе стоимости</w:t>
      </w:r>
    </w:p>
    <w:p>
      <w:pPr>
        <w:pStyle w:val="Normal"/>
        <w:spacing w:lineRule="exact" w:line="2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Web"/>
        <w:spacing w:beforeAutospacing="0" w:before="12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Запрос технико-коммерческих предложений</w:t>
      </w:r>
    </w:p>
    <w:p>
      <w:pPr>
        <w:pStyle w:val="NormalWeb"/>
        <w:spacing w:beforeAutospacing="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12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ПАО «РусГидро» – «Зейская ГЭС» сообщает о проведении анализа технико-коммерческих предложений потенциальных поставщиков в рамках формирования НМЦ по закупке на право заключения договора на </w:t>
      </w:r>
      <w:r>
        <w:rPr>
          <w:rFonts w:eastAsia="Calibri"/>
          <w:sz w:val="28"/>
          <w:szCs w:val="28"/>
        </w:rPr>
        <w:t>Услуги связи по предоставлению виртуальных каналов связи</w:t>
      </w:r>
      <w:r>
        <w:rPr>
          <w:sz w:val="28"/>
          <w:szCs w:val="28"/>
        </w:rPr>
        <w:t>.</w:t>
      </w:r>
    </w:p>
    <w:p>
      <w:pPr>
        <w:pStyle w:val="NormalWeb"/>
        <w:spacing w:beforeAutospacing="0" w:before="12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запрос не является публичной офертой и не влечет за собой возникновения каких-либо обязательств для ПАО «РусГидро» – «Зейская ГЭС». Рассмотрение ПАО «РусГидро» – «Зейская ГЭС»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Web"/>
        <w:spacing w:beforeAutospacing="0" w:before="12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Подробные требования к продукции (в том числе, сведения об объеме, сроках поставляемой продукции) приведены в утвержденных Заказчиком технических требования, приложенных к настоящему запросу.</w:t>
      </w:r>
    </w:p>
    <w:p>
      <w:pPr>
        <w:pStyle w:val="NormalWeb"/>
        <w:spacing w:beforeAutospacing="0" w:before="12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Ответ с технико-коммерческим предложением должен быть заверен подписью уполномоченного лица, а также печатью организации (при наличии) и содержать следующую информацию: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дату направления предложения;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полное наименование Поставщика, с указанием организационно-правовой формы (для юридических лиц)/ ИНН (при наличии) (для физических лиц);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юридический адрес, почтовый адрес, ИНН</w:t>
      </w:r>
      <w:r>
        <w:rPr>
          <w:i/>
          <w:iCs/>
          <w:sz w:val="28"/>
          <w:szCs w:val="28"/>
        </w:rPr>
        <w:t>;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контактные данные: номер телефона, e-mail, ФИО контактного лица;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сроки оказания услуг в соответствии с установленными требованиями;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подробное описание услуг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цену предложения в рублях (без учета НДС);</w:t>
      </w:r>
    </w:p>
    <w:p>
      <w:pPr>
        <w:pStyle w:val="NormalWeb"/>
        <w:spacing w:beforeAutospacing="0"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ставка НДС.</w:t>
      </w:r>
    </w:p>
    <w:p>
      <w:pPr>
        <w:pStyle w:val="NormalWeb"/>
        <w:spacing w:beforeAutospacing="0" w:before="120" w:after="0"/>
        <w:ind w:firstLine="851"/>
        <w:jc w:val="both"/>
        <w:rPr/>
      </w:pPr>
      <w:r>
        <w:rPr>
          <w:sz w:val="28"/>
          <w:szCs w:val="28"/>
          <w:shd w:fill="auto" w:val="clear"/>
        </w:rPr>
        <w:t xml:space="preserve">4. Технико-коммерческие предложения должны быть представлены через Электронную (торговую) площадку </w:t>
      </w:r>
      <w:hyperlink r:id="rId3">
        <w:r>
          <w:rPr>
            <w:rStyle w:val="Hyperlink"/>
            <w:sz w:val="28"/>
            <w:szCs w:val="28"/>
            <w:shd w:fill="auto" w:val="clear"/>
          </w:rPr>
          <w:t>https://tender.lot-online.ru</w:t>
        </w:r>
      </w:hyperlink>
      <w:r>
        <w:rPr>
          <w:sz w:val="28"/>
          <w:szCs w:val="28"/>
          <w:shd w:fill="auto" w:val="clear"/>
        </w:rPr>
        <w:t xml:space="preserve"> или на электронный адрес </w:t>
      </w:r>
      <w:hyperlink r:id="rId4">
        <w:r>
          <w:rPr>
            <w:rStyle w:val="Hyperlink"/>
            <w:sz w:val="28"/>
            <w:szCs w:val="28"/>
            <w:shd w:fill="auto" w:val="clear"/>
          </w:rPr>
          <w:t>BerezinetsIP@rushydro.ru</w:t>
        </w:r>
      </w:hyperlink>
      <w:r>
        <w:rPr>
          <w:rStyle w:val="Hyperlink"/>
          <w:sz w:val="28"/>
          <w:szCs w:val="28"/>
          <w:u w:val="none"/>
          <w:shd w:fill="auto" w:val="clear"/>
        </w:rPr>
        <w:t xml:space="preserve">  </w:t>
      </w:r>
      <w:r>
        <w:rPr>
          <w:rStyle w:val="Hyperlink"/>
          <w:color w:val="111111"/>
          <w:sz w:val="28"/>
          <w:szCs w:val="28"/>
          <w:u w:val="none"/>
          <w:shd w:fill="auto" w:val="clear"/>
        </w:rPr>
        <w:t>и</w:t>
      </w:r>
      <w:r>
        <w:rPr>
          <w:rStyle w:val="Hyperlink"/>
          <w:sz w:val="28"/>
          <w:szCs w:val="28"/>
          <w:u w:val="none"/>
          <w:shd w:fill="auto" w:val="clear"/>
        </w:rPr>
        <w:t xml:space="preserve"> </w:t>
      </w:r>
      <w:hyperlink r:id="rId5">
        <w:r>
          <w:rPr>
            <w:rStyle w:val="Hyperlink"/>
            <w:sz w:val="28"/>
            <w:szCs w:val="28"/>
            <w:u w:val="none"/>
            <w:shd w:fill="auto" w:val="clear"/>
          </w:rPr>
          <w:t>chirkovya@rushydro.ru</w:t>
        </w:r>
      </w:hyperlink>
      <w:r>
        <w:rPr>
          <w:rStyle w:val="Hyperlink"/>
          <w:sz w:val="28"/>
          <w:szCs w:val="28"/>
          <w:u w:val="none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до 1</w:t>
      </w:r>
      <w:r>
        <w:rPr>
          <w:sz w:val="28"/>
          <w:szCs w:val="28"/>
          <w:shd w:fill="auto" w:val="clear"/>
        </w:rPr>
        <w:t>1</w:t>
      </w:r>
      <w:r>
        <w:rPr>
          <w:sz w:val="28"/>
          <w:szCs w:val="28"/>
          <w:shd w:fill="auto" w:val="clear"/>
        </w:rPr>
        <w:t xml:space="preserve">:00 </w:t>
      </w:r>
      <w:r>
        <w:rPr>
          <w:sz w:val="28"/>
          <w:szCs w:val="28"/>
          <w:shd w:fill="auto" w:val="clear"/>
        </w:rPr>
        <w:t>мск.</w:t>
      </w:r>
      <w:r>
        <w:rPr>
          <w:rFonts w:eastAsia="Calibri"/>
          <w:sz w:val="28"/>
          <w:szCs w:val="28"/>
          <w:shd w:fill="auto" w:val="clear"/>
        </w:rPr>
        <w:t xml:space="preserve"> </w:t>
      </w:r>
      <w:r>
        <w:rPr>
          <w:rFonts w:eastAsia="Calibri"/>
          <w:sz w:val="28"/>
          <w:szCs w:val="28"/>
          <w:shd w:fill="auto" w:val="clear"/>
        </w:rPr>
        <w:t>18</w:t>
      </w:r>
      <w:r>
        <w:rPr>
          <w:rFonts w:eastAsia="Calibri"/>
          <w:sz w:val="28"/>
          <w:szCs w:val="28"/>
          <w:shd w:fill="auto" w:val="clear"/>
        </w:rPr>
        <w:t>.0</w:t>
      </w:r>
      <w:r>
        <w:rPr>
          <w:rFonts w:eastAsia="Calibri"/>
          <w:sz w:val="28"/>
          <w:szCs w:val="28"/>
          <w:shd w:fill="auto" w:val="clear"/>
        </w:rPr>
        <w:t>9</w:t>
      </w:r>
      <w:r>
        <w:rPr>
          <w:rFonts w:eastAsia="Calibri"/>
          <w:sz w:val="28"/>
          <w:szCs w:val="28"/>
          <w:shd w:fill="auto" w:val="clear"/>
        </w:rPr>
        <w:t>.202</w:t>
      </w:r>
      <w:r>
        <w:rPr>
          <w:rFonts w:eastAsia="Calibri"/>
          <w:sz w:val="28"/>
          <w:szCs w:val="28"/>
          <w:shd w:fill="auto" w:val="clear"/>
        </w:rPr>
        <w:t>6</w:t>
      </w:r>
      <w:r>
        <w:rPr>
          <w:rFonts w:eastAsia="Calibri"/>
          <w:sz w:val="28"/>
          <w:szCs w:val="28"/>
          <w:shd w:fill="auto" w:val="clear"/>
        </w:rPr>
        <w:t xml:space="preserve"> г</w:t>
      </w:r>
      <w:r>
        <w:rPr>
          <w:sz w:val="28"/>
          <w:szCs w:val="28"/>
          <w:shd w:fill="auto" w:val="clear"/>
        </w:rPr>
        <w:t>.</w:t>
      </w:r>
    </w:p>
    <w:p>
      <w:pPr>
        <w:pStyle w:val="NormalWeb"/>
        <w:spacing w:beforeAutospacing="0" w:before="12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pacing w:beforeAutospacing="0" w:before="120" w:after="0"/>
        <w:jc w:val="both"/>
        <w:rPr/>
      </w:pPr>
      <w:r>
        <w:rPr>
          <w:sz w:val="24"/>
          <w:szCs w:val="24"/>
        </w:rPr>
        <w:t>Приложения: 1. Технические требования.</w:t>
      </w:r>
      <w:r>
        <w:rPr>
          <w:sz w:val="20"/>
        </w:rPr>
        <w:t xml:space="preserve"> </w:t>
      </w:r>
    </w:p>
    <w:sectPr>
      <w:headerReference w:type="even" r:id="rId6"/>
      <w:headerReference w:type="default" r:id="rId7"/>
      <w:type w:val="nextPage"/>
      <w:pgSz w:w="11906" w:h="16838"/>
      <w:pgMar w:left="1134" w:right="709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Caption1">
    <w:name w:val="caption1"/>
    <w:basedOn w:val="Normal"/>
    <w:next w:val="Normal"/>
    <w:qFormat/>
    <w:rsid w:val="003c55d6"/>
    <w:pPr>
      <w:jc w:val="center"/>
    </w:pPr>
    <w:rPr>
      <w:rFonts w:ascii="Times New Roman" w:hAnsi="Times New Roman" w:eastAsia="Times New Roman"/>
      <w:b/>
      <w:sz w:val="36"/>
      <w:lang w:eastAsia="ru-RU"/>
    </w:rPr>
  </w:style>
  <w:style w:type="paragraph" w:styleId="Style14">
    <w:name w:val="Содержимое врезки"/>
    <w:basedOn w:val="Normal"/>
    <w:qFormat/>
    <w:pPr/>
    <w:rPr/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hyperlink" Target="mailto:BerezinetsIP@rushydro.ru" TargetMode="External"/><Relationship Id="rId5" Type="http://schemas.openxmlformats.org/officeDocument/2006/relationships/hyperlink" Target="mailto:chirkovya@rushydro.ru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Application>AlterOffice/3.4.0.9$Linux_X86_64 LibreOffice_project/b8daf9e823b1a5463a2f48435ddc2e8696e7d4fc</Application>
  <AppVersion>15.0000</AppVersion>
  <Pages>2</Pages>
  <Words>227</Words>
  <Characters>1707</Characters>
  <CharactersWithSpaces>1930</CharactersWithSpaces>
  <Paragraphs>18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2019-08-02T05:15:00Z</dcterms:created>
  <dc:creator>Andrey Zhurin</dc:creator>
  <dc:description/>
  <dc:language>ru-RU</dc:language>
  <cp:lastModifiedBy>pogrebskyis@corp.gidroogk.com</cp:lastModifiedBy>
  <cp:lastPrinted>2026-09-08T11:23:19Z</cp:lastPrinted>
  <dcterms:modified xsi:type="dcterms:W3CDTF">2026-09-08T12:53:25Z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