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5.xml" ContentType="application/vnd.openxmlformats-officedocument.wordprocessingml.header+xml"/>
  <Override PartName="/word/header1.xml" ContentType="application/vnd.openxmlformats-officedocument.wordprocessingml.header+xml"/>
  <Override PartName="/word/_rels/document.xml.rels" ContentType="application/vnd.openxmlformats-package.relationships+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ind w:left="-709"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MSONORMAL"/>
        <w:spacing w:lineRule="auto" w:line="276"/>
        <w:ind w:left="-709" w:firstLine="567"/>
        <w:jc w:val="center"/>
        <w:rPr>
          <w:rFonts w:ascii="Times New Roman" w:hAnsi="Times New Roman"/>
          <w:b/>
          <w:bCs/>
          <w:sz w:val="28"/>
          <w:szCs w:val="28"/>
        </w:rPr>
      </w:pPr>
      <w:r>
        <w:rPr>
          <w:rFonts w:ascii="Times New Roman" w:hAnsi="Times New Roman"/>
          <w:b/>
          <w:bCs/>
          <w:sz w:val="28"/>
          <w:szCs w:val="28"/>
        </w:rPr>
        <w:t xml:space="preserve">ТЕХНИЧЕСКИЕ ТРЕБОВАНИЯ </w:t>
      </w:r>
    </w:p>
    <w:p>
      <w:pPr>
        <w:pStyle w:val="MSONORMAL"/>
        <w:spacing w:lineRule="auto" w:line="276"/>
        <w:ind w:left="-709" w:firstLine="567"/>
        <w:jc w:val="center"/>
        <w:rPr>
          <w:rFonts w:ascii="Times New Roman" w:hAnsi="Times New Roman"/>
          <w:sz w:val="28"/>
          <w:szCs w:val="28"/>
        </w:rPr>
      </w:pPr>
      <w:r>
        <w:rPr>
          <w:rFonts w:ascii="Times New Roman" w:hAnsi="Times New Roman"/>
          <w:sz w:val="28"/>
          <w:szCs w:val="28"/>
        </w:rPr>
      </w:r>
    </w:p>
    <w:p>
      <w:pPr>
        <w:pStyle w:val="MSONORMAL"/>
        <w:spacing w:lineRule="auto" w:line="276"/>
        <w:ind w:left="-709" w:firstLine="567"/>
        <w:jc w:val="center"/>
        <w:rPr>
          <w:rFonts w:ascii="Times New Roman" w:hAnsi="Times New Roman"/>
          <w:sz w:val="28"/>
          <w:szCs w:val="28"/>
        </w:rPr>
      </w:pPr>
      <w:r>
        <w:rPr>
          <w:rFonts w:ascii="Times New Roman" w:hAnsi="Times New Roman"/>
          <w:sz w:val="24"/>
          <w:szCs w:val="24"/>
        </w:rPr>
        <w:t>на</w:t>
      </w:r>
      <w:r>
        <w:rPr>
          <w:rFonts w:ascii="Times New Roman" w:hAnsi="Times New Roman"/>
          <w:sz w:val="28"/>
          <w:szCs w:val="28"/>
        </w:rPr>
        <w:t xml:space="preserve"> </w:t>
      </w:r>
      <w:r>
        <w:rPr>
          <w:rFonts w:eastAsia="Calibri" w:ascii="Times New Roman" w:hAnsi="Times New Roman"/>
          <w:szCs w:val="28"/>
        </w:rPr>
        <w:t>Услуги связи по предоставлению каналов связи с пакетной передачей данных c применением технологии IP VPN</w:t>
      </w:r>
    </w:p>
    <w:p>
      <w:pPr>
        <w:pStyle w:val="MSONORMAL"/>
        <w:spacing w:lineRule="auto" w:line="276"/>
        <w:ind w:left="-709" w:firstLine="567"/>
        <w:jc w:val="center"/>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t xml:space="preserve">  </w:t>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ind w:left="-709" w:firstLine="567"/>
        <w:rPr>
          <w:rFonts w:ascii="Times New Roman" w:hAnsi="Times New Roman"/>
          <w:sz w:val="28"/>
          <w:szCs w:val="28"/>
        </w:rPr>
      </w:pPr>
      <w:r>
        <w:rPr>
          <w:rFonts w:ascii="Times New Roman" w:hAnsi="Times New Roman"/>
          <w:sz w:val="28"/>
          <w:szCs w:val="28"/>
        </w:rPr>
      </w:r>
    </w:p>
    <w:p>
      <w:pPr>
        <w:pStyle w:val="MSONORMAL"/>
        <w:spacing w:lineRule="auto" w:line="276"/>
        <w:rPr/>
      </w:pPr>
      <w:r>
        <w:rPr/>
      </w:r>
    </w:p>
    <w:sdt>
      <w:sdtPr>
        <w:docPartObj>
          <w:docPartGallery w:val="Table of Contents"/>
          <w:docPartUnique w:val="true"/>
        </w:docPartObj>
      </w:sdtPr>
      <w:sdtContent>
        <w:p>
          <w:pPr>
            <w:pStyle w:val="TOCHeading"/>
            <w:jc w:val="center"/>
            <w:rPr>
              <w:rFonts w:ascii="Times New Roman" w:hAnsi="Times New Roman" w:cs="Times New Roman"/>
              <w:color w:val="000000" w:themeColor="text1"/>
            </w:rPr>
          </w:pPr>
          <w:r>
            <w:rPr>
              <w:rFonts w:cs="Times New Roman" w:ascii="Times New Roman" w:hAnsi="Times New Roman"/>
              <w:color w:val="000000" w:themeColor="text1"/>
            </w:rPr>
            <w:t>Оглавление</w:t>
          </w:r>
        </w:p>
        <w:p>
          <w:pPr>
            <w:pStyle w:val="TOC1"/>
            <w:rPr>
              <w:rFonts w:ascii="Calibri" w:hAnsi="Calibri" w:eastAsia="" w:cs="" w:asciiTheme="minorHAnsi" w:cstheme="minorBidi" w:eastAsiaTheme="minorEastAsia" w:hAnsiTheme="minorHAnsi"/>
              <w:b w:val="false"/>
              <w:bCs w:val="false"/>
              <w:sz w:val="22"/>
              <w:szCs w:val="22"/>
              <w:lang w:eastAsia="ru-RU"/>
            </w:rPr>
          </w:pPr>
          <w:r>
            <w:fldChar w:fldCharType="begin"/>
          </w:r>
          <w:r>
            <w:rPr>
              <w:webHidden/>
              <w:rStyle w:val="Style15"/>
              <w:vanish w:val="false"/>
            </w:rPr>
            <w:instrText xml:space="preserve"> TOC \z \o "1-3" \u \h</w:instrText>
          </w:r>
          <w:r>
            <w:rPr>
              <w:webHidden/>
              <w:rStyle w:val="Style15"/>
              <w:vanish w:val="false"/>
            </w:rPr>
            <w:fldChar w:fldCharType="separate"/>
          </w:r>
          <w:hyperlink w:anchor="_Toc191457427">
            <w:r>
              <w:rPr>
                <w:webHidden/>
                <w:rStyle w:val="Style15"/>
                <w:vanish w:val="false"/>
              </w:rPr>
              <w:t>1.</w:t>
            </w:r>
            <w:r>
              <w:rPr>
                <w:rStyle w:val="Style15"/>
                <w:rFonts w:eastAsia="" w:cs="" w:ascii="Calibri" w:hAnsi="Calibri" w:asciiTheme="minorHAnsi" w:cstheme="minorBidi" w:eastAsiaTheme="minorEastAsia" w:hAnsiTheme="minorHAnsi"/>
                <w:b w:val="false"/>
                <w:bCs w:val="false"/>
                <w:sz w:val="22"/>
                <w:szCs w:val="22"/>
                <w:lang w:eastAsia="ru-RU"/>
              </w:rPr>
              <w:tab/>
            </w:r>
            <w:r>
              <w:rPr>
                <w:webHidden/>
              </w:rPr>
              <w:fldChar w:fldCharType="begin"/>
            </w:r>
            <w:r>
              <w:rPr>
                <w:webHidden/>
              </w:rPr>
              <w:instrText xml:space="preserve">PAGEREF _Toc191457427 \h</w:instrText>
            </w:r>
            <w:r>
              <w:rPr>
                <w:webHidden/>
              </w:rPr>
              <w:fldChar w:fldCharType="separate"/>
            </w:r>
            <w:r>
              <w:rPr>
                <w:rStyle w:val="Style15"/>
              </w:rPr>
              <w:t>Общие сведения</w:t>
              <w:tab/>
              <w:t>3</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28">
            <w:r>
              <w:rPr>
                <w:webHidden/>
                <w:rStyle w:val="Style15"/>
                <w:rFonts w:ascii="Times New Roman" w:hAnsi="Times New Roman"/>
                <w:b/>
                <w:vanish w:val="false"/>
              </w:rPr>
              <w:t>1.1.</w:t>
            </w:r>
            <w:r>
              <w:rPr>
                <w:rStyle w:val="Style15"/>
                <w:rFonts w:eastAsia="" w:eastAsiaTheme="minorEastAsia"/>
                <w:i w:val="false"/>
                <w:iCs w:val="false"/>
                <w:sz w:val="22"/>
                <w:szCs w:val="22"/>
                <w:lang w:eastAsia="ru-RU"/>
              </w:rPr>
              <w:tab/>
            </w:r>
            <w:r>
              <w:rPr>
                <w:rStyle w:val="Style15"/>
                <w:rFonts w:ascii="Times New Roman" w:hAnsi="Times New Roman"/>
                <w:b/>
              </w:rPr>
              <w:t>Обозначения и сокращения</w:t>
            </w:r>
            <w:r>
              <w:rPr>
                <w:webHidden/>
              </w:rPr>
              <w:fldChar w:fldCharType="begin"/>
            </w:r>
            <w:r>
              <w:rPr>
                <w:webHidden/>
              </w:rPr>
              <w:instrText xml:space="preserve">PAGEREF _Toc191457428 \h</w:instrText>
            </w:r>
            <w:r>
              <w:rPr>
                <w:webHidden/>
              </w:rPr>
              <w:fldChar w:fldCharType="separate"/>
            </w:r>
            <w:r>
              <w:rPr>
                <w:rStyle w:val="Style15"/>
              </w:rPr>
              <w:tab/>
              <w:t>3</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29">
            <w:r>
              <w:rPr>
                <w:webHidden/>
                <w:rStyle w:val="Style15"/>
                <w:rFonts w:ascii="Times New Roman" w:hAnsi="Times New Roman"/>
                <w:b/>
                <w:vanish w:val="false"/>
              </w:rPr>
              <w:t>1.2.</w:t>
            </w:r>
            <w:r>
              <w:rPr>
                <w:rStyle w:val="Style15"/>
                <w:rFonts w:eastAsia="" w:eastAsiaTheme="minorEastAsia"/>
                <w:i w:val="false"/>
                <w:iCs w:val="false"/>
                <w:sz w:val="22"/>
                <w:szCs w:val="22"/>
                <w:lang w:eastAsia="ru-RU"/>
              </w:rPr>
              <w:tab/>
            </w:r>
            <w:r>
              <w:rPr>
                <w:rStyle w:val="Style15"/>
                <w:rFonts w:ascii="Times New Roman" w:hAnsi="Times New Roman"/>
                <w:b/>
              </w:rPr>
              <w:t>Наименование закупаемой продукции (товаров, работ, услуг)</w:t>
            </w:r>
            <w:r>
              <w:rPr>
                <w:webHidden/>
              </w:rPr>
              <w:fldChar w:fldCharType="begin"/>
            </w:r>
            <w:r>
              <w:rPr>
                <w:webHidden/>
              </w:rPr>
              <w:instrText xml:space="preserve">PAGEREF _Toc191457429 \h</w:instrText>
            </w:r>
            <w:r>
              <w:rPr>
                <w:webHidden/>
              </w:rPr>
              <w:fldChar w:fldCharType="separate"/>
            </w:r>
            <w:r>
              <w:rPr>
                <w:rStyle w:val="Style15"/>
              </w:rPr>
              <w:tab/>
              <w:t>5</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30">
            <w:r>
              <w:rPr>
                <w:webHidden/>
                <w:rStyle w:val="Style15"/>
                <w:rFonts w:ascii="Times New Roman" w:hAnsi="Times New Roman"/>
                <w:b/>
                <w:vanish w:val="false"/>
              </w:rPr>
              <w:t>1.3.</w:t>
            </w:r>
            <w:r>
              <w:rPr>
                <w:rStyle w:val="Style15"/>
                <w:rFonts w:eastAsia="" w:eastAsiaTheme="minorEastAsia"/>
                <w:i w:val="false"/>
                <w:iCs w:val="false"/>
                <w:sz w:val="22"/>
                <w:szCs w:val="22"/>
                <w:lang w:eastAsia="ru-RU"/>
              </w:rPr>
              <w:tab/>
            </w:r>
            <w:r>
              <w:rPr>
                <w:rStyle w:val="Style15"/>
                <w:rFonts w:ascii="Times New Roman" w:hAnsi="Times New Roman"/>
                <w:b/>
              </w:rPr>
              <w:t>Цель оказания услуг</w:t>
            </w:r>
            <w:r>
              <w:rPr>
                <w:webHidden/>
              </w:rPr>
              <w:fldChar w:fldCharType="begin"/>
            </w:r>
            <w:r>
              <w:rPr>
                <w:webHidden/>
              </w:rPr>
              <w:instrText xml:space="preserve">PAGEREF _Toc191457430 \h</w:instrText>
            </w:r>
            <w:r>
              <w:rPr>
                <w:webHidden/>
              </w:rPr>
              <w:fldChar w:fldCharType="separate"/>
            </w:r>
            <w:r>
              <w:rPr>
                <w:rStyle w:val="Style15"/>
              </w:rPr>
              <w:tab/>
              <w:t>5</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31">
            <w:r>
              <w:rPr>
                <w:webHidden/>
                <w:rStyle w:val="Style15"/>
                <w:rFonts w:ascii="Times New Roman" w:hAnsi="Times New Roman"/>
                <w:b/>
                <w:vanish w:val="false"/>
              </w:rPr>
              <w:t>1.4.</w:t>
            </w:r>
            <w:r>
              <w:rPr>
                <w:rStyle w:val="Style15"/>
                <w:rFonts w:eastAsia="" w:eastAsiaTheme="minorEastAsia"/>
                <w:i w:val="false"/>
                <w:iCs w:val="false"/>
                <w:sz w:val="22"/>
                <w:szCs w:val="22"/>
                <w:lang w:eastAsia="ru-RU"/>
              </w:rPr>
              <w:tab/>
            </w:r>
            <w:r>
              <w:rPr>
                <w:rStyle w:val="Style15"/>
                <w:rFonts w:ascii="Times New Roman" w:hAnsi="Times New Roman"/>
                <w:b/>
              </w:rPr>
              <w:t>Иные требования и сведения общего характера</w:t>
            </w:r>
            <w:r>
              <w:rPr>
                <w:webHidden/>
              </w:rPr>
              <w:fldChar w:fldCharType="begin"/>
            </w:r>
            <w:r>
              <w:rPr>
                <w:webHidden/>
              </w:rPr>
              <w:instrText xml:space="preserve">PAGEREF _Toc191457431 \h</w:instrText>
            </w:r>
            <w:r>
              <w:rPr>
                <w:webHidden/>
              </w:rPr>
              <w:fldChar w:fldCharType="separate"/>
            </w:r>
            <w:r>
              <w:rPr>
                <w:rStyle w:val="Style15"/>
              </w:rPr>
              <w:tab/>
              <w:t>6</w:t>
            </w:r>
            <w:r>
              <w:rPr>
                <w:webHidden/>
              </w:rPr>
              <w:fldChar w:fldCharType="end"/>
            </w:r>
          </w:hyperlink>
        </w:p>
        <w:p>
          <w:pPr>
            <w:pStyle w:val="TOC1"/>
            <w:rPr>
              <w:rFonts w:ascii="Calibri" w:hAnsi="Calibri" w:eastAsia="" w:cs="" w:asciiTheme="minorHAnsi" w:cstheme="minorBidi" w:eastAsiaTheme="minorEastAsia" w:hAnsiTheme="minorHAnsi"/>
              <w:b w:val="false"/>
              <w:bCs w:val="false"/>
              <w:sz w:val="22"/>
              <w:szCs w:val="22"/>
              <w:lang w:eastAsia="ru-RU"/>
            </w:rPr>
          </w:pPr>
          <w:hyperlink w:anchor="_Toc191457432">
            <w:r>
              <w:rPr>
                <w:webHidden/>
                <w:rStyle w:val="Style15"/>
                <w:vanish w:val="false"/>
              </w:rPr>
              <w:t>2.</w:t>
            </w:r>
            <w:r>
              <w:rPr>
                <w:rStyle w:val="Style15"/>
                <w:rFonts w:eastAsia="" w:cs="" w:ascii="Calibri" w:hAnsi="Calibri" w:asciiTheme="minorHAnsi" w:cstheme="minorBidi" w:eastAsiaTheme="minorEastAsia" w:hAnsiTheme="minorHAnsi"/>
                <w:b w:val="false"/>
                <w:bCs w:val="false"/>
                <w:sz w:val="22"/>
                <w:szCs w:val="22"/>
                <w:lang w:eastAsia="ru-RU"/>
              </w:rPr>
              <w:tab/>
            </w:r>
            <w:r>
              <w:rPr>
                <w:webHidden/>
              </w:rPr>
              <w:fldChar w:fldCharType="begin"/>
            </w:r>
            <w:r>
              <w:rPr>
                <w:webHidden/>
              </w:rPr>
              <w:instrText xml:space="preserve">PAGEREF _Toc191457432 \h</w:instrText>
            </w:r>
            <w:r>
              <w:rPr>
                <w:webHidden/>
              </w:rPr>
              <w:fldChar w:fldCharType="separate"/>
            </w:r>
            <w:r>
              <w:rPr>
                <w:rStyle w:val="Style15"/>
              </w:rPr>
              <w:t>Требования к услугам (технические и иные характеристики)</w:t>
              <w:tab/>
              <w:t>6</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33">
            <w:r>
              <w:rPr>
                <w:webHidden/>
                <w:rStyle w:val="Style15"/>
                <w:rFonts w:ascii="Times New Roman" w:hAnsi="Times New Roman"/>
                <w:b/>
                <w:vanish w:val="false"/>
              </w:rPr>
              <w:t>2.1.</w:t>
            </w:r>
            <w:r>
              <w:rPr>
                <w:rStyle w:val="Style15"/>
                <w:rFonts w:eastAsia="" w:eastAsiaTheme="minorEastAsia"/>
                <w:i w:val="false"/>
                <w:iCs w:val="false"/>
                <w:sz w:val="22"/>
                <w:szCs w:val="22"/>
                <w:lang w:eastAsia="ru-RU"/>
              </w:rPr>
              <w:tab/>
            </w:r>
            <w:r>
              <w:rPr>
                <w:rStyle w:val="Style15"/>
                <w:rFonts w:ascii="Times New Roman" w:hAnsi="Times New Roman"/>
                <w:b/>
              </w:rPr>
              <w:t>Требования к перечню и объемам оказания услуг</w:t>
            </w:r>
            <w:r>
              <w:rPr>
                <w:webHidden/>
              </w:rPr>
              <w:fldChar w:fldCharType="begin"/>
            </w:r>
            <w:r>
              <w:rPr>
                <w:webHidden/>
              </w:rPr>
              <w:instrText xml:space="preserve">PAGEREF _Toc191457433 \h</w:instrText>
            </w:r>
            <w:r>
              <w:rPr>
                <w:webHidden/>
              </w:rPr>
              <w:fldChar w:fldCharType="separate"/>
            </w:r>
            <w:r>
              <w:rPr>
                <w:rStyle w:val="Style15"/>
              </w:rPr>
              <w:tab/>
              <w:t>6</w:t>
            </w:r>
            <w:r>
              <w:rPr>
                <w:webHidden/>
              </w:rPr>
              <w:fldChar w:fldCharType="end"/>
            </w:r>
          </w:hyperlink>
        </w:p>
        <w:p>
          <w:pPr>
            <w:pStyle w:val="TOC2"/>
            <w:tabs>
              <w:tab w:val="clear" w:pos="708"/>
              <w:tab w:val="right" w:pos="9204" w:leader="dot"/>
            </w:tabs>
            <w:rPr>
              <w:rFonts w:eastAsia="" w:eastAsiaTheme="minorEastAsia"/>
              <w:i w:val="false"/>
              <w:i w:val="false"/>
              <w:iCs w:val="false"/>
              <w:sz w:val="22"/>
              <w:szCs w:val="22"/>
              <w:lang w:eastAsia="ru-RU"/>
            </w:rPr>
          </w:pPr>
          <w:hyperlink w:anchor="_Toc191457434">
            <w:r>
              <w:rPr>
                <w:webHidden/>
                <w:rStyle w:val="Style15"/>
                <w:rFonts w:ascii="Times New Roman" w:hAnsi="Times New Roman"/>
                <w:b/>
                <w:vanish w:val="false"/>
              </w:rPr>
              <w:t>Таблица 1. Перечень и объем оказываемых услуг</w:t>
            </w:r>
            <w:r>
              <w:rPr>
                <w:webHidden/>
              </w:rPr>
              <w:fldChar w:fldCharType="begin"/>
            </w:r>
            <w:r>
              <w:rPr>
                <w:webHidden/>
              </w:rPr>
              <w:instrText xml:space="preserve">PAGEREF _Toc191457434 \h</w:instrText>
            </w:r>
            <w:r>
              <w:rPr>
                <w:webHidden/>
              </w:rPr>
              <w:fldChar w:fldCharType="separate"/>
            </w:r>
            <w:r>
              <w:rPr>
                <w:rStyle w:val="Style15"/>
              </w:rPr>
              <w:tab/>
              <w:t>7</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35">
            <w:r>
              <w:rPr>
                <w:webHidden/>
                <w:rStyle w:val="Style15"/>
                <w:rFonts w:ascii="Times New Roman" w:hAnsi="Times New Roman"/>
                <w:b/>
                <w:vanish w:val="false"/>
              </w:rPr>
              <w:t>2.2.</w:t>
            </w:r>
            <w:r>
              <w:rPr>
                <w:rStyle w:val="Style15"/>
                <w:rFonts w:eastAsia="" w:eastAsiaTheme="minorEastAsia"/>
                <w:i w:val="false"/>
                <w:iCs w:val="false"/>
                <w:sz w:val="22"/>
                <w:szCs w:val="22"/>
                <w:lang w:eastAsia="ru-RU"/>
              </w:rPr>
              <w:tab/>
            </w:r>
            <w:r>
              <w:rPr>
                <w:rStyle w:val="Style15"/>
                <w:rFonts w:ascii="Times New Roman" w:hAnsi="Times New Roman"/>
                <w:b/>
              </w:rPr>
              <w:t>Требования к срокам оказания услуг</w:t>
            </w:r>
            <w:r>
              <w:rPr>
                <w:webHidden/>
              </w:rPr>
              <w:fldChar w:fldCharType="begin"/>
            </w:r>
            <w:r>
              <w:rPr>
                <w:webHidden/>
              </w:rPr>
              <w:instrText xml:space="preserve">PAGEREF _Toc191457435 \h</w:instrText>
            </w:r>
            <w:r>
              <w:rPr>
                <w:webHidden/>
              </w:rPr>
              <w:fldChar w:fldCharType="separate"/>
            </w:r>
            <w:r>
              <w:rPr>
                <w:rStyle w:val="Style15"/>
              </w:rPr>
              <w:tab/>
              <w:t>12</w:t>
            </w:r>
            <w:r>
              <w:rPr>
                <w:webHidden/>
              </w:rPr>
              <w:fldChar w:fldCharType="end"/>
            </w:r>
          </w:hyperlink>
        </w:p>
        <w:p>
          <w:pPr>
            <w:pStyle w:val="TOC2"/>
            <w:tabs>
              <w:tab w:val="clear" w:pos="708"/>
              <w:tab w:val="right" w:pos="9204" w:leader="dot"/>
            </w:tabs>
            <w:rPr>
              <w:rFonts w:eastAsia="" w:eastAsiaTheme="minorEastAsia"/>
              <w:i w:val="false"/>
              <w:i w:val="false"/>
              <w:iCs w:val="false"/>
              <w:sz w:val="22"/>
              <w:szCs w:val="22"/>
              <w:lang w:eastAsia="ru-RU"/>
            </w:rPr>
          </w:pPr>
          <w:hyperlink w:anchor="_Toc191457436">
            <w:r>
              <w:rPr>
                <w:webHidden/>
                <w:rStyle w:val="Style15"/>
                <w:rFonts w:ascii="Times New Roman" w:hAnsi="Times New Roman"/>
                <w:b/>
                <w:vanish w:val="false"/>
              </w:rPr>
              <w:t xml:space="preserve">Таблица </w:t>
            </w:r>
            <w:r>
              <w:rPr>
                <w:rStyle w:val="Style15"/>
                <w:rFonts w:ascii="Times New Roman" w:hAnsi="Times New Roman"/>
                <w:b/>
                <w:lang w:val="en-US"/>
              </w:rPr>
              <w:t>2</w:t>
            </w:r>
            <w:r>
              <w:rPr>
                <w:rStyle w:val="Style15"/>
                <w:rFonts w:ascii="Times New Roman" w:hAnsi="Times New Roman"/>
                <w:b/>
              </w:rPr>
              <w:t>. Сроки оказания услуг</w:t>
            </w:r>
            <w:r>
              <w:rPr>
                <w:webHidden/>
              </w:rPr>
              <w:fldChar w:fldCharType="begin"/>
            </w:r>
            <w:r>
              <w:rPr>
                <w:webHidden/>
              </w:rPr>
              <w:instrText xml:space="preserve">PAGEREF _Toc191457436 \h</w:instrText>
            </w:r>
            <w:r>
              <w:rPr>
                <w:webHidden/>
              </w:rPr>
              <w:fldChar w:fldCharType="separate"/>
            </w:r>
            <w:r>
              <w:rPr>
                <w:rStyle w:val="Style15"/>
              </w:rPr>
              <w:tab/>
              <w:t>12</w:t>
            </w:r>
            <w:r>
              <w:rPr>
                <w:webHidden/>
              </w:rPr>
              <w:fldChar w:fldCharType="end"/>
            </w:r>
          </w:hyperlink>
        </w:p>
        <w:p>
          <w:pPr>
            <w:pStyle w:val="TOC2"/>
            <w:tabs>
              <w:tab w:val="clear" w:pos="708"/>
              <w:tab w:val="left" w:pos="880" w:leader="none"/>
              <w:tab w:val="right" w:pos="9204" w:leader="dot"/>
            </w:tabs>
            <w:rPr>
              <w:rFonts w:eastAsia="" w:eastAsiaTheme="minorEastAsia"/>
              <w:i w:val="false"/>
              <w:i w:val="false"/>
              <w:iCs w:val="false"/>
              <w:sz w:val="22"/>
              <w:szCs w:val="22"/>
              <w:lang w:eastAsia="ru-RU"/>
            </w:rPr>
          </w:pPr>
          <w:hyperlink w:anchor="_Toc191457437">
            <w:r>
              <w:rPr>
                <w:webHidden/>
                <w:rStyle w:val="Style15"/>
                <w:rFonts w:ascii="Times New Roman" w:hAnsi="Times New Roman"/>
                <w:b/>
                <w:vanish w:val="false"/>
              </w:rPr>
              <w:t>2.3.</w:t>
            </w:r>
            <w:r>
              <w:rPr>
                <w:rStyle w:val="Style15"/>
                <w:rFonts w:eastAsia="" w:eastAsiaTheme="minorEastAsia"/>
                <w:i w:val="false"/>
                <w:iCs w:val="false"/>
                <w:sz w:val="22"/>
                <w:szCs w:val="22"/>
                <w:lang w:eastAsia="ru-RU"/>
              </w:rPr>
              <w:tab/>
            </w:r>
            <w:r>
              <w:rPr>
                <w:rStyle w:val="Style15"/>
                <w:rFonts w:ascii="Times New Roman" w:hAnsi="Times New Roman"/>
                <w:b/>
              </w:rPr>
              <w:t>Требования к параметрам и качеству оказываемых услуг</w:t>
            </w:r>
            <w:r>
              <w:rPr>
                <w:webHidden/>
              </w:rPr>
              <w:fldChar w:fldCharType="begin"/>
            </w:r>
            <w:r>
              <w:rPr>
                <w:webHidden/>
              </w:rPr>
              <w:instrText xml:space="preserve">PAGEREF _Toc191457437 \h</w:instrText>
            </w:r>
            <w:r>
              <w:rPr>
                <w:webHidden/>
              </w:rPr>
              <w:fldChar w:fldCharType="separate"/>
            </w:r>
            <w:r>
              <w:rPr>
                <w:rStyle w:val="Style15"/>
              </w:rPr>
              <w:tab/>
              <w:t>12</w:t>
            </w:r>
            <w:r>
              <w:rPr>
                <w:webHidden/>
              </w:rPr>
              <w:fldChar w:fldCharType="end"/>
            </w:r>
          </w:hyperlink>
        </w:p>
        <w:p>
          <w:pPr>
            <w:pStyle w:val="TOC2"/>
            <w:tabs>
              <w:tab w:val="clear" w:pos="708"/>
              <w:tab w:val="right" w:pos="9204" w:leader="dot"/>
            </w:tabs>
            <w:rPr>
              <w:rFonts w:eastAsia="" w:eastAsiaTheme="minorEastAsia"/>
              <w:i w:val="false"/>
              <w:i w:val="false"/>
              <w:iCs w:val="false"/>
              <w:sz w:val="22"/>
              <w:szCs w:val="22"/>
              <w:lang w:eastAsia="ru-RU"/>
            </w:rPr>
          </w:pPr>
          <w:hyperlink w:anchor="_Toc191457438">
            <w:r>
              <w:rPr>
                <w:webHidden/>
                <w:rStyle w:val="Style15"/>
                <w:rFonts w:ascii="Times New Roman" w:hAnsi="Times New Roman"/>
                <w:b/>
                <w:vanish w:val="false"/>
              </w:rPr>
              <w:t>Таблица 3. Параметры и качество оказываемых услуг</w:t>
            </w:r>
            <w:r>
              <w:rPr>
                <w:webHidden/>
              </w:rPr>
              <w:fldChar w:fldCharType="begin"/>
            </w:r>
            <w:r>
              <w:rPr>
                <w:webHidden/>
              </w:rPr>
              <w:instrText xml:space="preserve">PAGEREF _Toc191457438 \h</w:instrText>
            </w:r>
            <w:r>
              <w:rPr>
                <w:webHidden/>
              </w:rPr>
              <w:fldChar w:fldCharType="separate"/>
            </w:r>
            <w:r>
              <w:rPr>
                <w:rStyle w:val="Style15"/>
              </w:rPr>
              <w:tab/>
              <w:t>12</w:t>
            </w:r>
            <w:r>
              <w:rPr>
                <w:webHidden/>
              </w:rPr>
              <w:fldChar w:fldCharType="end"/>
            </w:r>
          </w:hyperlink>
        </w:p>
        <w:p>
          <w:pPr>
            <w:pStyle w:val="TOC2"/>
            <w:tabs>
              <w:tab w:val="clear" w:pos="708"/>
              <w:tab w:val="right" w:pos="9204" w:leader="dot"/>
            </w:tabs>
            <w:rPr>
              <w:rFonts w:eastAsia="" w:eastAsiaTheme="minorEastAsia"/>
              <w:i w:val="false"/>
              <w:i w:val="false"/>
              <w:iCs w:val="false"/>
              <w:sz w:val="22"/>
              <w:szCs w:val="22"/>
              <w:lang w:eastAsia="ru-RU"/>
            </w:rPr>
          </w:pPr>
          <w:hyperlink w:anchor="_Toc191457439">
            <w:r>
              <w:rPr>
                <w:webHidden/>
                <w:rStyle w:val="Style15"/>
                <w:rFonts w:ascii="Times New Roman" w:hAnsi="Times New Roman"/>
                <w:b/>
                <w:vanish w:val="false"/>
              </w:rPr>
              <w:t xml:space="preserve">Таблица </w:t>
            </w:r>
            <w:r>
              <w:rPr>
                <w:rStyle w:val="Style15"/>
                <w:rFonts w:ascii="Times New Roman" w:hAnsi="Times New Roman"/>
                <w:b/>
                <w:lang w:val="en-US"/>
              </w:rPr>
              <w:t>4</w:t>
            </w:r>
            <w:r>
              <w:rPr>
                <w:rStyle w:val="Style15"/>
                <w:rFonts w:ascii="Times New Roman" w:hAnsi="Times New Roman"/>
                <w:b/>
              </w:rPr>
              <w:t>. Требования к исполнителю</w:t>
            </w:r>
            <w:r>
              <w:rPr>
                <w:webHidden/>
              </w:rPr>
              <w:fldChar w:fldCharType="begin"/>
            </w:r>
            <w:r>
              <w:rPr>
                <w:webHidden/>
              </w:rPr>
              <w:instrText xml:space="preserve">PAGEREF _Toc191457439 \h</w:instrText>
            </w:r>
            <w:r>
              <w:rPr>
                <w:webHidden/>
              </w:rPr>
              <w:fldChar w:fldCharType="separate"/>
            </w:r>
            <w:r>
              <w:rPr>
                <w:rStyle w:val="Style15"/>
              </w:rPr>
              <w:tab/>
              <w:t>18</w:t>
            </w:r>
            <w:r>
              <w:rPr>
                <w:webHidden/>
              </w:rPr>
              <w:fldChar w:fldCharType="end"/>
            </w:r>
          </w:hyperlink>
        </w:p>
        <w:p>
          <w:pPr>
            <w:pStyle w:val="TOC1"/>
            <w:rPr>
              <w:rFonts w:ascii="Calibri" w:hAnsi="Calibri" w:eastAsia="" w:cs="" w:asciiTheme="minorHAnsi" w:cstheme="minorBidi" w:eastAsiaTheme="minorEastAsia" w:hAnsiTheme="minorHAnsi"/>
              <w:b w:val="false"/>
              <w:bCs w:val="false"/>
              <w:sz w:val="22"/>
              <w:szCs w:val="22"/>
              <w:lang w:eastAsia="ru-RU"/>
            </w:rPr>
          </w:pPr>
          <w:hyperlink w:anchor="_Toc191457440">
            <w:r>
              <w:rPr>
                <w:webHidden/>
                <w:rStyle w:val="Style15"/>
                <w:vanish w:val="false"/>
              </w:rPr>
              <w:t>3.</w:t>
            </w:r>
            <w:r>
              <w:rPr>
                <w:rStyle w:val="Style15"/>
                <w:rFonts w:eastAsia="" w:cs="" w:ascii="Calibri" w:hAnsi="Calibri" w:asciiTheme="minorHAnsi" w:cstheme="minorBidi" w:eastAsiaTheme="minorEastAsia" w:hAnsiTheme="minorHAnsi"/>
                <w:b w:val="false"/>
                <w:bCs w:val="false"/>
                <w:sz w:val="22"/>
                <w:szCs w:val="22"/>
                <w:lang w:eastAsia="ru-RU"/>
              </w:rPr>
              <w:tab/>
            </w:r>
            <w:r>
              <w:rPr>
                <w:webHidden/>
              </w:rPr>
              <w:fldChar w:fldCharType="begin"/>
            </w:r>
            <w:r>
              <w:rPr>
                <w:webHidden/>
              </w:rPr>
              <w:instrText xml:space="preserve">PAGEREF _Toc191457440 \h</w:instrText>
            </w:r>
            <w:r>
              <w:rPr>
                <w:webHidden/>
              </w:rPr>
              <w:fldChar w:fldCharType="separate"/>
            </w:r>
            <w:r>
              <w:rPr>
                <w:rStyle w:val="Style15"/>
              </w:rPr>
              <w:t>Требования к документации по ценообразованию</w:t>
              <w:tab/>
              <w:t>18</w:t>
            </w:r>
            <w:r>
              <w:rPr>
                <w:webHidden/>
              </w:rPr>
              <w:fldChar w:fldCharType="end"/>
            </w:r>
          </w:hyperlink>
        </w:p>
        <w:p>
          <w:pPr>
            <w:pStyle w:val="TOC1"/>
            <w:rPr>
              <w:rFonts w:eastAsia="" w:eastAsiaTheme="minorEastAsia"/>
              <w:lang w:eastAsia="ru-RU"/>
            </w:rPr>
          </w:pPr>
          <w:r>
            <w:rPr>
              <w:rFonts w:eastAsia="" w:eastAsiaTheme="minorEastAsia"/>
              <w:lang w:eastAsia="ru-RU"/>
            </w:rPr>
          </w:r>
          <w:r>
            <w:rPr>
              <w:rFonts w:eastAsia=""/>
              <w:lang w:eastAsia="ru-RU"/>
            </w:rPr>
            <w:fldChar w:fldCharType="end"/>
          </w:r>
        </w:p>
      </w:sdtContent>
    </w:sdt>
    <w:p>
      <w:pPr>
        <w:pStyle w:val="MSONORMAL"/>
        <w:spacing w:lineRule="auto" w:line="276"/>
        <w:ind w:left="-709" w:firstLine="567"/>
        <w:jc w:val="center"/>
        <w:rPr>
          <w:rFonts w:ascii="Times New Roman" w:hAnsi="Times New Roman" w:eastAsia="Calibri" w:eastAsiaTheme="minorHAnsi"/>
          <w:bCs/>
          <w:sz w:val="28"/>
          <w:szCs w:val="28"/>
          <w:lang w:eastAsia="en-US"/>
        </w:rPr>
      </w:pPr>
      <w:r>
        <w:rPr>
          <w:rFonts w:eastAsia="Calibri" w:eastAsiaTheme="minorHAnsi" w:ascii="Times New Roman" w:hAnsi="Times New Roman"/>
          <w:bCs/>
          <w:sz w:val="28"/>
          <w:szCs w:val="28"/>
          <w:lang w:eastAsia="en-US"/>
        </w:rPr>
      </w:r>
    </w:p>
    <w:p>
      <w:pPr>
        <w:pStyle w:val="Normal"/>
        <w:rPr>
          <w:rFonts w:ascii="Times New Roman" w:hAnsi="Times New Roman" w:cs="Times New Roman"/>
        </w:rPr>
      </w:pPr>
      <w:r>
        <w:rPr>
          <w:rFonts w:cs="Times New Roman" w:ascii="Times New Roman" w:hAnsi="Times New Roman"/>
        </w:rPr>
      </w:r>
      <w:r>
        <w:br w:type="page"/>
      </w:r>
    </w:p>
    <w:p>
      <w:pPr>
        <w:pStyle w:val="11"/>
        <w:numPr>
          <w:ilvl w:val="0"/>
          <w:numId w:val="2"/>
        </w:numPr>
        <w:rPr/>
      </w:pPr>
      <w:bookmarkStart w:id="0" w:name="_Toc191457427"/>
      <w:bookmarkStart w:id="1" w:name="_Toc135143732"/>
      <w:r>
        <w:rPr/>
        <w:t>Общие сведения</w:t>
      </w:r>
      <w:bookmarkEnd w:id="0"/>
      <w:bookmarkEnd w:id="1"/>
    </w:p>
    <w:p>
      <w:pPr>
        <w:pStyle w:val="Heading2"/>
        <w:numPr>
          <w:ilvl w:val="1"/>
          <w:numId w:val="2"/>
        </w:numPr>
        <w:spacing w:lineRule="auto" w:line="276" w:before="120" w:after="80"/>
        <w:ind w:left="901" w:hanging="544"/>
        <w:rPr>
          <w:rFonts w:ascii="Times New Roman" w:hAnsi="Times New Roman"/>
          <w:b/>
          <w:sz w:val="24"/>
        </w:rPr>
      </w:pPr>
      <w:bookmarkStart w:id="2" w:name="_Toc191457428"/>
      <w:r>
        <w:rPr>
          <w:rFonts w:ascii="Times New Roman" w:hAnsi="Times New Roman"/>
          <w:b/>
          <w:sz w:val="24"/>
        </w:rPr>
        <w:t>Обозначения и сокращения</w:t>
      </w:r>
      <w:bookmarkEnd w:id="2"/>
    </w:p>
    <w:tbl>
      <w:tblPr>
        <w:tblW w:w="9759" w:type="dxa"/>
        <w:jc w:val="left"/>
        <w:tblInd w:w="-289" w:type="dxa"/>
        <w:tblLayout w:type="fixed"/>
        <w:tblCellMar>
          <w:top w:w="57" w:type="dxa"/>
          <w:left w:w="57" w:type="dxa"/>
          <w:bottom w:w="57" w:type="dxa"/>
          <w:right w:w="57" w:type="dxa"/>
        </w:tblCellMar>
        <w:tblLook w:val="04a0" w:noHBand="0" w:noVBand="1" w:firstColumn="1" w:lastRow="0" w:lastColumn="0" w:firstRow="1"/>
      </w:tblPr>
      <w:tblGrid>
        <w:gridCol w:w="1844"/>
        <w:gridCol w:w="7914"/>
      </w:tblGrid>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Термин</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Определение</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Заказчик</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ПАО «РусГидро» – «Зейская ГЭС»</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Исполнитель</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Оператор связи, заключивший договор на оказание услуг связи и передачи данных</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IP VPN</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Виртуальная частная сеть передачи данных построенная на базе сетевой инфраструктуры оператора для организации передачи данных между объектами абонента или заказчика по протоколу TCP/IP</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pPr>
            <w:r>
              <w:rPr>
                <w:rFonts w:cs="Times New Roman" w:ascii="Times New Roman" w:hAnsi="Times New Roman"/>
                <w:sz w:val="24"/>
              </w:rPr>
              <w:t>MPLS</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Multiprotocol Label Switching (Многопротокольная коммутация по меткам) - технология в высокопроизводительной телекоммуникационной сети, осуществляющая передачу данных от одного узла сети к другому с помощью меток</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pPr>
            <w:r>
              <w:rPr>
                <w:rFonts w:cs="Times New Roman" w:ascii="Times New Roman" w:hAnsi="Times New Roman"/>
                <w:sz w:val="24"/>
              </w:rPr>
              <w:t>PE-маршрутизатор</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Пограничный маршрутизатор IPMPLS со стороны Исполнителя, к которому подключается устройства СЕ</w:t>
            </w:r>
          </w:p>
        </w:tc>
      </w:tr>
      <w:tr>
        <w:trPr>
          <w:trHeight w:val="20" w:hRule="atLeast"/>
        </w:trPr>
        <w:tc>
          <w:tcPr>
            <w:tcW w:w="1844"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СЕ-маршрутизатор</w:t>
            </w:r>
          </w:p>
        </w:tc>
        <w:tc>
          <w:tcPr>
            <w:tcW w:w="7914"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Маршрутизатор со стороны Заказчика, который непосредственно подключается к маршрутизатору Исполнителя</w:t>
            </w:r>
          </w:p>
        </w:tc>
      </w:tr>
      <w:tr>
        <w:trPr>
          <w:trHeight w:val="38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Calibri" w:cs="Times New Roman" w:ascii="Times New Roman" w:hAnsi="Times New Roman"/>
                <w:sz w:val="24"/>
              </w:rPr>
              <w:t>VLAN</w:t>
            </w:r>
          </w:p>
        </w:tc>
        <w:tc>
          <w:tcPr>
            <w:tcW w:w="791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200"/>
              <w:jc w:val="both"/>
              <w:rPr/>
            </w:pPr>
            <w:r>
              <w:rPr>
                <w:rFonts w:eastAsia="Calibri" w:cs="Times New Roman" w:ascii="Times New Roman" w:hAnsi="Times New Roman"/>
                <w:color w:val="000000"/>
                <w:sz w:val="24"/>
                <w:szCs w:val="24"/>
              </w:rPr>
              <w:t>Virtual Local Area Network — виртуальная локальная компьютерная сеть</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Коэффициент готовности</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Представляет собой отношение времени исправной работы к сумме времен исправной работы и вынужденных простоев объекта, взятых за один и тот же календарный срок</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Оборудование Заказчика</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Телекоммуникационное или/и иное активное оборудование, расположенное на Объекте Заказчика, которое подключается к Оконечному оборудованию Исполнителя</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Объект</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Точка (место, помещение), в которой (котором) Оборудование Заказчика соединяется через физический интерфейс (стык) с Оконечным оборудованием Исполнителя. На Объекте разграничивается ответственность по обеспечению предоставления Услуги между Заказчиком и Исполнителем</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Оконечное оборудование Исполнителя</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Телекоммуникационное оборудование, устанавливаемое Исполнителем для Организации Услуги на Объектах и используемое Исполнителем для оказания Услуги. Оборудование Заказчика подключается к Оконечному оборудованию Исполнителя в точке разграничения ответственности</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Организация Услуги</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Совершение Исполнителем действий по подключению оборудования Сети Исполнителя в точке разграничения ответственности к оборудованию Заказчика на объектах и настройке оконечного оборудования сети Исполнителя в соответствии с требуемой топологией и параметрами услуг</w:t>
            </w:r>
          </w:p>
        </w:tc>
      </w:tr>
      <w:tr>
        <w:trPr>
          <w:trHeight w:val="966"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both"/>
              <w:rPr/>
            </w:pPr>
            <w:r>
              <w:rPr>
                <w:rFonts w:eastAsia="Calibri" w:cs="Times New Roman" w:ascii="Times New Roman" w:hAnsi="Times New Roman"/>
                <w:sz w:val="24"/>
              </w:rPr>
              <w:t>Порт доступа</w:t>
            </w:r>
          </w:p>
        </w:tc>
        <w:tc>
          <w:tcPr>
            <w:tcW w:w="791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Calibri" w:cs="Times New Roman" w:ascii="Times New Roman" w:hAnsi="Times New Roman"/>
                <w:sz w:val="24"/>
              </w:rPr>
              <w:t>Телекоммуникационный порт на оконечном оборудовании Сети Исполнителя, через который осуществляется доступ к оказываемой услуге. Тип и параметры Порта доступа указываются в Описании соответствующих услуг</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Сеть (Сеть исполнителя)</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Сеть связи и передачи данных Исполнителя, предназначенная для оказания Услуг</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Срок восстановления Услуги</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Период времени от момента открытия Листа неисправности до полного устранения Ухудшения качества Услуги и возобновления предоставления Услуги, подтвержденного фактом закрытия Листа неисправности. В срок восстановления Услуги не включается время, потребовавшееся Заказчику для организации доступа специалистов Исполнителя на Объект к оборудованию Исполнителя, если организация такого доступа необходима для совершения Исполнителем действий по возобновлению предоставления Услуги надлежащего качества</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Плановое техническое обслуживание</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Комплекс мероприятий, проводимых на оборудовании Сети или на линейно-кабельных сооружениях сети Исполнителя, которые сопровождаются перерывами связи по оказываемым Услугам. Плановое техническое обслуживание не может быть организовано одновременно на основных и резервных Каналах связи или каналах доступа к виртуальной частной сети. Исполнитель обязуется направлять Заказчику уведомления о проведении планового технического обслуживания не позднее, чем за 10 (десять) календарных дней до проведения планового технического обслуживания, если иное не предусмотрено условиями Бланка Заказа на Услуги</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Точка подключения</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Точка (место), в которой (котором) Оконечное оборудование Исполнителя соединяется через физический интерфейс (стык) / порт доступа с Оборудованием Заказчика. В Точке подключения разграничивается ответственность по обеспечению предоставления Услуги между Исполнителем и Заказчиком</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Услуги(а)</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Телекоммуникационные услуги, оказываемые по Договору в соответствии с настоящим Техническим требованием. Перечень Услуг определен в разделе </w:t>
            </w:r>
            <w:r>
              <w:rPr>
                <w:rFonts w:eastAsia="Calibri" w:cs="Times New Roman" w:ascii="Times New Roman" w:hAnsi="Times New Roman"/>
                <w:sz w:val="24"/>
                <w:lang w:val="en-US"/>
              </w:rPr>
              <w:t>2</w:t>
            </w:r>
            <w:r>
              <w:rPr>
                <w:rFonts w:eastAsia="Calibri" w:cs="Times New Roman" w:ascii="Times New Roman" w:hAnsi="Times New Roman"/>
                <w:sz w:val="24"/>
              </w:rPr>
              <w:t xml:space="preserve"> Техническ</w:t>
            </w:r>
            <w:r>
              <w:rPr>
                <w:rFonts w:eastAsia="Calibri" w:cs="Times New Roman" w:ascii="Times New Roman" w:hAnsi="Times New Roman"/>
                <w:sz w:val="24"/>
                <w:lang w:val="en-US"/>
              </w:rPr>
              <w:t>их</w:t>
            </w:r>
            <w:r>
              <w:rPr>
                <w:rFonts w:eastAsia="Calibri" w:cs="Times New Roman" w:ascii="Times New Roman" w:hAnsi="Times New Roman"/>
                <w:sz w:val="24"/>
              </w:rPr>
              <w:t xml:space="preserve"> требовани</w:t>
            </w:r>
            <w:r>
              <w:rPr>
                <w:rFonts w:eastAsia="Calibri" w:cs="Times New Roman" w:ascii="Times New Roman" w:hAnsi="Times New Roman"/>
                <w:sz w:val="24"/>
                <w:lang w:val="en-US"/>
              </w:rPr>
              <w:t>й</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Ухудшение качества Услуги</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Любое ухудшение качества предоставляемых Услуг по отношению к установленным требованиям к качеству Услуг, в том числе частичное или полное прекращение предоставления Услуги</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Мб/с</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Мегабит в секунду, единица измерения скорости передачи данных</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МБ</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Мегабайт, единица передаваемой информации</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IEEE</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lang w:val="en-US"/>
              </w:rPr>
              <w:t xml:space="preserve">The Institute of Electrical and Electronics Engineers, Inc. – </w:t>
            </w:r>
            <w:r>
              <w:rPr>
                <w:rFonts w:eastAsia="Calibri" w:cs="Times New Roman" w:ascii="Times New Roman" w:hAnsi="Times New Roman"/>
                <w:sz w:val="24"/>
              </w:rPr>
              <w:t>Институт</w:t>
            </w:r>
            <w:r>
              <w:rPr>
                <w:rFonts w:eastAsia="Calibri" w:cs="Times New Roman" w:ascii="Times New Roman" w:hAnsi="Times New Roman"/>
                <w:sz w:val="24"/>
                <w:lang w:val="en-US"/>
              </w:rPr>
              <w:t xml:space="preserve"> </w:t>
            </w:r>
            <w:r>
              <w:rPr>
                <w:rFonts w:eastAsia="Calibri" w:cs="Times New Roman" w:ascii="Times New Roman" w:hAnsi="Times New Roman"/>
                <w:sz w:val="24"/>
              </w:rPr>
              <w:t>инженеров</w:t>
            </w:r>
            <w:r>
              <w:rPr>
                <w:rFonts w:eastAsia="Calibri" w:cs="Times New Roman" w:ascii="Times New Roman" w:hAnsi="Times New Roman"/>
                <w:sz w:val="24"/>
                <w:lang w:val="en-US"/>
              </w:rPr>
              <w:t xml:space="preserve"> </w:t>
            </w:r>
            <w:r>
              <w:rPr>
                <w:rFonts w:eastAsia="Calibri" w:cs="Times New Roman" w:ascii="Times New Roman" w:hAnsi="Times New Roman"/>
                <w:sz w:val="24"/>
              </w:rPr>
              <w:t>электротехники</w:t>
            </w:r>
            <w:r>
              <w:rPr>
                <w:rFonts w:eastAsia="Calibri" w:cs="Times New Roman" w:ascii="Times New Roman" w:hAnsi="Times New Roman"/>
                <w:sz w:val="24"/>
                <w:lang w:val="en-US"/>
              </w:rPr>
              <w:t xml:space="preserve"> </w:t>
            </w:r>
            <w:r>
              <w:rPr>
                <w:rFonts w:eastAsia="Calibri" w:cs="Times New Roman" w:ascii="Times New Roman" w:hAnsi="Times New Roman"/>
                <w:sz w:val="24"/>
              </w:rPr>
              <w:t>и</w:t>
            </w:r>
            <w:r>
              <w:rPr>
                <w:rFonts w:eastAsia="Calibri" w:cs="Times New Roman" w:ascii="Times New Roman" w:hAnsi="Times New Roman"/>
                <w:sz w:val="24"/>
                <w:lang w:val="en-US"/>
              </w:rPr>
              <w:t xml:space="preserve"> </w:t>
            </w:r>
            <w:r>
              <w:rPr>
                <w:rFonts w:eastAsia="Calibri" w:cs="Times New Roman" w:ascii="Times New Roman" w:hAnsi="Times New Roman"/>
                <w:sz w:val="24"/>
              </w:rPr>
              <w:t>электроники</w:t>
            </w:r>
            <w:r>
              <w:rPr>
                <w:rFonts w:eastAsia="Calibri" w:cs="Times New Roman" w:ascii="Times New Roman" w:hAnsi="Times New Roman"/>
                <w:sz w:val="24"/>
                <w:lang w:val="en-US"/>
              </w:rPr>
              <w:t xml:space="preserve"> (</w:t>
            </w:r>
            <w:r>
              <w:rPr>
                <w:rFonts w:eastAsia="Calibri" w:cs="Times New Roman" w:ascii="Times New Roman" w:hAnsi="Times New Roman"/>
                <w:sz w:val="24"/>
              </w:rPr>
              <w:t>США</w:t>
            </w:r>
            <w:r>
              <w:rPr>
                <w:rFonts w:eastAsia="Calibri" w:cs="Times New Roman" w:ascii="Times New Roman" w:hAnsi="Times New Roman"/>
                <w:sz w:val="24"/>
                <w:lang w:val="en-US"/>
              </w:rPr>
              <w:t xml:space="preserve">). </w:t>
            </w:r>
            <w:r>
              <w:rPr>
                <w:rFonts w:eastAsia="Calibri" w:cs="Times New Roman" w:ascii="Times New Roman" w:hAnsi="Times New Roman"/>
                <w:sz w:val="24"/>
              </w:rPr>
              <w:t>Крупнейшая в мире профессиональная организация (www.ieee.org) образована в 1963 году, объединяет более 300 тыс. технических специалистов из 147 стран, ведущая организация по стандартизации, отвечающая также за сетевые стандарты</w:t>
            </w:r>
          </w:p>
        </w:tc>
      </w:tr>
      <w:tr>
        <w:trPr>
          <w:trHeight w:val="20" w:hRule="atLeast"/>
        </w:trPr>
        <w:tc>
          <w:tcPr>
            <w:tcW w:w="1844"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sz w:val="24"/>
                <w:szCs w:val="24"/>
              </w:rPr>
            </w:pPr>
            <w:r>
              <w:rPr>
                <w:rFonts w:ascii="Times New Roman" w:hAnsi="Times New Roman"/>
                <w:sz w:val="24"/>
                <w:szCs w:val="24"/>
              </w:rPr>
              <w:t>IEEE 802.1Q</w:t>
            </w:r>
          </w:p>
        </w:tc>
        <w:tc>
          <w:tcPr>
            <w:tcW w:w="7914"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Открытый стандарт, который описывает процедуру тегирования трафика для передачи информации о принадлежности к виртуальной локальной сети (VLAN) по сетям стандарта IEEE 802.3 Ethernet</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sz w:val="24"/>
                <w:szCs w:val="24"/>
              </w:rPr>
            </w:pPr>
            <w:r>
              <w:rPr>
                <w:rFonts w:ascii="Times New Roman" w:hAnsi="Times New Roman"/>
                <w:sz w:val="24"/>
                <w:szCs w:val="24"/>
              </w:rPr>
              <w:t>IEEE 802.1ad</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Стандарт сетей Ethernet, дополняющий IEEE 802.1Q, позволяющий увеличить количество виртуальных сетей Ethernet в одном физическом канале путём создания последовательного стека VLAN</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IEEE 802.3</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Подгруппа стандартов IEEE 802, являющихся основой семейства технологий пакетной передачи данных Ethernet</w:t>
            </w:r>
          </w:p>
        </w:tc>
      </w:tr>
      <w:tr>
        <w:trPr>
          <w:trHeight w:val="20" w:hRule="atLeast"/>
        </w:trPr>
        <w:tc>
          <w:tcPr>
            <w:tcW w:w="18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QoS</w:t>
            </w:r>
          </w:p>
        </w:tc>
        <w:tc>
          <w:tcPr>
            <w:tcW w:w="79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Quality of Service (</w:t>
            </w:r>
            <w:r>
              <w:rPr>
                <w:rFonts w:eastAsia="Calibri" w:cs="Times New Roman" w:ascii="Times New Roman" w:hAnsi="Times New Roman"/>
                <w:sz w:val="24"/>
              </w:rPr>
              <w:t>Качество</w:t>
            </w:r>
            <w:r>
              <w:rPr>
                <w:rFonts w:eastAsia="Calibri" w:cs="Times New Roman" w:ascii="Times New Roman" w:hAnsi="Times New Roman"/>
                <w:sz w:val="24"/>
                <w:lang w:val="en-US"/>
              </w:rPr>
              <w:t xml:space="preserve"> </w:t>
            </w:r>
            <w:r>
              <w:rPr>
                <w:rFonts w:eastAsia="Calibri" w:cs="Times New Roman" w:ascii="Times New Roman" w:hAnsi="Times New Roman"/>
                <w:sz w:val="24"/>
              </w:rPr>
              <w:t>обслуживания</w:t>
            </w:r>
            <w:r>
              <w:rPr>
                <w:rFonts w:eastAsia="Calibri" w:cs="Times New Roman" w:ascii="Times New Roman" w:hAnsi="Times New Roman"/>
                <w:sz w:val="24"/>
                <w:lang w:val="en-US"/>
              </w:rPr>
              <w:t xml:space="preserve">) </w:t>
            </w:r>
          </w:p>
        </w:tc>
      </w:tr>
    </w:tbl>
    <w:p>
      <w:pPr>
        <w:pStyle w:val="Heading2"/>
        <w:numPr>
          <w:ilvl w:val="1"/>
          <w:numId w:val="2"/>
        </w:numPr>
        <w:spacing w:lineRule="auto" w:line="276" w:before="120" w:after="80"/>
        <w:ind w:left="567" w:hanging="567"/>
        <w:rPr>
          <w:rFonts w:ascii="Times New Roman" w:hAnsi="Times New Roman"/>
          <w:b/>
          <w:sz w:val="24"/>
        </w:rPr>
      </w:pPr>
      <w:bookmarkStart w:id="3" w:name="_Toc191457429"/>
      <w:r>
        <w:rPr>
          <w:rFonts w:ascii="Times New Roman" w:hAnsi="Times New Roman"/>
          <w:b/>
          <w:sz w:val="24"/>
        </w:rPr>
        <w:t>Наименование закупаемой продукции (товаров, работ, услуг)</w:t>
      </w:r>
      <w:bookmarkEnd w:id="3"/>
    </w:p>
    <w:p>
      <w:pPr>
        <w:pStyle w:val="Normal"/>
        <w:rPr>
          <w:rFonts w:ascii="Times New Roman" w:hAnsi="Times New Roman" w:eastAsia="Calibri" w:cs="Times New Roman"/>
          <w:sz w:val="24"/>
        </w:rPr>
      </w:pPr>
      <w:bookmarkStart w:id="4" w:name="_Toc135143782"/>
      <w:r>
        <w:rPr>
          <w:rFonts w:eastAsia="Calibri" w:cs="Times New Roman" w:ascii="Times New Roman" w:hAnsi="Times New Roman"/>
          <w:sz w:val="24"/>
        </w:rPr>
        <w:t>«Услуги связи по предоставлению каналов связи с пакетной передачей данных c применением технологии IP VPN».</w:t>
      </w:r>
      <w:bookmarkEnd w:id="4"/>
    </w:p>
    <w:p>
      <w:pPr>
        <w:pStyle w:val="Heading2"/>
        <w:numPr>
          <w:ilvl w:val="1"/>
          <w:numId w:val="2"/>
        </w:numPr>
        <w:spacing w:lineRule="auto" w:line="276" w:before="120" w:after="80"/>
        <w:ind w:left="567" w:hanging="567"/>
        <w:rPr>
          <w:rFonts w:ascii="Times New Roman" w:hAnsi="Times New Roman"/>
          <w:b/>
          <w:sz w:val="24"/>
        </w:rPr>
      </w:pPr>
      <w:bookmarkStart w:id="5" w:name="_Toc191457430"/>
      <w:r>
        <w:rPr>
          <w:rFonts w:ascii="Times New Roman" w:hAnsi="Times New Roman"/>
          <w:b/>
          <w:sz w:val="24"/>
        </w:rPr>
        <w:t>Цель оказания услуг</w:t>
      </w:r>
      <w:bookmarkEnd w:id="5"/>
    </w:p>
    <w:p>
      <w:pPr>
        <w:pStyle w:val="Normal"/>
        <w:rPr>
          <w:rFonts w:ascii="Times New Roman" w:hAnsi="Times New Roman" w:eastAsia="Calibri" w:cs="Times New Roman"/>
          <w:sz w:val="24"/>
        </w:rPr>
      </w:pPr>
      <w:r>
        <w:rPr>
          <w:rFonts w:eastAsia="Calibri" w:cs="Times New Roman" w:ascii="Times New Roman" w:hAnsi="Times New Roman"/>
          <w:sz w:val="24"/>
        </w:rPr>
        <w:t>Целью оказания Услуги является подключение Объектов Заказчика (Таблицы 1, 2) к сети передачи данных, на основе технологии IP VPN Исполнителя с требуемыми параметрами, скоростью, качеством.</w:t>
      </w:r>
    </w:p>
    <w:p>
      <w:pPr>
        <w:pStyle w:val="Heading2"/>
        <w:numPr>
          <w:ilvl w:val="1"/>
          <w:numId w:val="2"/>
        </w:numPr>
        <w:spacing w:lineRule="auto" w:line="276" w:before="120" w:after="80"/>
        <w:ind w:left="567" w:hanging="567"/>
        <w:rPr>
          <w:rFonts w:ascii="Times New Roman" w:hAnsi="Times New Roman"/>
          <w:b/>
          <w:sz w:val="24"/>
        </w:rPr>
      </w:pPr>
      <w:r>
        <w:rPr>
          <w:rFonts w:ascii="Times New Roman" w:hAnsi="Times New Roman"/>
          <w:b/>
          <w:sz w:val="24"/>
          <w:szCs w:val="24"/>
        </w:rPr>
        <w:t>Иные требования и сведения общего характера</w:t>
      </w:r>
    </w:p>
    <w:p>
      <w:pPr>
        <w:pStyle w:val="MSONORMAL"/>
        <w:numPr>
          <w:ilvl w:val="2"/>
          <w:numId w:val="2"/>
        </w:numPr>
        <w:spacing w:lineRule="auto" w:line="276"/>
        <w:ind w:left="0" w:hanging="0"/>
        <w:jc w:val="both"/>
        <w:rPr/>
      </w:pPr>
      <w:bookmarkStart w:id="6" w:name="_GoBack"/>
      <w:bookmarkEnd w:id="6"/>
      <w:r>
        <w:rPr>
          <w:rFonts w:ascii="Times New Roman" w:hAnsi="Times New Roman"/>
          <w:szCs w:val="28"/>
        </w:rPr>
        <w:t>Исполнитель должен обеспечить доступ к своей сети передачи данных по проводным сетям для подключения оборудования Заказчика в зоне его ответственности.</w:t>
      </w:r>
    </w:p>
    <w:p>
      <w:pPr>
        <w:pStyle w:val="MSONORMAL"/>
        <w:numPr>
          <w:ilvl w:val="2"/>
          <w:numId w:val="2"/>
        </w:numPr>
        <w:spacing w:lineRule="auto" w:line="276"/>
        <w:ind w:left="0" w:hanging="0"/>
        <w:jc w:val="both"/>
        <w:rPr>
          <w:rFonts w:ascii="Times New Roman" w:hAnsi="Times New Roman"/>
          <w:szCs w:val="28"/>
        </w:rPr>
      </w:pPr>
      <w:r>
        <w:rPr>
          <w:rFonts w:ascii="Times New Roman" w:hAnsi="Times New Roman"/>
          <w:szCs w:val="28"/>
        </w:rPr>
        <w:t>Место оказания услуг:</w:t>
      </w:r>
    </w:p>
    <w:p>
      <w:pPr>
        <w:pStyle w:val="BodyText"/>
        <w:spacing w:before="0" w:after="0"/>
        <w:rPr>
          <w:rFonts w:ascii="Times New Roman" w:hAnsi="Times New Roman" w:eastAsia="Times New Roman" w:cs="Times New Roman"/>
          <w:sz w:val="24"/>
          <w:szCs w:val="28"/>
          <w:lang w:eastAsia="ru-RU"/>
        </w:rPr>
      </w:pPr>
      <w:r>
        <w:rPr>
          <w:rFonts w:eastAsia="Times New Roman" w:cs="Times New Roman" w:ascii="Times New Roman" w:hAnsi="Times New Roman"/>
          <w:sz w:val="24"/>
          <w:szCs w:val="28"/>
          <w:lang w:eastAsia="ru-RU"/>
        </w:rPr>
        <w:t>Согласно Таблицы 1, 2 – Перечень объектов Заказчика.</w:t>
      </w:r>
    </w:p>
    <w:p>
      <w:pPr>
        <w:pStyle w:val="MSONORMAL"/>
        <w:numPr>
          <w:ilvl w:val="2"/>
          <w:numId w:val="2"/>
        </w:numPr>
        <w:spacing w:lineRule="auto" w:line="276"/>
        <w:ind w:left="0" w:hanging="0"/>
        <w:jc w:val="both"/>
        <w:rPr>
          <w:rFonts w:ascii="Times New Roman" w:hAnsi="Times New Roman"/>
          <w:szCs w:val="28"/>
        </w:rPr>
      </w:pPr>
      <w:r>
        <w:rPr>
          <w:rFonts w:ascii="Times New Roman" w:hAnsi="Times New Roman"/>
          <w:szCs w:val="28"/>
        </w:rPr>
        <w:t>Услуги должны предоставляться 24 часа, 7 дней в неделю, 365(6) дней в году.</w:t>
      </w:r>
    </w:p>
    <w:p>
      <w:pPr>
        <w:pStyle w:val="MSONORMAL"/>
        <w:numPr>
          <w:ilvl w:val="2"/>
          <w:numId w:val="2"/>
        </w:numPr>
        <w:spacing w:lineRule="auto" w:line="276"/>
        <w:ind w:left="0" w:hanging="0"/>
        <w:jc w:val="both"/>
        <w:rPr>
          <w:rFonts w:ascii="Times New Roman" w:hAnsi="Times New Roman"/>
          <w:szCs w:val="28"/>
        </w:rPr>
      </w:pPr>
      <w:r>
        <w:rPr>
          <w:rFonts w:ascii="Times New Roman" w:hAnsi="Times New Roman"/>
          <w:szCs w:val="28"/>
        </w:rPr>
        <w:t>Работы по организации и настройке параметров каналов и оконечного оборудования осуществляются Исполнителем.</w:t>
      </w:r>
    </w:p>
    <w:p>
      <w:pPr>
        <w:pStyle w:val="MSONORMAL"/>
        <w:numPr>
          <w:ilvl w:val="2"/>
          <w:numId w:val="2"/>
        </w:numPr>
        <w:spacing w:lineRule="auto" w:line="276"/>
        <w:ind w:left="0" w:hanging="0"/>
        <w:jc w:val="both"/>
        <w:rPr>
          <w:rFonts w:ascii="Times New Roman" w:hAnsi="Times New Roman"/>
          <w:szCs w:val="28"/>
        </w:rPr>
      </w:pPr>
      <w:r>
        <w:rPr>
          <w:rFonts w:ascii="Times New Roman" w:hAnsi="Times New Roman"/>
          <w:szCs w:val="28"/>
        </w:rPr>
        <w:t>При размещении оборудования Исполнителя на Объектах Заказчика, данное оборудование передается Исполнителем на сохранность Заказчику без взимания дополнительной платы и числится на балансе Исполнителя. Ответственность за сохранность оборудования Исполнителя, установленного на Объекте Заказчика несет Заказчик.</w:t>
      </w:r>
    </w:p>
    <w:p>
      <w:pPr>
        <w:pStyle w:val="MSONORMAL"/>
        <w:numPr>
          <w:ilvl w:val="2"/>
          <w:numId w:val="2"/>
        </w:numPr>
        <w:spacing w:lineRule="auto" w:line="276"/>
        <w:ind w:left="0" w:hanging="0"/>
        <w:jc w:val="both"/>
        <w:rPr>
          <w:rFonts w:ascii="Times New Roman" w:hAnsi="Times New Roman"/>
          <w:szCs w:val="28"/>
        </w:rPr>
      </w:pPr>
      <w:r>
        <w:rPr>
          <w:rFonts w:ascii="Times New Roman" w:hAnsi="Times New Roman"/>
          <w:szCs w:val="28"/>
        </w:rPr>
        <w:t>Техническое обслуживание, ремонт, изменение конфигурации Оборудования Исполнителя осуществляется техническими специалистами Исполнителя при предварительном согласовании времени проведения этих работ с Заказчиком.</w:t>
      </w:r>
    </w:p>
    <w:p>
      <w:pPr>
        <w:pStyle w:val="MSONORMAL"/>
        <w:numPr>
          <w:ilvl w:val="2"/>
          <w:numId w:val="2"/>
        </w:numPr>
        <w:spacing w:lineRule="auto" w:line="276"/>
        <w:ind w:left="0" w:hanging="0"/>
        <w:jc w:val="both"/>
        <w:rPr>
          <w:rFonts w:ascii="Times New Roman" w:hAnsi="Times New Roman"/>
          <w:szCs w:val="28"/>
        </w:rPr>
      </w:pPr>
      <w:r>
        <w:rPr>
          <w:rFonts w:ascii="Times New Roman" w:hAnsi="Times New Roman"/>
          <w:szCs w:val="28"/>
        </w:rPr>
        <w:t>Граница ответственности Исполнителя на Объектах проходит по портам телекоммуникационного оборудования Заказчика.</w:t>
      </w:r>
    </w:p>
    <w:p>
      <w:pPr>
        <w:pStyle w:val="11"/>
        <w:numPr>
          <w:ilvl w:val="0"/>
          <w:numId w:val="2"/>
        </w:numPr>
        <w:rPr/>
      </w:pPr>
      <w:r>
        <w:rPr/>
        <w:t xml:space="preserve">Требования к услугам (технические и иные характеристики) </w:t>
      </w:r>
    </w:p>
    <w:p>
      <w:pPr>
        <w:sectPr>
          <w:type w:val="nextPage"/>
          <w:pgSz w:w="11906" w:h="16838"/>
          <w:pgMar w:left="1701" w:right="991" w:gutter="0" w:header="0" w:top="1134" w:footer="0" w:bottom="1134"/>
          <w:pgNumType w:fmt="decimal"/>
          <w:formProt w:val="false"/>
          <w:textDirection w:val="lrTb"/>
          <w:docGrid w:type="default" w:linePitch="360" w:charSpace="16384"/>
        </w:sectPr>
        <w:pStyle w:val="Heading2"/>
        <w:numPr>
          <w:ilvl w:val="1"/>
          <w:numId w:val="2"/>
        </w:numPr>
        <w:spacing w:lineRule="auto" w:line="276" w:before="120" w:after="80"/>
        <w:ind w:left="567" w:hanging="567"/>
        <w:rPr>
          <w:rFonts w:ascii="Times New Roman" w:hAnsi="Times New Roman"/>
          <w:b/>
          <w:sz w:val="24"/>
        </w:rPr>
      </w:pPr>
      <w:r>
        <w:rPr>
          <w:rFonts w:ascii="Times New Roman" w:hAnsi="Times New Roman"/>
          <w:b/>
          <w:sz w:val="24"/>
        </w:rPr>
        <w:t>Требования к перечню и объемам оказания услуг</w:t>
      </w:r>
    </w:p>
    <w:p>
      <w:pPr>
        <w:pStyle w:val="Heading2"/>
        <w:numPr>
          <w:ilvl w:val="0"/>
          <w:numId w:val="0"/>
        </w:numPr>
        <w:spacing w:lineRule="auto" w:line="276" w:before="240" w:after="120"/>
        <w:ind w:left="357" w:hanging="0"/>
        <w:rPr>
          <w:rFonts w:ascii="Times New Roman" w:hAnsi="Times New Roman"/>
          <w:b/>
          <w:sz w:val="28"/>
          <w:szCs w:val="28"/>
        </w:rPr>
      </w:pPr>
      <w:bookmarkStart w:id="7" w:name="_Toc191457434"/>
      <w:r>
        <w:rPr>
          <w:rFonts w:ascii="Times New Roman" w:hAnsi="Times New Roman"/>
          <w:b/>
          <w:sz w:val="28"/>
          <w:szCs w:val="28"/>
        </w:rPr>
        <w:t>Таблица 1. Перечень и объем оказываемых услуг</w:t>
      </w:r>
      <w:bookmarkEnd w:id="7"/>
    </w:p>
    <w:tbl>
      <w:tblPr>
        <w:tblW w:w="14175"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426"/>
        <w:gridCol w:w="1000"/>
        <w:gridCol w:w="4293"/>
        <w:gridCol w:w="4271"/>
        <w:gridCol w:w="2241"/>
        <w:gridCol w:w="1025"/>
        <w:gridCol w:w="918"/>
      </w:tblGrid>
      <w:tr>
        <w:trPr>
          <w:tblHeader w:val="true"/>
          <w:trHeight w:val="765" w:hRule="atLeast"/>
        </w:trPr>
        <w:tc>
          <w:tcPr>
            <w:tcW w:w="4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left"/>
              <w:rPr/>
            </w:pPr>
            <w:r>
              <w:rPr>
                <w:rFonts w:eastAsia="Calibri" w:cs="Times New Roman" w:ascii="Times New Roman" w:hAnsi="Times New Roman"/>
                <w:sz w:val="24"/>
              </w:rPr>
              <w:t xml:space="preserve">№ </w:t>
            </w:r>
            <w:r>
              <w:rPr>
                <w:rFonts w:eastAsia="Calibri" w:cs="Times New Roman" w:ascii="Times New Roman" w:hAnsi="Times New Roman"/>
                <w:sz w:val="24"/>
              </w:rPr>
              <w:t>пп</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pPr>
            <w:r>
              <w:rPr>
                <w:rFonts w:eastAsia="Calibri" w:cs="Times New Roman" w:ascii="Times New Roman" w:hAnsi="Times New Roman"/>
                <w:sz w:val="24"/>
              </w:rPr>
              <w:t>Услуга</w:t>
            </w:r>
          </w:p>
        </w:tc>
        <w:tc>
          <w:tcPr>
            <w:tcW w:w="4293"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pPr>
            <w:r>
              <w:rPr>
                <w:rFonts w:eastAsia="Calibri" w:cs="Times New Roman" w:ascii="Times New Roman" w:hAnsi="Times New Roman"/>
                <w:sz w:val="24"/>
              </w:rPr>
              <w:t>Адрес точки А (один адрес на выбор)</w:t>
            </w:r>
          </w:p>
        </w:tc>
        <w:tc>
          <w:tcPr>
            <w:tcW w:w="42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pPr>
            <w:r>
              <w:rPr/>
              <w:br/>
            </w:r>
            <w:r>
              <w:rPr>
                <w:rFonts w:ascii="Times New Roman" w:hAnsi="Times New Roman"/>
                <w:sz w:val="24"/>
                <w:szCs w:val="24"/>
              </w:rPr>
              <w:t>Адрес точки Б (для IP VPN)</w:t>
            </w:r>
          </w:p>
        </w:tc>
        <w:tc>
          <w:tcPr>
            <w:tcW w:w="22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Единица измерения</w:t>
            </w:r>
          </w:p>
        </w:tc>
        <w:tc>
          <w:tcPr>
            <w:tcW w:w="10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jc w:val="center"/>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jc w:val="center"/>
              <w:rPr>
                <w:rFonts w:ascii="Times New Roman" w:hAnsi="Times New Roman" w:eastAsia="Calibri" w:cs="Times New Roman"/>
                <w:sz w:val="24"/>
                <w:lang w:val="en-US"/>
              </w:rPr>
            </w:pPr>
            <w:r>
              <w:rPr>
                <w:rFonts w:eastAsia="Calibri" w:cs="Times New Roman" w:ascii="Times New Roman" w:hAnsi="Times New Roman"/>
                <w:sz w:val="24"/>
                <w:lang w:val="en-US"/>
              </w:rPr>
              <w:t>Объем</w:t>
            </w:r>
          </w:p>
        </w:tc>
        <w:tc>
          <w:tcPr>
            <w:tcW w:w="9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jc w:val="center"/>
              <w:rPr>
                <w:rFonts w:ascii="Times New Roman" w:hAnsi="Times New Roman" w:eastAsia="Calibri" w:cs="Times New Roman"/>
                <w:sz w:val="24"/>
                <w:lang w:val="en-US"/>
              </w:rPr>
            </w:pPr>
            <w:r>
              <w:rPr>
                <w:rFonts w:eastAsia="Calibri" w:cs="Times New Roman" w:ascii="Times New Roman" w:hAnsi="Times New Roman"/>
                <w:sz w:val="24"/>
                <w:lang w:val="en-US"/>
              </w:rPr>
              <w:t>Примечание</w:t>
            </w:r>
          </w:p>
        </w:tc>
      </w:tr>
      <w:tr>
        <w:trPr>
          <w:trHeight w:val="780" w:hRule="atLeast"/>
        </w:trPr>
        <w:tc>
          <w:tcPr>
            <w:tcW w:w="14174" w:type="dxa"/>
            <w:gridSpan w:val="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b/>
                <w:bCs/>
                <w:sz w:val="24"/>
              </w:rPr>
              <w:t>Канал №1</w:t>
              <w:br/>
            </w:r>
          </w:p>
        </w:tc>
      </w:tr>
      <w:tr>
        <w:trPr>
          <w:trHeight w:val="780" w:hRule="atLeast"/>
        </w:trPr>
        <w:tc>
          <w:tcPr>
            <w:tcW w:w="426"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1</w:t>
            </w:r>
          </w:p>
        </w:tc>
        <w:tc>
          <w:tcPr>
            <w:tcW w:w="1000"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eastAsia="Calibri" w:cs="Times New Roman" w:ascii="Times New Roman" w:hAnsi="Times New Roman"/>
                <w:sz w:val="24"/>
                <w:szCs w:val="24"/>
              </w:rPr>
              <w:t>IP VPN</w:t>
            </w:r>
          </w:p>
        </w:tc>
        <w:tc>
          <w:tcPr>
            <w:tcW w:w="4293"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z w:val="24"/>
                <w:szCs w:val="24"/>
                <w:lang w:eastAsia="ru-RU"/>
              </w:rPr>
              <w:t xml:space="preserve">Амурская область, г. Зея, Филиал ПАО «РусГидро» </w:t>
            </w:r>
            <w:r>
              <w:rPr>
                <w:rFonts w:eastAsia="Times New Roman" w:cs="Times New Roman" w:ascii="Times New Roman" w:hAnsi="Times New Roman"/>
                <w:color w:val="000000"/>
                <w:sz w:val="24"/>
                <w:szCs w:val="28"/>
                <w:lang w:eastAsia="ru-RU"/>
              </w:rPr>
              <w:t>–</w:t>
            </w:r>
            <w:r>
              <w:rPr>
                <w:rFonts w:eastAsia="Times New Roman" w:cs="Times New Roman" w:ascii="Times New Roman" w:hAnsi="Times New Roman"/>
                <w:color w:val="000000"/>
                <w:sz w:val="24"/>
                <w:szCs w:val="24"/>
                <w:lang w:eastAsia="ru-RU"/>
              </w:rPr>
              <w:t xml:space="preserve"> «Зейская ГЭС», </w:t>
            </w:r>
            <w:r>
              <w:rPr>
                <w:rFonts w:eastAsia="Times New Roman" w:cs="Times New Roman" w:ascii="Times New Roman" w:hAnsi="Times New Roman"/>
                <w:bCs/>
                <w:color w:val="000000"/>
                <w:sz w:val="24"/>
                <w:szCs w:val="24"/>
                <w:lang w:eastAsia="ru-RU"/>
              </w:rPr>
              <w:t>АПК-1, ЛАЗ</w:t>
            </w:r>
          </w:p>
        </w:tc>
        <w:tc>
          <w:tcPr>
            <w:tcW w:w="4271" w:type="dxa"/>
            <w:vMerge w:val="restart"/>
            <w:tcBorders>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pacing w:val="-3"/>
                <w:sz w:val="24"/>
                <w:szCs w:val="24"/>
                <w:lang w:eastAsia="ru-RU"/>
              </w:rPr>
              <w:t>г. Благовещенск, ул. Амурская, 205–211</w:t>
              <w:br/>
              <w:t>или</w:t>
              <w:br/>
              <w:t xml:space="preserve"> г. Благовещенск, ул. Шевченко,  28</w:t>
              <w:br/>
              <w:br/>
              <w:br/>
              <w:br/>
              <w:br/>
              <w:b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eastAsia="Calibri" w:cs="Times New Roman"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eastAsia="Calibri" w:cs="Times New Roman" w:ascii="Times New Roman" w:hAnsi="Times New Roman"/>
                <w:sz w:val="24"/>
                <w:szCs w:val="24"/>
                <w:lang w:val="en-US"/>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26"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2</w:t>
            </w:r>
          </w:p>
        </w:tc>
        <w:tc>
          <w:tcPr>
            <w:tcW w:w="1000"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eastAsia="Calibri" w:cs="Times New Roman" w:ascii="Times New Roman" w:hAnsi="Times New Roman"/>
                <w:sz w:val="24"/>
                <w:szCs w:val="24"/>
              </w:rPr>
              <w:t>IP VPN</w:t>
            </w:r>
          </w:p>
        </w:tc>
        <w:tc>
          <w:tcPr>
            <w:tcW w:w="4293"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 xml:space="preserve">Амурская область, г. Зея, Филиал ПАО «РусГидро» </w:t>
            </w:r>
            <w:r>
              <w:rPr>
                <w:rFonts w:eastAsia="Times New Roman" w:cs="Times New Roman" w:ascii="Times New Roman" w:hAnsi="Times New Roman"/>
                <w:color w:val="000000"/>
                <w:sz w:val="24"/>
                <w:szCs w:val="28"/>
                <w:lang w:eastAsia="ru-RU"/>
              </w:rPr>
              <w:t>–</w:t>
            </w:r>
            <w:r>
              <w:rPr>
                <w:rFonts w:eastAsia="Times New Roman" w:cs="Times New Roman" w:ascii="Times New Roman" w:hAnsi="Times New Roman"/>
                <w:color w:val="000000"/>
                <w:sz w:val="24"/>
                <w:szCs w:val="24"/>
                <w:lang w:eastAsia="ru-RU"/>
              </w:rPr>
              <w:t xml:space="preserve"> «Зейская ГЭС», </w:t>
            </w:r>
            <w:r>
              <w:rPr>
                <w:rFonts w:eastAsia="Times New Roman" w:cs="Times New Roman" w:ascii="Times New Roman" w:hAnsi="Times New Roman"/>
                <w:bCs/>
                <w:color w:val="000000"/>
                <w:sz w:val="24"/>
                <w:szCs w:val="24"/>
                <w:lang w:eastAsia="ru-RU"/>
              </w:rPr>
              <w:t>АПК-1, Щит-1Р</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eastAsia="Calibri" w:cs="Times New Roman"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eastAsia="Calibri" w:cs="Times New Roman" w:ascii="Times New Roman" w:hAnsi="Times New Roman"/>
                <w:sz w:val="24"/>
                <w:szCs w:val="24"/>
                <w:lang w:val="en-US"/>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26"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3</w:t>
            </w:r>
          </w:p>
        </w:tc>
        <w:tc>
          <w:tcPr>
            <w:tcW w:w="1000"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ascii="Times New Roman" w:hAnsi="Times New Roman"/>
                <w:sz w:val="24"/>
                <w:szCs w:val="24"/>
              </w:rPr>
              <w:t>IP VPN</w:t>
            </w:r>
          </w:p>
        </w:tc>
        <w:tc>
          <w:tcPr>
            <w:tcW w:w="4293"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z w:val="24"/>
                <w:szCs w:val="24"/>
                <w:lang w:eastAsia="ru-RU"/>
              </w:rPr>
              <w:t xml:space="preserve">Амурская область, г. Зея, Филиал ПАО «РусГидро» </w:t>
            </w:r>
            <w:r>
              <w:rPr>
                <w:rFonts w:eastAsia="Times New Roman" w:cs="Times New Roman" w:ascii="Times New Roman" w:hAnsi="Times New Roman"/>
                <w:color w:val="000000"/>
                <w:sz w:val="24"/>
                <w:szCs w:val="28"/>
                <w:lang w:eastAsia="ru-RU"/>
              </w:rPr>
              <w:t>–</w:t>
            </w:r>
            <w:r>
              <w:rPr>
                <w:rFonts w:eastAsia="Times New Roman" w:cs="Times New Roman" w:ascii="Times New Roman" w:hAnsi="Times New Roman"/>
                <w:color w:val="000000"/>
                <w:sz w:val="24"/>
                <w:szCs w:val="24"/>
                <w:lang w:eastAsia="ru-RU"/>
              </w:rPr>
              <w:t xml:space="preserve"> «Зейская ГЭС» </w:t>
            </w:r>
            <w:r>
              <w:rPr>
                <w:rFonts w:eastAsia="Times New Roman" w:cs="Times New Roman" w:ascii="Times New Roman" w:hAnsi="Times New Roman"/>
                <w:bCs/>
                <w:color w:val="000000"/>
                <w:sz w:val="24"/>
                <w:szCs w:val="24"/>
                <w:lang w:eastAsia="ru-RU"/>
              </w:rPr>
              <w:t>АПК-3, ППЦ-1</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ascii="Times New Roman" w:hAnsi="Times New Roman"/>
                <w:sz w:val="24"/>
                <w:szCs w:val="24"/>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26"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4</w:t>
            </w:r>
          </w:p>
        </w:tc>
        <w:tc>
          <w:tcPr>
            <w:tcW w:w="1000"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ascii="Times New Roman" w:hAnsi="Times New Roman"/>
                <w:sz w:val="24"/>
                <w:szCs w:val="24"/>
              </w:rPr>
              <w:t>IP VPN</w:t>
            </w:r>
          </w:p>
        </w:tc>
        <w:tc>
          <w:tcPr>
            <w:tcW w:w="4293"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pacing w:val="-3"/>
                <w:sz w:val="24"/>
                <w:szCs w:val="24"/>
                <w:lang w:eastAsia="ru-RU"/>
              </w:rPr>
              <w:t>Амурская область, г. Зея, ул. Мухина, 186, ПАО «</w:t>
            </w:r>
            <w:r>
              <w:rPr>
                <w:rFonts w:eastAsia="Times New Roman" w:cs="Times New Roman" w:ascii="Times New Roman" w:hAnsi="Times New Roman"/>
                <w:color w:val="000000"/>
                <w:spacing w:val="-3"/>
                <w:sz w:val="24"/>
                <w:szCs w:val="24"/>
                <w:lang w:val="en-US" w:eastAsia="ru-RU"/>
              </w:rPr>
              <w:t>Ростелеком</w:t>
            </w:r>
            <w:r>
              <w:rPr>
                <w:rFonts w:eastAsia="Times New Roman" w:cs="Times New Roman" w:ascii="Times New Roman" w:hAnsi="Times New Roman"/>
                <w:color w:val="000000"/>
                <w:spacing w:val="-3"/>
                <w:sz w:val="24"/>
                <w:szCs w:val="24"/>
                <w:lang w:eastAsia="ru-RU"/>
              </w:rPr>
              <w:t>»</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ascii="Times New Roman" w:hAnsi="Times New Roman"/>
                <w:sz w:val="24"/>
                <w:szCs w:val="24"/>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26"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5</w:t>
            </w:r>
          </w:p>
        </w:tc>
        <w:tc>
          <w:tcPr>
            <w:tcW w:w="1000"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ascii="Times New Roman" w:hAnsi="Times New Roman"/>
                <w:sz w:val="24"/>
                <w:szCs w:val="24"/>
              </w:rPr>
              <w:t>IP VPN</w:t>
            </w:r>
          </w:p>
        </w:tc>
        <w:tc>
          <w:tcPr>
            <w:tcW w:w="4293"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ascii="Times New Roman" w:hAnsi="Times New Roman"/>
                <w:color w:val="000000"/>
                <w:sz w:val="24"/>
                <w:szCs w:val="24"/>
              </w:rPr>
              <w:t>С. Тыгда, ул. Станционная, 9, Помещение связи</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ascii="Times New Roman" w:hAnsi="Times New Roman"/>
                <w:sz w:val="24"/>
                <w:szCs w:val="24"/>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bl>
    <w:p>
      <w:pPr>
        <w:pStyle w:val="Heading2"/>
        <w:numPr>
          <w:ilvl w:val="0"/>
          <w:numId w:val="0"/>
        </w:numPr>
        <w:spacing w:lineRule="auto" w:line="276" w:before="240" w:after="120"/>
        <w:ind w:left="357" w:hanging="0"/>
        <w:rPr>
          <w:rFonts w:ascii="Times New Roman" w:hAnsi="Times New Roman"/>
          <w:b/>
          <w:sz w:val="28"/>
          <w:szCs w:val="28"/>
        </w:rPr>
      </w:pPr>
      <w:r>
        <w:rPr>
          <w:rFonts w:ascii="Times New Roman" w:hAnsi="Times New Roman"/>
          <w:b/>
          <w:sz w:val="28"/>
          <w:szCs w:val="28"/>
        </w:rPr>
      </w:r>
    </w:p>
    <w:p>
      <w:pPr>
        <w:pStyle w:val="Heading2"/>
        <w:numPr>
          <w:ilvl w:val="0"/>
          <w:numId w:val="0"/>
        </w:numPr>
        <w:spacing w:lineRule="auto" w:line="276" w:before="240" w:after="120"/>
        <w:ind w:left="357" w:hanging="0"/>
        <w:rPr>
          <w:rFonts w:ascii="Times New Roman" w:hAnsi="Times New Roman"/>
          <w:b/>
          <w:sz w:val="28"/>
          <w:szCs w:val="28"/>
        </w:rPr>
      </w:pPr>
      <w:r>
        <w:rPr>
          <w:rFonts w:ascii="Times New Roman" w:hAnsi="Times New Roman"/>
          <w:b/>
          <w:sz w:val="28"/>
          <w:szCs w:val="28"/>
        </w:rPr>
      </w:r>
    </w:p>
    <w:p>
      <w:pPr>
        <w:pStyle w:val="Heading2"/>
        <w:numPr>
          <w:ilvl w:val="0"/>
          <w:numId w:val="0"/>
        </w:numPr>
        <w:spacing w:lineRule="auto" w:line="276" w:before="240" w:after="120"/>
        <w:ind w:left="357" w:hanging="0"/>
        <w:rPr>
          <w:rFonts w:ascii="Times New Roman" w:hAnsi="Times New Roman"/>
          <w:b/>
          <w:sz w:val="28"/>
          <w:szCs w:val="28"/>
        </w:rPr>
      </w:pPr>
      <w:r>
        <w:rPr>
          <w:rFonts w:ascii="Times New Roman" w:hAnsi="Times New Roman"/>
          <w:b/>
          <w:sz w:val="28"/>
          <w:szCs w:val="28"/>
        </w:rPr>
      </w:r>
    </w:p>
    <w:tbl>
      <w:tblPr>
        <w:tblpPr w:bottomFromText="0" w:horzAnchor="margin" w:leftFromText="180" w:rightFromText="180" w:tblpX="0" w:tblpY="655" w:topFromText="0" w:vertAnchor="text"/>
        <w:tblW w:w="14175"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419"/>
        <w:gridCol w:w="1134"/>
        <w:gridCol w:w="4166"/>
        <w:gridCol w:w="4271"/>
        <w:gridCol w:w="2241"/>
        <w:gridCol w:w="1025"/>
        <w:gridCol w:w="918"/>
      </w:tblGrid>
      <w:tr>
        <w:trPr>
          <w:tblHeader w:val="true"/>
          <w:trHeight w:val="765" w:hRule="atLeast"/>
        </w:trPr>
        <w:tc>
          <w:tcPr>
            <w:tcW w:w="4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 </w:t>
            </w:r>
            <w:r>
              <w:rPr>
                <w:rFonts w:eastAsia="Calibri" w:cs="Times New Roman" w:ascii="Times New Roman" w:hAnsi="Times New Roman"/>
                <w:sz w:val="24"/>
              </w:rPr>
              <w:t>пп</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pPr>
            <w:r>
              <w:rPr>
                <w:rFonts w:eastAsia="Calibri" w:cs="Times New Roman" w:ascii="Times New Roman" w:hAnsi="Times New Roman"/>
                <w:sz w:val="24"/>
              </w:rPr>
              <w:t>Услуга</w:t>
            </w:r>
          </w:p>
        </w:tc>
        <w:tc>
          <w:tcPr>
            <w:tcW w:w="4166"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pPr>
            <w:r>
              <w:rPr>
                <w:rFonts w:eastAsia="Calibri" w:cs="Times New Roman" w:ascii="Times New Roman" w:hAnsi="Times New Roman"/>
                <w:sz w:val="24"/>
              </w:rPr>
              <w:t>Адрес точки А (один адрес на выбор).</w:t>
            </w:r>
          </w:p>
        </w:tc>
        <w:tc>
          <w:tcPr>
            <w:tcW w:w="42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jc w:val="center"/>
              <w:rPr/>
            </w:pPr>
            <w:r>
              <w:rPr/>
              <w:br/>
            </w:r>
            <w:r>
              <w:rPr>
                <w:rFonts w:ascii="Times New Roman" w:hAnsi="Times New Roman"/>
                <w:sz w:val="24"/>
                <w:szCs w:val="24"/>
              </w:rPr>
              <w:t>Адрес точки Б (для IP VPN)</w:t>
            </w:r>
          </w:p>
        </w:tc>
        <w:tc>
          <w:tcPr>
            <w:tcW w:w="22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Единица измерения</w:t>
            </w:r>
          </w:p>
        </w:tc>
        <w:tc>
          <w:tcPr>
            <w:tcW w:w="10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Объем</w:t>
            </w:r>
          </w:p>
        </w:tc>
        <w:tc>
          <w:tcPr>
            <w:tcW w:w="9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Примечание</w:t>
            </w:r>
          </w:p>
        </w:tc>
      </w:tr>
      <w:tr>
        <w:trPr>
          <w:trHeight w:val="780" w:hRule="atLeast"/>
        </w:trPr>
        <w:tc>
          <w:tcPr>
            <w:tcW w:w="14174" w:type="dxa"/>
            <w:gridSpan w:val="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b/>
                <w:bCs/>
                <w:sz w:val="24"/>
              </w:rPr>
              <w:t>Канал №2</w:t>
              <w:br/>
            </w:r>
          </w:p>
        </w:tc>
      </w:tr>
      <w:tr>
        <w:trPr>
          <w:trHeight w:val="780" w:hRule="atLeast"/>
        </w:trPr>
        <w:tc>
          <w:tcPr>
            <w:tcW w:w="41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1</w:t>
            </w:r>
          </w:p>
        </w:tc>
        <w:tc>
          <w:tcPr>
            <w:tcW w:w="113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eastAsia="Calibri" w:cs="Times New Roman" w:ascii="Times New Roman" w:hAnsi="Times New Roman"/>
                <w:sz w:val="24"/>
                <w:szCs w:val="24"/>
              </w:rPr>
              <w:t>IP VPN</w:t>
            </w:r>
          </w:p>
        </w:tc>
        <w:tc>
          <w:tcPr>
            <w:tcW w:w="4166"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z w:val="24"/>
                <w:szCs w:val="24"/>
                <w:lang w:eastAsia="ru-RU"/>
              </w:rPr>
              <w:t xml:space="preserve">Амурская область, г. Зея, Филиал ПАО «РусГидро» </w:t>
            </w:r>
            <w:r>
              <w:rPr>
                <w:rFonts w:eastAsia="Times New Roman" w:cs="Times New Roman" w:ascii="Times New Roman" w:hAnsi="Times New Roman"/>
                <w:color w:val="000000"/>
                <w:sz w:val="24"/>
                <w:szCs w:val="28"/>
                <w:lang w:eastAsia="ru-RU"/>
              </w:rPr>
              <w:t>–</w:t>
            </w:r>
            <w:r>
              <w:rPr>
                <w:rFonts w:eastAsia="Times New Roman" w:cs="Times New Roman" w:ascii="Times New Roman" w:hAnsi="Times New Roman"/>
                <w:color w:val="000000"/>
                <w:sz w:val="24"/>
                <w:szCs w:val="24"/>
                <w:lang w:eastAsia="ru-RU"/>
              </w:rPr>
              <w:t xml:space="preserve"> «Зейская ГЭС», </w:t>
            </w:r>
            <w:r>
              <w:rPr>
                <w:rFonts w:eastAsia="Times New Roman" w:cs="Times New Roman" w:ascii="Times New Roman" w:hAnsi="Times New Roman"/>
                <w:bCs/>
                <w:color w:val="000000"/>
                <w:sz w:val="24"/>
                <w:szCs w:val="24"/>
                <w:lang w:eastAsia="ru-RU"/>
              </w:rPr>
              <w:t>АПК-1, ЛАЗ</w:t>
            </w:r>
          </w:p>
        </w:tc>
        <w:tc>
          <w:tcPr>
            <w:tcW w:w="4271" w:type="dxa"/>
            <w:vMerge w:val="restart"/>
            <w:tcBorders>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jc w:val="center"/>
              <w:rPr>
                <w:rFonts w:ascii="Times New Roman" w:hAnsi="Times New Roman" w:eastAsia="Times New Roman" w:cs="Times New Roman"/>
                <w:color w:val="000000"/>
                <w:spacing w:val="-3"/>
                <w:sz w:val="24"/>
                <w:szCs w:val="24"/>
                <w:lang w:eastAsia="ru-RU"/>
              </w:rPr>
            </w:pPr>
            <w:r>
              <w:rPr>
                <w:rFonts w:eastAsia="Times New Roman" w:cs="Times New Roman" w:ascii="Times New Roman" w:hAnsi="Times New Roman"/>
                <w:color w:val="000000"/>
                <w:spacing w:val="-3"/>
                <w:sz w:val="24"/>
                <w:szCs w:val="24"/>
                <w:lang w:eastAsia="ru-RU"/>
              </w:rPr>
              <w:t>г. Хабаровск, ул. Карла Маркса, 58</w:t>
            </w:r>
          </w:p>
          <w:p>
            <w:pPr>
              <w:pStyle w:val="Normal"/>
              <w:widowControl w:val="false"/>
              <w:spacing w:before="0" w:after="0"/>
              <w:jc w:val="center"/>
              <w:rPr>
                <w:rFonts w:ascii="Times New Roman" w:hAnsi="Times New Roman" w:eastAsia="Times New Roman" w:cs="Times New Roman"/>
                <w:color w:val="000000"/>
                <w:spacing w:val="-3"/>
                <w:sz w:val="24"/>
                <w:szCs w:val="24"/>
                <w:lang w:eastAsia="ru-RU"/>
              </w:rPr>
            </w:pPr>
            <w:r>
              <w:rPr>
                <w:rFonts w:eastAsia="Times New Roman" w:cs="Times New Roman" w:ascii="Times New Roman" w:hAnsi="Times New Roman"/>
                <w:color w:val="000000"/>
                <w:spacing w:val="-3"/>
                <w:sz w:val="24"/>
                <w:szCs w:val="24"/>
                <w:lang w:eastAsia="ru-RU"/>
              </w:rPr>
              <w:t>или</w:t>
            </w:r>
          </w:p>
          <w:p>
            <w:pPr>
              <w:pStyle w:val="Normal"/>
              <w:widowControl w:val="false"/>
              <w:spacing w:before="0" w:after="0"/>
              <w:jc w:val="center"/>
              <w:rPr>
                <w:rFonts w:ascii="Times New Roman" w:hAnsi="Times New Roman"/>
                <w:sz w:val="24"/>
                <w:szCs w:val="24"/>
              </w:rPr>
            </w:pPr>
            <w:r>
              <w:rPr>
                <w:rFonts w:eastAsia="Times New Roman" w:cs="Times New Roman" w:ascii="Times New Roman" w:hAnsi="Times New Roman"/>
                <w:color w:val="000000"/>
                <w:spacing w:val="-3"/>
                <w:sz w:val="24"/>
                <w:szCs w:val="24"/>
                <w:lang w:eastAsia="ru-RU"/>
              </w:rPr>
              <w:t xml:space="preserve"> </w:t>
            </w:r>
            <w:r>
              <w:rPr>
                <w:rFonts w:eastAsia="Times New Roman" w:cs="Times New Roman" w:ascii="Times New Roman" w:hAnsi="Times New Roman"/>
                <w:color w:val="000000"/>
                <w:spacing w:val="-3"/>
                <w:sz w:val="24"/>
                <w:szCs w:val="24"/>
                <w:lang w:eastAsia="ru-RU"/>
              </w:rPr>
              <w:t>г. Хабаровск, ул. Муравьёва-Амурского, 20</w:t>
              <w:br/>
              <w:br/>
              <w:br/>
              <w:br/>
              <w:b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eastAsia="Calibri" w:cs="Times New Roman"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eastAsia="Calibri" w:cs="Times New Roman" w:ascii="Times New Roman" w:hAnsi="Times New Roman"/>
                <w:sz w:val="24"/>
                <w:szCs w:val="24"/>
                <w:lang w:val="en-US"/>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1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2</w:t>
            </w:r>
          </w:p>
        </w:tc>
        <w:tc>
          <w:tcPr>
            <w:tcW w:w="113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eastAsia="Calibri" w:cs="Times New Roman" w:ascii="Times New Roman" w:hAnsi="Times New Roman"/>
                <w:sz w:val="24"/>
                <w:szCs w:val="24"/>
              </w:rPr>
              <w:t>IP VPN</w:t>
            </w:r>
          </w:p>
        </w:tc>
        <w:tc>
          <w:tcPr>
            <w:tcW w:w="4166"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 xml:space="preserve">Амурская область, г. Зея, Филиал ПАО «РусГидро» </w:t>
            </w:r>
            <w:r>
              <w:rPr>
                <w:rFonts w:eastAsia="Times New Roman" w:cs="Times New Roman" w:ascii="Times New Roman" w:hAnsi="Times New Roman"/>
                <w:color w:val="000000"/>
                <w:sz w:val="24"/>
                <w:szCs w:val="28"/>
                <w:lang w:eastAsia="ru-RU"/>
              </w:rPr>
              <w:t>–</w:t>
            </w:r>
            <w:r>
              <w:rPr>
                <w:rFonts w:eastAsia="Times New Roman" w:cs="Times New Roman" w:ascii="Times New Roman" w:hAnsi="Times New Roman"/>
                <w:color w:val="000000"/>
                <w:sz w:val="24"/>
                <w:szCs w:val="24"/>
                <w:lang w:eastAsia="ru-RU"/>
              </w:rPr>
              <w:t xml:space="preserve"> «Зейская ГЭС», </w:t>
            </w:r>
            <w:r>
              <w:rPr>
                <w:rFonts w:eastAsia="Times New Roman" w:cs="Times New Roman" w:ascii="Times New Roman" w:hAnsi="Times New Roman"/>
                <w:bCs/>
                <w:color w:val="000000"/>
                <w:sz w:val="24"/>
                <w:szCs w:val="24"/>
                <w:lang w:eastAsia="ru-RU"/>
              </w:rPr>
              <w:t>АПК-1, Щит-1Р</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eastAsia="Calibri" w:cs="Times New Roman"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eastAsia="Calibri" w:cs="Times New Roman" w:ascii="Times New Roman" w:hAnsi="Times New Roman"/>
                <w:sz w:val="24"/>
                <w:szCs w:val="24"/>
                <w:lang w:val="en-US"/>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1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3</w:t>
            </w:r>
          </w:p>
        </w:tc>
        <w:tc>
          <w:tcPr>
            <w:tcW w:w="113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ascii="Times New Roman" w:hAnsi="Times New Roman"/>
                <w:sz w:val="24"/>
                <w:szCs w:val="24"/>
              </w:rPr>
              <w:t>IP VPN</w:t>
            </w:r>
          </w:p>
        </w:tc>
        <w:tc>
          <w:tcPr>
            <w:tcW w:w="4166"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z w:val="24"/>
                <w:szCs w:val="24"/>
                <w:lang w:eastAsia="ru-RU"/>
              </w:rPr>
              <w:t xml:space="preserve">Амурская область, г. Зея, Филиал ПАО «РусГидро» </w:t>
            </w:r>
            <w:r>
              <w:rPr>
                <w:rFonts w:eastAsia="Times New Roman" w:cs="Times New Roman" w:ascii="Times New Roman" w:hAnsi="Times New Roman"/>
                <w:color w:val="000000"/>
                <w:sz w:val="24"/>
                <w:szCs w:val="28"/>
                <w:lang w:eastAsia="ru-RU"/>
              </w:rPr>
              <w:t>–</w:t>
            </w:r>
            <w:r>
              <w:rPr>
                <w:rFonts w:eastAsia="Times New Roman" w:cs="Times New Roman" w:ascii="Times New Roman" w:hAnsi="Times New Roman"/>
                <w:color w:val="000000"/>
                <w:sz w:val="24"/>
                <w:szCs w:val="24"/>
                <w:lang w:eastAsia="ru-RU"/>
              </w:rPr>
              <w:t xml:space="preserve"> «Зейская ГЭС» </w:t>
            </w:r>
            <w:r>
              <w:rPr>
                <w:rFonts w:eastAsia="Times New Roman" w:cs="Times New Roman" w:ascii="Times New Roman" w:hAnsi="Times New Roman"/>
                <w:bCs/>
                <w:color w:val="000000"/>
                <w:sz w:val="24"/>
                <w:szCs w:val="24"/>
                <w:lang w:eastAsia="ru-RU"/>
              </w:rPr>
              <w:t>АПК-3, ППЦ-1</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ascii="Times New Roman" w:hAnsi="Times New Roman"/>
                <w:sz w:val="24"/>
                <w:szCs w:val="24"/>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1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4</w:t>
            </w:r>
          </w:p>
        </w:tc>
        <w:tc>
          <w:tcPr>
            <w:tcW w:w="113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ascii="Times New Roman" w:hAnsi="Times New Roman"/>
                <w:sz w:val="24"/>
                <w:szCs w:val="24"/>
              </w:rPr>
              <w:t>IP VPN</w:t>
            </w:r>
          </w:p>
        </w:tc>
        <w:tc>
          <w:tcPr>
            <w:tcW w:w="4166"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eastAsia="Times New Roman" w:cs="Times New Roman" w:ascii="Times New Roman" w:hAnsi="Times New Roman"/>
                <w:color w:val="000000"/>
                <w:spacing w:val="-3"/>
                <w:sz w:val="24"/>
                <w:szCs w:val="24"/>
                <w:lang w:eastAsia="ru-RU"/>
              </w:rPr>
              <w:t>Амурская область, г. Зея, ул. Мухина, 186, ПАО «</w:t>
            </w:r>
            <w:r>
              <w:rPr>
                <w:rFonts w:eastAsia="Times New Roman" w:cs="Times New Roman" w:ascii="Times New Roman" w:hAnsi="Times New Roman"/>
                <w:color w:val="000000"/>
                <w:spacing w:val="-3"/>
                <w:sz w:val="24"/>
                <w:szCs w:val="24"/>
                <w:lang w:val="en-US" w:eastAsia="ru-RU"/>
              </w:rPr>
              <w:t>Ростелеком</w:t>
            </w:r>
            <w:r>
              <w:rPr>
                <w:rFonts w:eastAsia="Times New Roman" w:cs="Times New Roman" w:ascii="Times New Roman" w:hAnsi="Times New Roman"/>
                <w:color w:val="000000"/>
                <w:spacing w:val="-3"/>
                <w:sz w:val="24"/>
                <w:szCs w:val="24"/>
                <w:lang w:eastAsia="ru-RU"/>
              </w:rPr>
              <w:t>»</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ascii="Times New Roman" w:hAnsi="Times New Roman"/>
                <w:sz w:val="24"/>
                <w:szCs w:val="24"/>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r>
        <w:trPr>
          <w:trHeight w:val="780" w:hRule="atLeast"/>
        </w:trPr>
        <w:tc>
          <w:tcPr>
            <w:tcW w:w="41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t>5</w:t>
            </w:r>
          </w:p>
        </w:tc>
        <w:tc>
          <w:tcPr>
            <w:tcW w:w="113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pPr>
            <w:r>
              <w:rPr>
                <w:rFonts w:ascii="Times New Roman" w:hAnsi="Times New Roman"/>
                <w:sz w:val="24"/>
                <w:szCs w:val="24"/>
              </w:rPr>
              <w:t>IP VPN</w:t>
            </w:r>
          </w:p>
        </w:tc>
        <w:tc>
          <w:tcPr>
            <w:tcW w:w="4166" w:type="dxa"/>
            <w:tcBorders>
              <w:left w:val="single" w:sz="4" w:space="0" w:color="000000"/>
              <w:bottom w:val="single" w:sz="4" w:space="0" w:color="000000"/>
            </w:tcBorders>
            <w:shd w:color="auto" w:fill="auto" w:val="clear"/>
            <w:vAlign w:val="bottom"/>
          </w:tcPr>
          <w:p>
            <w:pPr>
              <w:pStyle w:val="Normal"/>
              <w:widowControl w:val="false"/>
              <w:spacing w:before="0" w:after="0"/>
              <w:jc w:val="center"/>
              <w:rPr/>
            </w:pPr>
            <w:r>
              <w:rPr>
                <w:rFonts w:ascii="Times New Roman" w:hAnsi="Times New Roman"/>
                <w:color w:val="000000"/>
                <w:sz w:val="24"/>
                <w:szCs w:val="24"/>
              </w:rPr>
              <w:t>С. Тыгда, ул. Станционная, 9, Помещение связи</w:t>
            </w:r>
          </w:p>
        </w:tc>
        <w:tc>
          <w:tcPr>
            <w:tcW w:w="4271" w:type="dxa"/>
            <w:vMerge w:val="continue"/>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before="0" w:after="0"/>
              <w:rPr>
                <w:rFonts w:ascii="Times New Roman" w:hAnsi="Times New Roman"/>
                <w:sz w:val="24"/>
                <w:szCs w:val="24"/>
              </w:rPr>
            </w:pPr>
            <w:r>
              <w:rPr>
                <w:rFonts w:ascii="Times New Roman" w:hAnsi="Times New Roman"/>
                <w:sz w:val="24"/>
                <w:szCs w:val="24"/>
              </w:rPr>
            </w:r>
          </w:p>
        </w:tc>
        <w:tc>
          <w:tcPr>
            <w:tcW w:w="22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Мб/с</w:t>
            </w:r>
          </w:p>
        </w:tc>
        <w:tc>
          <w:tcPr>
            <w:tcW w:w="1025"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pPr>
            <w:r>
              <w:rPr>
                <w:rFonts w:ascii="Times New Roman" w:hAnsi="Times New Roman"/>
                <w:sz w:val="24"/>
                <w:szCs w:val="24"/>
              </w:rPr>
              <w:t>20</w:t>
            </w:r>
          </w:p>
        </w:tc>
        <w:tc>
          <w:tcPr>
            <w:tcW w:w="91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lang w:val="en-US"/>
              </w:rPr>
            </w:r>
          </w:p>
        </w:tc>
      </w:tr>
    </w:tbl>
    <w:p>
      <w:pPr>
        <w:sectPr>
          <w:headerReference w:type="default" r:id="rId2"/>
          <w:type w:val="nextPage"/>
          <w:pgSz w:orient="landscape" w:w="16838" w:h="11906"/>
          <w:pgMar w:left="1134" w:right="1134" w:gutter="0" w:header="709" w:top="1701" w:footer="0" w:bottom="991"/>
          <w:pgNumType w:fmt="decimal"/>
          <w:formProt w:val="false"/>
          <w:textDirection w:val="lrTb"/>
          <w:docGrid w:type="default" w:linePitch="360" w:charSpace="16384"/>
        </w:sectPr>
        <w:pStyle w:val="Heading2"/>
        <w:numPr>
          <w:ilvl w:val="0"/>
          <w:numId w:val="0"/>
        </w:numPr>
        <w:spacing w:lineRule="auto" w:line="276" w:before="240" w:after="120"/>
        <w:ind w:left="357" w:hanging="0"/>
        <w:rPr>
          <w:rFonts w:ascii="Times New Roman" w:hAnsi="Times New Roman"/>
          <w:b/>
          <w:sz w:val="28"/>
          <w:szCs w:val="28"/>
        </w:rPr>
      </w:pPr>
      <w:r>
        <w:rPr>
          <w:rFonts w:ascii="Times New Roman" w:hAnsi="Times New Roman"/>
          <w:b/>
          <w:sz w:val="28"/>
          <w:szCs w:val="28"/>
        </w:rPr>
        <w:t>Таблица 2. Перечень и объем оказываемых услуг</w:t>
      </w:r>
    </w:p>
    <w:p>
      <w:pPr>
        <w:pStyle w:val="Heading2"/>
        <w:numPr>
          <w:ilvl w:val="1"/>
          <w:numId w:val="2"/>
        </w:numPr>
        <w:spacing w:lineRule="auto" w:line="276" w:before="120" w:after="80"/>
        <w:ind w:left="567" w:hanging="567"/>
        <w:rPr>
          <w:rFonts w:ascii="Times New Roman" w:hAnsi="Times New Roman"/>
          <w:b/>
          <w:sz w:val="24"/>
        </w:rPr>
      </w:pPr>
      <w:bookmarkStart w:id="8" w:name="_Toc191457435"/>
      <w:r>
        <w:rPr>
          <w:rFonts w:ascii="Times New Roman" w:hAnsi="Times New Roman"/>
          <w:b/>
          <w:sz w:val="24"/>
        </w:rPr>
        <w:t>Требования к срокам оказания услуг</w:t>
      </w:r>
      <w:bookmarkEnd w:id="8"/>
    </w:p>
    <w:p>
      <w:pPr>
        <w:pStyle w:val="Heading2"/>
        <w:numPr>
          <w:ilvl w:val="0"/>
          <w:numId w:val="0"/>
        </w:numPr>
        <w:spacing w:lineRule="auto" w:line="276" w:before="240" w:after="120"/>
        <w:ind w:left="357" w:hanging="0"/>
        <w:rPr>
          <w:rFonts w:ascii="Times New Roman" w:hAnsi="Times New Roman"/>
          <w:b/>
          <w:sz w:val="28"/>
          <w:szCs w:val="28"/>
        </w:rPr>
      </w:pPr>
      <w:bookmarkStart w:id="9" w:name="_Toc191457436"/>
      <w:r>
        <w:rPr>
          <w:rFonts w:ascii="Times New Roman" w:hAnsi="Times New Roman"/>
          <w:b/>
          <w:sz w:val="28"/>
          <w:szCs w:val="28"/>
        </w:rPr>
        <w:t xml:space="preserve">Таблица </w:t>
      </w:r>
      <w:r>
        <w:rPr>
          <w:rFonts w:ascii="Times New Roman" w:hAnsi="Times New Roman"/>
          <w:b/>
          <w:sz w:val="28"/>
          <w:szCs w:val="28"/>
          <w:lang w:val="en-US"/>
        </w:rPr>
        <w:t>2</w:t>
      </w:r>
      <w:r>
        <w:rPr>
          <w:rFonts w:ascii="Times New Roman" w:hAnsi="Times New Roman"/>
          <w:b/>
          <w:sz w:val="28"/>
          <w:szCs w:val="28"/>
        </w:rPr>
        <w:t>. Сроки оказания услуг</w:t>
      </w:r>
      <w:bookmarkEnd w:id="9"/>
    </w:p>
    <w:tbl>
      <w:tblPr>
        <w:tblW w:w="9640" w:type="dxa"/>
        <w:jc w:val="left"/>
        <w:tblInd w:w="-289" w:type="dxa"/>
        <w:tblLayout w:type="fixed"/>
        <w:tblCellMar>
          <w:top w:w="0" w:type="dxa"/>
          <w:left w:w="108" w:type="dxa"/>
          <w:bottom w:w="0" w:type="dxa"/>
          <w:right w:w="108" w:type="dxa"/>
        </w:tblCellMar>
        <w:tblLook w:val="04a0" w:noHBand="0" w:noVBand="1" w:firstColumn="1" w:lastRow="0" w:lastColumn="0" w:firstRow="1"/>
      </w:tblPr>
      <w:tblGrid>
        <w:gridCol w:w="713"/>
        <w:gridCol w:w="3969"/>
        <w:gridCol w:w="2414"/>
        <w:gridCol w:w="2543"/>
      </w:tblGrid>
      <w:tr>
        <w:trPr/>
        <w:tc>
          <w:tcPr>
            <w:tcW w:w="7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 </w:t>
            </w:r>
            <w:r>
              <w:rPr>
                <w:rFonts w:eastAsia="Calibri" w:cs="Times New Roman" w:ascii="Times New Roman" w:hAnsi="Times New Roman"/>
                <w:sz w:val="24"/>
              </w:rPr>
              <w:t>п/п</w:t>
            </w:r>
          </w:p>
        </w:tc>
        <w:tc>
          <w:tcPr>
            <w:tcW w:w="39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Наименование услуг/ этапа услуг</w:t>
            </w:r>
          </w:p>
        </w:tc>
        <w:tc>
          <w:tcPr>
            <w:tcW w:w="24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началу срока оказания услуг/ этапа услуг</w:t>
            </w:r>
          </w:p>
        </w:tc>
        <w:tc>
          <w:tcPr>
            <w:tcW w:w="2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окончанию срока оказания услуг / этапа услуг</w:t>
            </w:r>
          </w:p>
        </w:tc>
      </w:tr>
      <w:tr>
        <w:trPr/>
        <w:tc>
          <w:tcPr>
            <w:tcW w:w="7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w:t>
            </w:r>
          </w:p>
        </w:tc>
        <w:tc>
          <w:tcPr>
            <w:tcW w:w="39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200"/>
              <w:rPr>
                <w:rFonts w:ascii="Times New Roman" w:hAnsi="Times New Roman" w:eastAsia="Calibri" w:cs="Times New Roman"/>
                <w:sz w:val="24"/>
              </w:rPr>
            </w:pPr>
            <w:r>
              <w:rPr>
                <w:rFonts w:eastAsia="Calibri" w:cs="Times New Roman" w:ascii="Times New Roman" w:hAnsi="Times New Roman"/>
                <w:sz w:val="24"/>
              </w:rPr>
              <w:t>Услуги связи по предоставлению каналов связи с пакетной передачей данных c применением технологии IP VPN</w:t>
            </w:r>
          </w:p>
        </w:tc>
        <w:tc>
          <w:tcPr>
            <w:tcW w:w="24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Начало оказания Услуг: 01.07.2028 г.</w:t>
            </w:r>
          </w:p>
        </w:tc>
        <w:tc>
          <w:tcPr>
            <w:tcW w:w="25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Окончание оказания Услуг 01.07.202</w:t>
            </w:r>
            <w:r>
              <w:rPr>
                <w:rFonts w:eastAsia="Calibri" w:cs="Times New Roman" w:ascii="Times New Roman" w:hAnsi="Times New Roman"/>
                <w:sz w:val="24"/>
              </w:rPr>
              <w:t>9</w:t>
            </w:r>
            <w:r>
              <w:rPr>
                <w:rFonts w:eastAsia="Calibri" w:cs="Times New Roman" w:ascii="Times New Roman" w:hAnsi="Times New Roman"/>
                <w:sz w:val="24"/>
              </w:rPr>
              <w:t xml:space="preserve"> г.</w:t>
            </w:r>
          </w:p>
        </w:tc>
      </w:tr>
    </w:tbl>
    <w:p>
      <w:pPr>
        <w:pStyle w:val="Heading2"/>
        <w:numPr>
          <w:ilvl w:val="1"/>
          <w:numId w:val="2"/>
        </w:numPr>
        <w:spacing w:lineRule="auto" w:line="276" w:before="120" w:after="80"/>
        <w:ind w:left="567" w:hanging="567"/>
        <w:rPr>
          <w:rFonts w:ascii="Times New Roman" w:hAnsi="Times New Roman"/>
          <w:b/>
          <w:sz w:val="24"/>
        </w:rPr>
      </w:pPr>
      <w:bookmarkStart w:id="10" w:name="_Toc191457437"/>
      <w:r>
        <w:rPr>
          <w:rFonts w:ascii="Times New Roman" w:hAnsi="Times New Roman"/>
          <w:b/>
          <w:sz w:val="24"/>
        </w:rPr>
        <w:t>Требования к параметрам и качеству оказываемых услуг</w:t>
      </w:r>
      <w:bookmarkEnd w:id="10"/>
    </w:p>
    <w:p>
      <w:pPr>
        <w:pStyle w:val="Heading2"/>
        <w:numPr>
          <w:ilvl w:val="0"/>
          <w:numId w:val="0"/>
        </w:numPr>
        <w:spacing w:lineRule="auto" w:line="276" w:before="240" w:after="120"/>
        <w:ind w:left="357" w:hanging="0"/>
        <w:rPr>
          <w:rFonts w:ascii="Times New Roman" w:hAnsi="Times New Roman"/>
          <w:b/>
          <w:sz w:val="28"/>
          <w:szCs w:val="28"/>
        </w:rPr>
      </w:pPr>
      <w:bookmarkStart w:id="11" w:name="_Toc191457438"/>
      <w:r>
        <w:rPr>
          <w:rFonts w:ascii="Times New Roman" w:hAnsi="Times New Roman"/>
          <w:b/>
          <w:sz w:val="28"/>
          <w:szCs w:val="28"/>
        </w:rPr>
        <w:t>Таблица 3. Параметры и качество оказываемых услуг</w:t>
      </w:r>
      <w:bookmarkEnd w:id="11"/>
    </w:p>
    <w:tbl>
      <w:tblPr>
        <w:tblW w:w="14864" w:type="dxa"/>
        <w:jc w:val="left"/>
        <w:tblInd w:w="15" w:type="dxa"/>
        <w:tblLayout w:type="fixed"/>
        <w:tblCellMar>
          <w:top w:w="57" w:type="dxa"/>
          <w:left w:w="57" w:type="dxa"/>
          <w:bottom w:w="57" w:type="dxa"/>
          <w:right w:w="57" w:type="dxa"/>
        </w:tblCellMar>
        <w:tblLook w:val="0620" w:noHBand="1" w:noVBand="1" w:firstColumn="0" w:lastRow="0" w:lastColumn="0" w:firstRow="1"/>
      </w:tblPr>
      <w:tblGrid>
        <w:gridCol w:w="912"/>
        <w:gridCol w:w="3773"/>
        <w:gridCol w:w="1810"/>
        <w:gridCol w:w="8368"/>
      </w:tblGrid>
      <w:tr>
        <w:trPr>
          <w:tblHeader w:val="true"/>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 xml:space="preserve">№ </w:t>
            </w:r>
            <w:r>
              <w:rPr>
                <w:rFonts w:eastAsia="Calibri" w:cs="Times New Roman" w:ascii="Times New Roman" w:hAnsi="Times New Roman"/>
                <w:sz w:val="24"/>
              </w:rPr>
              <w:t>п/п</w:t>
            </w:r>
          </w:p>
        </w:tc>
        <w:tc>
          <w:tcPr>
            <w:tcW w:w="37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Наименование параметра</w:t>
            </w:r>
          </w:p>
        </w:tc>
        <w:tc>
          <w:tcPr>
            <w:tcW w:w="18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Единица измерения</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Количество/значение</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w:t>
            </w:r>
          </w:p>
        </w:tc>
        <w:tc>
          <w:tcPr>
            <w:tcW w:w="1395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Требования к оказанию услуг </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w:t>
            </w:r>
          </w:p>
        </w:tc>
        <w:tc>
          <w:tcPr>
            <w:tcW w:w="1395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Общие требования к оказанию услуг </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1.1.1.</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Интерфейсы подключение оборудования Заказчика к оборудованию исполнителя</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В соответствие со стандартом IEEE 802.3 (спецификация 100Base-T/100Base-X)</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1.1.2.</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Технологии и протоколы для организации сети </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sz w:val="24"/>
                <w:szCs w:val="24"/>
              </w:rPr>
            </w:pPr>
            <w:r>
              <w:rPr>
                <w:rFonts w:eastAsia="Calibri" w:cs="Times New Roman" w:ascii="Times New Roman" w:hAnsi="Times New Roman"/>
                <w:sz w:val="24"/>
                <w:szCs w:val="24"/>
              </w:rPr>
              <w:t>Технология IP VPN</w:t>
            </w:r>
          </w:p>
          <w:p>
            <w:pPr>
              <w:pStyle w:val="Normal"/>
              <w:widowControl w:val="false"/>
              <w:spacing w:lineRule="auto" w:line="240" w:before="0" w:after="0"/>
              <w:rPr>
                <w:rFonts w:ascii="Times New Roman" w:hAnsi="Times New Roman"/>
                <w:sz w:val="24"/>
                <w:szCs w:val="24"/>
              </w:rPr>
            </w:pPr>
            <w:r>
              <w:rPr>
                <w:rFonts w:eastAsia="Times New Roman" w:cs="Times New Roman" w:ascii="Times New Roman" w:hAnsi="Times New Roman"/>
                <w:sz w:val="24"/>
                <w:szCs w:val="24"/>
                <w:lang w:eastAsia="ru-RU"/>
              </w:rPr>
              <w:t>Поддержка стандарта IEEE 802.1Q со стороны заказчика (Поддержка VLAN)</w:t>
            </w:r>
          </w:p>
          <w:p>
            <w:pPr>
              <w:pStyle w:val="Normal"/>
              <w:widowControl w:val="false"/>
              <w:spacing w:lineRule="auto" w:line="240" w:before="0" w:after="0"/>
              <w:rPr>
                <w:rFonts w:ascii="Times New Roman" w:hAnsi="Times New Roman"/>
                <w:sz w:val="24"/>
                <w:szCs w:val="24"/>
              </w:rPr>
            </w:pPr>
            <w:r>
              <w:rPr>
                <w:rFonts w:eastAsia="Times New Roman" w:cs="Times New Roman" w:ascii="Times New Roman" w:hAnsi="Times New Roman"/>
                <w:sz w:val="24"/>
                <w:szCs w:val="24"/>
                <w:lang w:eastAsia="ru-RU"/>
              </w:rPr>
              <w:t>Поддержка стандарта 802.1ad (Q-in-Q) cо стороны оператора (Возможность конфигурирования VLANов заказчика внутри VLAN оператора)</w:t>
            </w:r>
            <w:r>
              <w:rPr>
                <w:rFonts w:eastAsia="Calibri" w:cs="Times New Roman" w:ascii="Times New Roman" w:hAnsi="Times New Roman"/>
                <w:sz w:val="24"/>
                <w:szCs w:val="24"/>
              </w:rPr>
              <w:br/>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1.1.3.</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Пропускная способность</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Мб/с</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bookmarkStart w:id="12" w:name="_Toc135143809"/>
            <w:r>
              <w:rPr>
                <w:rFonts w:eastAsia="Calibri" w:cs="Times New Roman" w:ascii="Times New Roman" w:hAnsi="Times New Roman"/>
                <w:sz w:val="24"/>
              </w:rPr>
              <w:t>Прямое соединение сетевого оборудования Заказчика через IP сеть Исполнителя с пропускной способностью</w:t>
            </w:r>
            <w:bookmarkEnd w:id="12"/>
            <w:r>
              <w:rPr>
                <w:rFonts w:eastAsia="Calibri" w:cs="Times New Roman" w:ascii="Times New Roman" w:hAnsi="Times New Roman"/>
                <w:sz w:val="24"/>
              </w:rPr>
              <w:t xml:space="preserve"> в соответствии с Таблицей 1</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1.1.4.</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Симметричная/асимметричная полоса пропускания </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Симметричная полоса пропускания</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1.1.5.</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Объем передаваемого трафика</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МБ</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Без учета и без ограничения объема передаваемого трафика</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1.1.6.</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Среднемесячный процент потерянных пакетов информации для Услуги IP VPN</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&lt; 0,5 </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w:t>
            </w:r>
            <w:r>
              <w:rPr>
                <w:rFonts w:eastAsia="Calibri" w:cs="Times New Roman" w:ascii="Times New Roman" w:hAnsi="Times New Roman"/>
                <w:sz w:val="24"/>
                <w:lang w:val="en-US"/>
              </w:rPr>
              <w:t>7</w:t>
            </w:r>
            <w:r>
              <w:rPr>
                <w:rFonts w:eastAsia="Calibri" w:cs="Times New Roman" w:ascii="Times New Roman" w:hAnsi="Times New Roman"/>
                <w:sz w:val="24"/>
              </w:rPr>
              <w:t>.</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Коэффициент готовности</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Не менее 0,9999</w:t>
            </w:r>
          </w:p>
        </w:tc>
      </w:tr>
      <w:tr>
        <w:trPr>
          <w:cantSplit w:val="true"/>
        </w:trPr>
        <w:tc>
          <w:tcPr>
            <w:tcW w:w="912"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tc>
        <w:tc>
          <w:tcPr>
            <w:tcW w:w="3773" w:type="dxa"/>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Среднее время восстановления</w:t>
            </w:r>
          </w:p>
        </w:tc>
        <w:tc>
          <w:tcPr>
            <w:tcW w:w="1810" w:type="dxa"/>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час</w:t>
            </w:r>
          </w:p>
        </w:tc>
        <w:tc>
          <w:tcPr>
            <w:tcW w:w="836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Не более 0,5 </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1.1.</w:t>
            </w:r>
            <w:r>
              <w:rPr>
                <w:rFonts w:eastAsia="Calibri" w:cs="Times New Roman" w:ascii="Times New Roman" w:hAnsi="Times New Roman"/>
                <w:sz w:val="24"/>
                <w:lang w:val="en-US"/>
              </w:rPr>
              <w:t>8</w:t>
            </w:r>
            <w:r>
              <w:rPr>
                <w:rFonts w:eastAsia="Calibri" w:cs="Times New Roman" w:ascii="Times New Roman" w:hAnsi="Times New Roman"/>
                <w:sz w:val="24"/>
              </w:rPr>
              <w:t>.</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cs="Times New Roman" w:ascii="Times New Roman" w:hAnsi="Times New Roman"/>
                <w:sz w:val="24"/>
              </w:rPr>
              <w:t>Классы обслуживания при передаче трафика</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Исполнитель должен предоставлять не менее 3-х классов обслуживания при передаче трафика между объектами Заказчика:</w:t>
            </w:r>
          </w:p>
          <w:tbl>
            <w:tblPr>
              <w:tblW w:w="5000" w:type="pct"/>
              <w:jc w:val="left"/>
              <w:tblInd w:w="0" w:type="dxa"/>
              <w:tblLayout w:type="fixed"/>
              <w:tblCellMar>
                <w:top w:w="0" w:type="dxa"/>
                <w:left w:w="5" w:type="dxa"/>
                <w:bottom w:w="0" w:type="dxa"/>
                <w:right w:w="5" w:type="dxa"/>
              </w:tblCellMar>
              <w:tblLook w:val="0000" w:noHBand="0" w:noVBand="0" w:firstColumn="0" w:lastRow="0" w:lastColumn="0" w:firstRow="0"/>
            </w:tblPr>
            <w:tblGrid>
              <w:gridCol w:w="1674"/>
              <w:gridCol w:w="1969"/>
              <w:gridCol w:w="2333"/>
              <w:gridCol w:w="2278"/>
            </w:tblGrid>
            <w:tr>
              <w:trPr/>
              <w:tc>
                <w:tcPr>
                  <w:tcW w:w="16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Класс сервиса</w:t>
                  </w:r>
                </w:p>
              </w:tc>
              <w:tc>
                <w:tcPr>
                  <w:tcW w:w="1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Процент потерянных пакетов (PE-to-PE) в среднем за месяц</w:t>
                  </w:r>
                </w:p>
              </w:tc>
              <w:tc>
                <w:tcPr>
                  <w:tcW w:w="23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Односторонние сетевые задержки на наземных каналах (PE-to-PE) в среднем за месяц</w:t>
                  </w:r>
                </w:p>
              </w:tc>
              <w:tc>
                <w:tcPr>
                  <w:tcW w:w="22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Колебания сетевой задержки на наземных каналах (PE-to-PE) (джиттер)</w:t>
                  </w:r>
                </w:p>
              </w:tc>
            </w:tr>
            <w:tr>
              <w:trPr/>
              <w:tc>
                <w:tcPr>
                  <w:tcW w:w="16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eastAsia="Calibri" w:cs="Times New Roman"/>
                    </w:rPr>
                  </w:pPr>
                  <w:r>
                    <w:rPr>
                      <w:rFonts w:eastAsia="Calibri" w:cs="Times New Roman" w:ascii="Times New Roman" w:hAnsi="Times New Roman"/>
                    </w:rPr>
                    <w:t>Business Priority</w:t>
                  </w:r>
                </w:p>
              </w:tc>
              <w:tc>
                <w:tcPr>
                  <w:tcW w:w="1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 0,25%</w:t>
                  </w:r>
                </w:p>
              </w:tc>
              <w:tc>
                <w:tcPr>
                  <w:tcW w:w="23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более75 мсек</w:t>
                  </w:r>
                </w:p>
              </w:tc>
              <w:tc>
                <w:tcPr>
                  <w:tcW w:w="22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 50 мсек</w:t>
                  </w:r>
                </w:p>
              </w:tc>
            </w:tr>
            <w:tr>
              <w:trPr/>
              <w:tc>
                <w:tcPr>
                  <w:tcW w:w="16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eastAsia="Calibri" w:cs="Times New Roman"/>
                    </w:rPr>
                  </w:pPr>
                  <w:r>
                    <w:rPr>
                      <w:rFonts w:eastAsia="Calibri" w:cs="Times New Roman" w:ascii="Times New Roman" w:hAnsi="Times New Roman"/>
                    </w:rPr>
                    <w:t>Business Critical</w:t>
                  </w:r>
                </w:p>
              </w:tc>
              <w:tc>
                <w:tcPr>
                  <w:tcW w:w="1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 0,5%</w:t>
                  </w:r>
                </w:p>
              </w:tc>
              <w:tc>
                <w:tcPr>
                  <w:tcW w:w="23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 100 мсек</w:t>
                  </w:r>
                </w:p>
              </w:tc>
              <w:tc>
                <w:tcPr>
                  <w:tcW w:w="22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нормируется</w:t>
                  </w:r>
                </w:p>
              </w:tc>
            </w:tr>
            <w:tr>
              <w:trPr/>
              <w:tc>
                <w:tcPr>
                  <w:tcW w:w="16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eastAsia="Calibri" w:cs="Times New Roman"/>
                    </w:rPr>
                  </w:pPr>
                  <w:r>
                    <w:rPr>
                      <w:rFonts w:eastAsia="Calibri" w:cs="Times New Roman" w:ascii="Times New Roman" w:hAnsi="Times New Roman"/>
                    </w:rPr>
                    <w:t>Normal Priority</w:t>
                  </w:r>
                </w:p>
              </w:tc>
              <w:tc>
                <w:tcPr>
                  <w:tcW w:w="1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 1%</w:t>
                  </w:r>
                </w:p>
              </w:tc>
              <w:tc>
                <w:tcPr>
                  <w:tcW w:w="23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более 150 мсек</w:t>
                  </w:r>
                </w:p>
              </w:tc>
              <w:tc>
                <w:tcPr>
                  <w:tcW w:w="22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eastAsia="Calibri" w:cs="Times New Roman"/>
                    </w:rPr>
                  </w:pPr>
                  <w:r>
                    <w:rPr>
                      <w:rFonts w:eastAsia="Calibri" w:cs="Times New Roman" w:ascii="Times New Roman" w:hAnsi="Times New Roman"/>
                    </w:rPr>
                    <w:t>не нормируется</w:t>
                  </w:r>
                </w:p>
              </w:tc>
            </w:tr>
          </w:tbl>
          <w:p>
            <w:pPr>
              <w:pStyle w:val="Normal"/>
              <w:widowControl w:val="false"/>
              <w:spacing w:lineRule="auto" w:line="240" w:before="0" w:after="0"/>
              <w:ind w:firstLine="567"/>
              <w:rPr>
                <w:rFonts w:ascii="Times New Roman" w:hAnsi="Times New Roman" w:eastAsia="Calibri" w:cs="Times New Roman"/>
                <w:sz w:val="24"/>
              </w:rPr>
            </w:pPr>
            <w:r>
              <w:rPr>
                <w:rFonts w:eastAsia="Calibri" w:cs="Times New Roman" w:ascii="Times New Roman" w:hAnsi="Times New Roman"/>
                <w:sz w:val="24"/>
              </w:rPr>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1.2.</w:t>
            </w:r>
          </w:p>
        </w:tc>
        <w:tc>
          <w:tcPr>
            <w:tcW w:w="13951"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способам оказания услуг</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1.2.1.</w:t>
            </w:r>
          </w:p>
        </w:tc>
        <w:tc>
          <w:tcPr>
            <w:tcW w:w="37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организации последней мили</w:t>
            </w:r>
          </w:p>
        </w:tc>
        <w:tc>
          <w:tcPr>
            <w:tcW w:w="18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sz w:val="24"/>
                <w:szCs w:val="24"/>
              </w:rPr>
            </w:pPr>
            <w:r>
              <w:rPr>
                <w:rFonts w:ascii="Times New Roman" w:hAnsi="Times New Roman"/>
                <w:sz w:val="24"/>
                <w:szCs w:val="24"/>
              </w:rPr>
              <w:t>Последняя миля не требуется</w:t>
            </w:r>
          </w:p>
        </w:tc>
      </w:tr>
      <w:tr>
        <w:trPr>
          <w:cantSplit w:val="true"/>
        </w:trPr>
        <w:tc>
          <w:tcPr>
            <w:tcW w:w="912"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1.2.</w:t>
            </w:r>
            <w:r>
              <w:rPr>
                <w:rFonts w:eastAsia="Calibri" w:cs="Times New Roman" w:ascii="Times New Roman" w:hAnsi="Times New Roman"/>
                <w:sz w:val="24"/>
                <w:lang w:val="en-US"/>
              </w:rPr>
              <w:t>2</w:t>
            </w:r>
            <w:r>
              <w:rPr>
                <w:rFonts w:eastAsia="Calibri" w:cs="Times New Roman" w:ascii="Times New Roman" w:hAnsi="Times New Roman"/>
                <w:sz w:val="24"/>
              </w:rPr>
              <w:t>.</w:t>
            </w:r>
          </w:p>
        </w:tc>
        <w:tc>
          <w:tcPr>
            <w:tcW w:w="3773" w:type="dxa"/>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организации маршрута прохождения линий связи</w:t>
            </w:r>
          </w:p>
        </w:tc>
        <w:tc>
          <w:tcPr>
            <w:tcW w:w="1810" w:type="dxa"/>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w:t>
            </w:r>
          </w:p>
        </w:tc>
        <w:tc>
          <w:tcPr>
            <w:tcW w:w="8368" w:type="dxa"/>
            <w:tcBorders>
              <w:left w:val="single" w:sz="4" w:space="0" w:color="000000"/>
              <w:bottom w:val="single" w:sz="4" w:space="0" w:color="000000"/>
              <w:right w:val="single" w:sz="4" w:space="0" w:color="000000"/>
            </w:tcBorders>
          </w:tcPr>
          <w:p>
            <w:pPr>
              <w:pStyle w:val="Normal"/>
              <w:widowControl w:val="false"/>
              <w:spacing w:lineRule="auto" w:line="240" w:before="0" w:after="0"/>
              <w:rPr/>
            </w:pPr>
            <w:r>
              <w:rPr>
                <w:rFonts w:cs="Times New Roman" w:ascii="Times New Roman" w:hAnsi="Times New Roman"/>
                <w:sz w:val="24"/>
              </w:rPr>
              <w:t>Маршрут прохождения последней мили до территории объектов Заказчика не должен совпадать с маршрутом существующего подключения</w:t>
            </w:r>
          </w:p>
        </w:tc>
      </w:tr>
      <w:tr>
        <w:trPr>
          <w:cantSplit w:val="true"/>
        </w:trPr>
        <w:tc>
          <w:tcPr>
            <w:tcW w:w="912"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lang w:val="en-US"/>
              </w:rPr>
            </w:pPr>
            <w:r>
              <w:rPr>
                <w:rFonts w:eastAsia="Calibri" w:cs="Times New Roman" w:ascii="Times New Roman" w:hAnsi="Times New Roman"/>
                <w:sz w:val="24"/>
              </w:rPr>
              <w:t>1.2.</w:t>
            </w:r>
            <w:r>
              <w:rPr>
                <w:rFonts w:eastAsia="Calibri" w:cs="Times New Roman" w:ascii="Times New Roman" w:hAnsi="Times New Roman"/>
                <w:sz w:val="24"/>
                <w:lang w:val="en-US"/>
              </w:rPr>
              <w:t>3</w:t>
            </w:r>
          </w:p>
        </w:tc>
        <w:tc>
          <w:tcPr>
            <w:tcW w:w="3773" w:type="dxa"/>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cs="Times New Roman" w:ascii="Times New Roman" w:hAnsi="Times New Roman"/>
                <w:sz w:val="24"/>
              </w:rPr>
              <w:t>Прозрачное прохождение тегированного трафика Заказчика по сети Исполнителя</w:t>
            </w:r>
          </w:p>
        </w:tc>
        <w:tc>
          <w:tcPr>
            <w:tcW w:w="1810" w:type="dxa"/>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pPr>
            <w:r>
              <w:rPr>
                <w:rFonts w:eastAsia="Calibri" w:cs="Times New Roman" w:ascii="Times New Roman" w:hAnsi="Times New Roman"/>
                <w:sz w:val="24"/>
              </w:rPr>
              <w:t xml:space="preserve"> </w:t>
            </w:r>
            <w:r>
              <w:rPr>
                <w:rFonts w:eastAsia="Calibri" w:cs="Times New Roman" w:ascii="Times New Roman" w:hAnsi="Times New Roman"/>
                <w:sz w:val="24"/>
              </w:rPr>
              <w:t xml:space="preserve">- </w:t>
            </w:r>
          </w:p>
        </w:tc>
        <w:tc>
          <w:tcPr>
            <w:tcW w:w="8368" w:type="dxa"/>
            <w:tcBorders>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Соответствие</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w:t>
            </w:r>
          </w:p>
        </w:tc>
        <w:tc>
          <w:tcPr>
            <w:tcW w:w="55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процедурам оказания услуг</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1.3.1.</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Режим предоставления услуг</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78" w:leader="none"/>
              </w:tabs>
              <w:spacing w:lineRule="auto" w:line="240" w:before="0" w:after="0"/>
              <w:jc w:val="center"/>
              <w:rPr/>
            </w:pPr>
            <w:r>
              <w:rPr>
                <w:rFonts w:eastAsia="Calibri" w:cs="Times New Roman" w:ascii="Times New Roman" w:hAnsi="Times New Roman"/>
                <w:sz w:val="24"/>
              </w:rPr>
              <w:t>График</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78"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t>Услуги должны оказываться круглосуточно, в режиме 24х7х365</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1.3.2.</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Режим предоставление технической поддержки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График</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Предоставление технической поддержки в режиме 24х7х365. Служба технической поддержки Исполнителя должна принять круглосуточно сведения от Заказчика об ухудшении качества Услуг и незамедлительно принять меры по устранению причин ухудшения качества Услуг, взаимодействуя с Заказчиком. Исполнитель незамедлительно информирует Заказчика о возникновении аварийных ситуаций, их причинах и ориентировочном времени из устранения</w:t>
            </w:r>
          </w:p>
        </w:tc>
      </w:tr>
      <w:tr>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1.3.3.</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 xml:space="preserve">Устранение неисправностей </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при обнаружении Исполнителем снижения объема или качества оказываемых Заказчику Услуг, включая нарушение предусмотренных данными техническими требованиями технических норм (далее – нарушения), Исполнитель незамедлительно должен зарегистрировать инцидент и информировать об этом Заказчика, а также принять все возможные меры по ликвидации нарушений;</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Исполнитель, при наличии технической возможности, должен обеспечить переключение на резервные каналы или линии связи на весь период проведения восстановительных работ;</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в случае выявления персоналом Заказчика снижения объема или качества оказываемых Исполнителем филиалу Заказчика Услуг, включая нарушение предусмотренных данным техническим заданием технических норм, он информирует Исполнителя об инциденте по телефону «горячей линии», предоставленной Исполнителем, либо по электронной почте;</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Исполнитель незамедлительно должен зарегистрировать заявку и сообщить филиалу Заказчика номер зарегистрированного инцидента, время регистрации и формулировку инцидента в журнале регистрации;</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в ходе устранения неисправности, возникшей в зоне ответственности Исполнителя, Исполнитель должен периодически информировать персонал Заказчика о характере неисправности, принятых мерах по устранению нарушений, ориентировочных сроках окончания работ;</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по окончании работ Исполнитель должен проинформировать Заказчика о полном окончании восстановительных работ и выявленных причинах нарушений;</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персонал Заказчика после проверки факта устранения нарушений сообщает по «горячей линии» Исполнителя об отсутствии или наличии претензий к объему и качеству услуг, качеству обслуживания персоналом Исполнителя;</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нарушение считается устраненным, когда устранены причины и последствия нарушения, восстановлен объем и качество оказываемых услуг, все каналы и линии соответствуют техническим нормам, приведенным в пунктах данного технического требования;</w:t>
            </w:r>
          </w:p>
          <w:p>
            <w:pPr>
              <w:pStyle w:val="Normal"/>
              <w:widowControl w:val="false"/>
              <w:numPr>
                <w:ilvl w:val="0"/>
                <w:numId w:val="3"/>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инцидент считается исчерпанным и должен быть закрыт, когда устранены все выявленные нарушения, персонал Заказчика сообщил по «горячей линии» Исполнителя об отсутствии претензий к услугам Исполнителя, а также оформлены все документы, предусмотренные договором и данными техническими требованиями</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1.3.4.</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Исполнитель должен обеспечить устранение проблем со следующими приоритетами:</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1.3.4.1.</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Первый приоритет (авария)</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час</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t>&lt; 0,5</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1.3.4.2.</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Второй приоритет (предаварийное состояние)</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час</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t>&lt; 1</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1.3.4.3.</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Третий приоритет (любые систематически возникающие проблемы, не приводящие к прерыванию предоставления Услуги, но влияющие на параметры качества сервиса (QoS))</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час</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t>&lt; 20</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1.3.4.4.</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Четвертый приоритет (любые обращения Заказчика, связанные с предоставлением Услуги, за исключением обращений по проблемам первого, второго и третьего приоритетов)</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час</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t>&lt; 72</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1.3.5.</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Плановое техническое обслуживание</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lineRule="auto" w:line="240" w:before="0" w:after="0"/>
              <w:jc w:val="center"/>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во время планового технического обслуживания все случаи отсутствия Услуги и ухудшения качества предоставления Услуги не должны учитываться Заказчиком при условии, что Заказчик был предупрежден заранее Исполнителем о перерыве в оказании Услуг, не менее чем за 7 (семь) рабочих дней;</w:t>
            </w:r>
          </w:p>
          <w:p>
            <w:pPr>
              <w:pStyle w:val="Normal"/>
              <w:widowControl w:val="false"/>
              <w:numPr>
                <w:ilvl w:val="0"/>
                <w:numId w:val="4"/>
              </w:numPr>
              <w:spacing w:lineRule="auto" w:line="240" w:before="0" w:after="0"/>
              <w:ind w:left="0" w:firstLine="567"/>
              <w:jc w:val="both"/>
              <w:rPr/>
            </w:pPr>
            <w:r>
              <w:rPr>
                <w:rFonts w:eastAsia="Calibri" w:cs="Times New Roman" w:ascii="Times New Roman" w:hAnsi="Times New Roman"/>
                <w:sz w:val="24"/>
              </w:rPr>
              <w:t>сумм</w:t>
            </w:r>
            <w:r>
              <w:rPr>
                <w:rFonts w:cs="Times New Roman" w:ascii="Times New Roman" w:hAnsi="Times New Roman"/>
                <w:sz w:val="24"/>
              </w:rPr>
              <w:t>арное время перерывов сервиса для планового технического обслуживания не должно превышать для одной Услуги (канала связи) 8 (Восьми) часов в течение 1 (одного) года;</w:t>
            </w:r>
          </w:p>
          <w:p>
            <w:pPr>
              <w:pStyle w:val="Normal"/>
              <w:widowControl w:val="false"/>
              <w:numPr>
                <w:ilvl w:val="0"/>
                <w:numId w:val="4"/>
              </w:numPr>
              <w:spacing w:lineRule="auto" w:line="240" w:before="0" w:after="0"/>
              <w:ind w:left="0" w:firstLine="567"/>
              <w:jc w:val="both"/>
              <w:rPr>
                <w:rFonts w:ascii="Times New Roman" w:hAnsi="Times New Roman" w:eastAsia="Calibri" w:cs="Times New Roman"/>
                <w:sz w:val="24"/>
              </w:rPr>
            </w:pPr>
            <w:r>
              <w:rPr>
                <w:rFonts w:eastAsia="Calibri" w:cs="Times New Roman" w:ascii="Times New Roman" w:hAnsi="Times New Roman"/>
                <w:sz w:val="24"/>
              </w:rPr>
              <w:t>при необходимости проведения плановых работ на оборудовании Исполнителя, связанных со снижением объема или качества оказываемых Заказчику Услуг, Исполнитель обязан согласовать с Заказчиком сроки проведения указанных работ не позднее, чем за 10 (десять) рабочих дней, если иное не предусмотрено условиями Бланка Заказа на Услуги. При наличии технической возможности Исполнитель должен обеспечить переключение Услуг, оказываемых Заказчику, на резервные каналы или линии связи на весь период проведения плановых работ</w:t>
            </w:r>
          </w:p>
          <w:p>
            <w:pPr>
              <w:pStyle w:val="Normal"/>
              <w:widowControl w:val="false"/>
              <w:tabs>
                <w:tab w:val="clear" w:pos="708"/>
                <w:tab w:val="left" w:pos="426" w:leader="none"/>
              </w:tabs>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2.</w:t>
            </w:r>
          </w:p>
        </w:tc>
        <w:tc>
          <w:tcPr>
            <w:tcW w:w="1395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ответственности и гарантиям исполнителя</w:t>
            </w:r>
          </w:p>
        </w:tc>
      </w:tr>
      <w:tr>
        <w:trPr>
          <w:cantSplit w:val="true"/>
        </w:trPr>
        <w:tc>
          <w:tcPr>
            <w:tcW w:w="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2.1.</w:t>
            </w:r>
          </w:p>
        </w:tc>
        <w:tc>
          <w:tcPr>
            <w:tcW w:w="37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t>Требования к соблюдению Правил безопасности на объектах Заказчика</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cs="Times New Roman"/>
                <w:sz w:val="24"/>
              </w:rPr>
            </w:pPr>
            <w:r>
              <w:rPr>
                <w:rFonts w:eastAsia="Calibri" w:cs="Times New Roman" w:ascii="Times New Roman" w:hAnsi="Times New Roman"/>
                <w:sz w:val="24"/>
              </w:rPr>
              <w:t>-</w:t>
            </w:r>
          </w:p>
        </w:tc>
        <w:tc>
          <w:tcPr>
            <w:tcW w:w="83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firstLine="567"/>
              <w:jc w:val="both"/>
              <w:rPr>
                <w:rFonts w:ascii="Times New Roman" w:hAnsi="Times New Roman" w:eastAsia="Calibri" w:cs="Times New Roman"/>
                <w:sz w:val="24"/>
              </w:rPr>
            </w:pPr>
            <w:r>
              <w:rPr>
                <w:rFonts w:eastAsia="Calibri" w:cs="Times New Roman" w:ascii="Times New Roman" w:hAnsi="Times New Roman"/>
                <w:sz w:val="24"/>
              </w:rPr>
              <w:t>При проведении работ по организации каналов связи, работ на оборудовании Исполнителя и Заказчика Исполнитель обеспечивает соблюдение своим персоналом, либо персоналом субподрядчика, правил внутреннего распорядка предприятия, правил охраны труда, правил противопожарного режима (безопасности).</w:t>
            </w:r>
          </w:p>
          <w:p>
            <w:pPr>
              <w:pStyle w:val="Normal"/>
              <w:widowControl w:val="false"/>
              <w:spacing w:lineRule="auto" w:line="240" w:before="0" w:after="0"/>
              <w:ind w:firstLine="567"/>
              <w:jc w:val="both"/>
              <w:rPr>
                <w:rFonts w:ascii="Times New Roman" w:hAnsi="Times New Roman" w:eastAsia="Calibri" w:cs="Times New Roman"/>
                <w:sz w:val="24"/>
              </w:rPr>
            </w:pPr>
            <w:r>
              <w:rPr>
                <w:rFonts w:eastAsia="Calibri" w:cs="Times New Roman" w:ascii="Times New Roman" w:hAnsi="Times New Roman"/>
                <w:sz w:val="24"/>
              </w:rPr>
              <w:t>Исполнитель несет ответственность за причиненные его персоналом, либо персоналом субподрядчика, убытки, связанные с конфликтами, нарушением дисциплины, нарушением правил охраны труда, правил противопожарного режима (безопасности)</w:t>
            </w:r>
          </w:p>
          <w:p>
            <w:pPr>
              <w:pStyle w:val="Normal"/>
              <w:widowControl w:val="false"/>
              <w:spacing w:lineRule="auto" w:line="240" w:before="0" w:after="0"/>
              <w:rPr>
                <w:rFonts w:ascii="Times New Roman" w:hAnsi="Times New Roman" w:eastAsia="Calibri" w:cs="Times New Roman"/>
                <w:sz w:val="24"/>
              </w:rPr>
            </w:pPr>
            <w:r>
              <w:rPr>
                <w:rFonts w:eastAsia="Calibri" w:cs="Times New Roman" w:ascii="Times New Roman" w:hAnsi="Times New Roman"/>
                <w:sz w:val="24"/>
              </w:rPr>
            </w:r>
          </w:p>
        </w:tc>
      </w:tr>
    </w:tbl>
    <w:p>
      <w:pPr>
        <w:sectPr>
          <w:headerReference w:type="default" r:id="rId3"/>
          <w:headerReference w:type="first" r:id="rId4"/>
          <w:type w:val="nextPage"/>
          <w:pgSz w:orient="landscape" w:w="16838" w:h="11906"/>
          <w:pgMar w:left="1134" w:right="1134" w:gutter="0" w:header="709" w:top="1701" w:footer="0" w:bottom="991"/>
          <w:pgNumType w:fmt="decimal"/>
          <w:formProt w:val="false"/>
          <w:titlePg/>
          <w:textDirection w:val="lrTb"/>
          <w:docGrid w:type="default" w:linePitch="360" w:charSpace="16384"/>
        </w:sectPr>
      </w:pPr>
    </w:p>
    <w:p>
      <w:pPr>
        <w:pStyle w:val="Heading2"/>
        <w:numPr>
          <w:ilvl w:val="0"/>
          <w:numId w:val="0"/>
        </w:numPr>
        <w:spacing w:lineRule="auto" w:line="276" w:before="240" w:after="120"/>
        <w:ind w:left="357" w:hanging="0"/>
        <w:rPr>
          <w:rFonts w:ascii="Times New Roman" w:hAnsi="Times New Roman"/>
          <w:b/>
          <w:sz w:val="28"/>
          <w:szCs w:val="28"/>
        </w:rPr>
      </w:pPr>
      <w:bookmarkStart w:id="13" w:name="_Toc191457439"/>
      <w:r>
        <w:rPr>
          <w:rFonts w:ascii="Times New Roman" w:hAnsi="Times New Roman"/>
          <w:b/>
          <w:sz w:val="28"/>
          <w:szCs w:val="28"/>
        </w:rPr>
        <w:t xml:space="preserve">Таблица </w:t>
      </w:r>
      <w:r>
        <w:rPr>
          <w:rFonts w:ascii="Times New Roman" w:hAnsi="Times New Roman"/>
          <w:b/>
          <w:sz w:val="28"/>
          <w:szCs w:val="28"/>
          <w:lang w:val="en-US"/>
        </w:rPr>
        <w:t>4</w:t>
      </w:r>
      <w:r>
        <w:rPr>
          <w:rFonts w:ascii="Times New Roman" w:hAnsi="Times New Roman"/>
          <w:b/>
          <w:sz w:val="28"/>
          <w:szCs w:val="28"/>
        </w:rPr>
        <w:t>. Требования к исполнителю</w:t>
      </w:r>
      <w:bookmarkEnd w:id="13"/>
    </w:p>
    <w:tbl>
      <w:tblPr>
        <w:tblStyle w:val="affe"/>
        <w:tblW w:w="9640" w:type="dxa"/>
        <w:jc w:val="left"/>
        <w:tblInd w:w="-289" w:type="dxa"/>
        <w:tblLayout w:type="fixed"/>
        <w:tblCellMar>
          <w:top w:w="0" w:type="dxa"/>
          <w:left w:w="108" w:type="dxa"/>
          <w:bottom w:w="0" w:type="dxa"/>
          <w:right w:w="108" w:type="dxa"/>
        </w:tblCellMar>
        <w:tblLook w:val="04a0" w:noHBand="0" w:noVBand="1" w:firstColumn="1" w:lastRow="0" w:lastColumn="0" w:firstRow="1"/>
      </w:tblPr>
      <w:tblGrid>
        <w:gridCol w:w="689"/>
        <w:gridCol w:w="5684"/>
        <w:gridCol w:w="1704"/>
        <w:gridCol w:w="1562"/>
      </w:tblGrid>
      <w:tr>
        <w:trPr/>
        <w:tc>
          <w:tcPr>
            <w:tcW w:w="689"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w:t>
            </w:r>
          </w:p>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п/п</w:t>
            </w:r>
          </w:p>
        </w:tc>
        <w:tc>
          <w:tcPr>
            <w:tcW w:w="5684"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Характеристики услуг</w:t>
            </w:r>
          </w:p>
        </w:tc>
        <w:tc>
          <w:tcPr>
            <w:tcW w:w="1704"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Единица измерения</w:t>
            </w:r>
          </w:p>
        </w:tc>
        <w:tc>
          <w:tcPr>
            <w:tcW w:w="1562"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Количество/</w:t>
            </w:r>
          </w:p>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значение</w:t>
            </w:r>
          </w:p>
        </w:tc>
      </w:tr>
      <w:tr>
        <w:trPr/>
        <w:tc>
          <w:tcPr>
            <w:tcW w:w="689" w:type="dxa"/>
            <w:tcBorders/>
          </w:tcPr>
          <w:p>
            <w:pPr>
              <w:pStyle w:val="Normal"/>
              <w:widowControl w:val="false"/>
              <w:suppressAutoHyphens w:val="true"/>
              <w:spacing w:lineRule="auto" w:line="240" w:before="0" w:after="0"/>
              <w:jc w:val="center"/>
              <w:rPr>
                <w:rFonts w:ascii="Times New Roman" w:hAnsi="Times New Roman" w:eastAsia="Calibri" w:cs="Times New Roman"/>
              </w:rPr>
            </w:pPr>
            <w:bookmarkStart w:id="14" w:name="_Toc135143841"/>
            <w:r>
              <w:rPr>
                <w:rFonts w:eastAsia="Calibri" w:cs="Times New Roman" w:ascii="Times New Roman" w:hAnsi="Times New Roman"/>
                <w:kern w:val="0"/>
                <w:sz w:val="24"/>
                <w:szCs w:val="24"/>
                <w:lang w:val="ru-RU" w:eastAsia="ru-RU" w:bidi="ar-SA"/>
              </w:rPr>
              <w:t>1.</w:t>
            </w:r>
            <w:bookmarkEnd w:id="14"/>
          </w:p>
        </w:tc>
        <w:tc>
          <w:tcPr>
            <w:tcW w:w="5684" w:type="dxa"/>
            <w:tcBorders/>
          </w:tcPr>
          <w:p>
            <w:pPr>
              <w:pStyle w:val="Normal"/>
              <w:widowControl w:val="false"/>
              <w:suppressAutoHyphens w:val="true"/>
              <w:spacing w:lineRule="auto" w:line="240" w:before="0" w:after="0"/>
              <w:jc w:val="left"/>
              <w:rPr>
                <w:rFonts w:ascii="Times New Roman" w:hAnsi="Times New Roman" w:eastAsia="Calibri" w:cs="Times New Roman"/>
              </w:rPr>
            </w:pPr>
            <w:bookmarkStart w:id="15" w:name="_Toc135143842"/>
            <w:r>
              <w:rPr>
                <w:rFonts w:eastAsia="Calibri" w:cs="Times New Roman" w:ascii="Times New Roman" w:hAnsi="Times New Roman"/>
                <w:kern w:val="0"/>
                <w:sz w:val="24"/>
                <w:szCs w:val="24"/>
                <w:lang w:val="ru-RU" w:eastAsia="ru-RU" w:bidi="ar-SA"/>
              </w:rPr>
              <w:t>Опыт предоставления услуг связи не менее</w:t>
            </w:r>
            <w:bookmarkEnd w:id="15"/>
            <w:r>
              <w:rPr>
                <w:rFonts w:eastAsia="Calibri" w:cs="Times New Roman" w:ascii="Times New Roman" w:hAnsi="Times New Roman"/>
                <w:kern w:val="0"/>
                <w:sz w:val="24"/>
                <w:szCs w:val="24"/>
                <w:lang w:val="ru-RU" w:eastAsia="ru-RU" w:bidi="ar-SA"/>
              </w:rPr>
              <w:t xml:space="preserve"> </w:t>
            </w:r>
          </w:p>
        </w:tc>
        <w:tc>
          <w:tcPr>
            <w:tcW w:w="1704" w:type="dxa"/>
            <w:tcBorders/>
          </w:tcPr>
          <w:p>
            <w:pPr>
              <w:pStyle w:val="Normal"/>
              <w:widowControl w:val="false"/>
              <w:suppressAutoHyphens w:val="true"/>
              <w:spacing w:lineRule="auto" w:line="240" w:before="0" w:after="0"/>
              <w:jc w:val="center"/>
              <w:rPr>
                <w:rFonts w:ascii="Times New Roman" w:hAnsi="Times New Roman" w:eastAsia="Calibri" w:cs="Times New Roman"/>
              </w:rPr>
            </w:pPr>
            <w:bookmarkStart w:id="16" w:name="_Toc135143843"/>
            <w:r>
              <w:rPr>
                <w:rFonts w:eastAsia="Calibri" w:cs="Times New Roman" w:ascii="Times New Roman" w:hAnsi="Times New Roman"/>
                <w:kern w:val="0"/>
                <w:sz w:val="24"/>
                <w:szCs w:val="24"/>
                <w:lang w:val="ru-RU" w:eastAsia="ru-RU" w:bidi="ar-SA"/>
              </w:rPr>
              <w:t>год</w:t>
            </w:r>
            <w:bookmarkEnd w:id="16"/>
          </w:p>
        </w:tc>
        <w:tc>
          <w:tcPr>
            <w:tcW w:w="1562" w:type="dxa"/>
            <w:tcBorders/>
          </w:tcPr>
          <w:p>
            <w:pPr>
              <w:pStyle w:val="Normal"/>
              <w:widowControl w:val="false"/>
              <w:suppressAutoHyphens w:val="true"/>
              <w:spacing w:lineRule="auto" w:line="240" w:before="0" w:after="0"/>
              <w:jc w:val="center"/>
              <w:rPr>
                <w:rFonts w:ascii="Times New Roman" w:hAnsi="Times New Roman" w:eastAsia="Calibri" w:cs="Times New Roman"/>
              </w:rPr>
            </w:pPr>
            <w:bookmarkStart w:id="17" w:name="_Toc135143844"/>
            <w:r>
              <w:rPr>
                <w:rFonts w:eastAsia="Calibri" w:cs="Times New Roman" w:ascii="Times New Roman" w:hAnsi="Times New Roman"/>
                <w:kern w:val="0"/>
                <w:sz w:val="24"/>
                <w:szCs w:val="24"/>
                <w:lang w:val="ru-RU" w:eastAsia="ru-RU" w:bidi="ar-SA"/>
              </w:rPr>
              <w:t>не менее 3</w:t>
            </w:r>
            <w:bookmarkEnd w:id="17"/>
          </w:p>
        </w:tc>
      </w:tr>
      <w:tr>
        <w:trPr/>
        <w:tc>
          <w:tcPr>
            <w:tcW w:w="689" w:type="dxa"/>
            <w:tcBorders/>
          </w:tcPr>
          <w:p>
            <w:pPr>
              <w:pStyle w:val="Normal"/>
              <w:widowControl w:val="false"/>
              <w:suppressAutoHyphens w:val="true"/>
              <w:spacing w:lineRule="auto" w:line="240" w:before="0" w:after="0"/>
              <w:jc w:val="center"/>
              <w:rPr>
                <w:rFonts w:ascii="Times New Roman" w:hAnsi="Times New Roman" w:eastAsia="Calibri" w:cs="Times New Roman"/>
              </w:rPr>
            </w:pPr>
            <w:bookmarkStart w:id="18" w:name="_Toc135143845"/>
            <w:r>
              <w:rPr>
                <w:rFonts w:eastAsia="Calibri" w:cs="Times New Roman" w:ascii="Times New Roman" w:hAnsi="Times New Roman"/>
                <w:kern w:val="0"/>
                <w:sz w:val="24"/>
                <w:szCs w:val="24"/>
                <w:lang w:val="ru-RU" w:eastAsia="ru-RU" w:bidi="ar-SA"/>
              </w:rPr>
              <w:t>2.</w:t>
            </w:r>
            <w:bookmarkEnd w:id="18"/>
          </w:p>
        </w:tc>
        <w:tc>
          <w:tcPr>
            <w:tcW w:w="5684" w:type="dxa"/>
            <w:tcBorders/>
          </w:tcPr>
          <w:p>
            <w:pPr>
              <w:pStyle w:val="Normal"/>
              <w:widowControl w:val="false"/>
              <w:suppressAutoHyphens w:val="true"/>
              <w:spacing w:lineRule="auto" w:line="240" w:before="0" w:after="0"/>
              <w:jc w:val="left"/>
              <w:rPr>
                <w:rFonts w:ascii="Times New Roman" w:hAnsi="Times New Roman" w:eastAsia="Calibri" w:cs="Times New Roman"/>
              </w:rPr>
            </w:pPr>
            <w:bookmarkStart w:id="19" w:name="_Toc135143846"/>
            <w:r>
              <w:rPr>
                <w:rFonts w:eastAsia="Calibri" w:cs="Times New Roman" w:ascii="Times New Roman" w:hAnsi="Times New Roman"/>
                <w:kern w:val="0"/>
                <w:sz w:val="24"/>
                <w:szCs w:val="24"/>
                <w:lang w:val="ru-RU" w:eastAsia="ru-RU" w:bidi="ar-SA"/>
              </w:rPr>
              <w:t>Наличие собственного оборудования Исполнителя по адресу подключения услуги</w:t>
            </w:r>
            <w:bookmarkEnd w:id="19"/>
          </w:p>
        </w:tc>
        <w:tc>
          <w:tcPr>
            <w:tcW w:w="1704"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 xml:space="preserve"> </w:t>
            </w:r>
            <w:bookmarkStart w:id="20" w:name="_Toc135143847"/>
            <w:r>
              <w:rPr>
                <w:rFonts w:eastAsia="Calibri" w:cs="Times New Roman" w:ascii="Times New Roman" w:hAnsi="Times New Roman"/>
                <w:kern w:val="0"/>
                <w:sz w:val="24"/>
                <w:szCs w:val="24"/>
                <w:lang w:val="ru-RU" w:eastAsia="ru-RU" w:bidi="ar-SA"/>
              </w:rPr>
              <w:t>-</w:t>
            </w:r>
            <w:bookmarkEnd w:id="20"/>
            <w:r>
              <w:rPr>
                <w:rFonts w:eastAsia="Calibri" w:cs="Times New Roman" w:ascii="Times New Roman" w:hAnsi="Times New Roman"/>
                <w:kern w:val="0"/>
                <w:sz w:val="24"/>
                <w:szCs w:val="24"/>
                <w:lang w:val="ru-RU" w:eastAsia="ru-RU" w:bidi="ar-SA"/>
              </w:rPr>
              <w:t xml:space="preserve"> </w:t>
            </w:r>
          </w:p>
        </w:tc>
        <w:tc>
          <w:tcPr>
            <w:tcW w:w="1562" w:type="dxa"/>
            <w:tcBorders/>
          </w:tcPr>
          <w:p>
            <w:pPr>
              <w:pStyle w:val="Normal"/>
              <w:widowControl w:val="false"/>
              <w:suppressAutoHyphens w:val="true"/>
              <w:spacing w:lineRule="auto" w:line="240" w:before="0" w:after="0"/>
              <w:jc w:val="center"/>
              <w:rPr>
                <w:rFonts w:ascii="Times New Roman" w:hAnsi="Times New Roman" w:eastAsia="Calibri" w:cs="Times New Roman"/>
              </w:rPr>
            </w:pPr>
            <w:bookmarkStart w:id="21" w:name="_Toc135143848"/>
            <w:r>
              <w:rPr>
                <w:rFonts w:eastAsia="Calibri" w:cs="Times New Roman" w:ascii="Times New Roman" w:hAnsi="Times New Roman"/>
                <w:kern w:val="0"/>
                <w:sz w:val="24"/>
                <w:szCs w:val="24"/>
                <w:lang w:val="ru-RU" w:eastAsia="ru-RU" w:bidi="ar-SA"/>
              </w:rPr>
              <w:t>Наличие</w:t>
            </w:r>
            <w:bookmarkEnd w:id="21"/>
          </w:p>
        </w:tc>
      </w:tr>
      <w:tr>
        <w:trPr/>
        <w:tc>
          <w:tcPr>
            <w:tcW w:w="689" w:type="dxa"/>
            <w:tcBorders/>
          </w:tcPr>
          <w:p>
            <w:pPr>
              <w:pStyle w:val="Normal"/>
              <w:widowControl w:val="false"/>
              <w:suppressAutoHyphens w:val="true"/>
              <w:spacing w:lineRule="auto" w:line="240" w:before="0" w:after="0"/>
              <w:jc w:val="center"/>
              <w:rPr>
                <w:rFonts w:ascii="Times New Roman" w:hAnsi="Times New Roman" w:eastAsia="Calibri" w:cs="Times New Roman"/>
              </w:rPr>
            </w:pPr>
            <w:bookmarkStart w:id="22" w:name="_Toc135143849"/>
            <w:r>
              <w:rPr>
                <w:rFonts w:eastAsia="Calibri" w:cs="Times New Roman" w:ascii="Times New Roman" w:hAnsi="Times New Roman"/>
                <w:kern w:val="0"/>
                <w:sz w:val="24"/>
                <w:szCs w:val="24"/>
                <w:lang w:val="ru-RU" w:eastAsia="ru-RU" w:bidi="ar-SA"/>
              </w:rPr>
              <w:t>3.</w:t>
            </w:r>
            <w:bookmarkEnd w:id="22"/>
          </w:p>
        </w:tc>
        <w:tc>
          <w:tcPr>
            <w:tcW w:w="5684" w:type="dxa"/>
            <w:tcBorders/>
          </w:tcPr>
          <w:p>
            <w:pPr>
              <w:pStyle w:val="Normal"/>
              <w:widowControl w:val="false"/>
              <w:suppressAutoHyphens w:val="true"/>
              <w:spacing w:lineRule="auto" w:line="240" w:before="0" w:after="0"/>
              <w:jc w:val="left"/>
              <w:rPr>
                <w:rFonts w:ascii="Times New Roman" w:hAnsi="Times New Roman" w:eastAsia="Calibri" w:cs="Times New Roman"/>
              </w:rPr>
            </w:pPr>
            <w:bookmarkStart w:id="23" w:name="_Toc135143850"/>
            <w:r>
              <w:rPr>
                <w:rFonts w:eastAsia="Calibri" w:cs="Times New Roman" w:ascii="Times New Roman" w:hAnsi="Times New Roman"/>
                <w:kern w:val="0"/>
                <w:sz w:val="24"/>
                <w:szCs w:val="24"/>
                <w:lang w:val="ru-RU" w:eastAsia="ru-RU" w:bidi="ar-SA"/>
              </w:rPr>
              <w:t xml:space="preserve">Наличие лицензий Роскомнадзора на осуществление деятельности в области оказания услуг связи с местом действия на территории РФ, на которой располагаются объекты Заказчика, для следующих услуг связи, утвержденных постановлением </w:t>
            </w:r>
            <w:bookmarkEnd w:id="23"/>
            <w:r>
              <w:rPr>
                <w:rFonts w:eastAsia="Calibri" w:cs="Times New Roman" w:ascii="Times New Roman" w:hAnsi="Times New Roman"/>
                <w:kern w:val="0"/>
                <w:sz w:val="24"/>
                <w:szCs w:val="24"/>
                <w:lang w:val="ru-RU" w:eastAsia="ru-RU" w:bidi="ar-SA"/>
              </w:rPr>
              <w:t>Правительства РФ от 25 ноября 2025 № 1875 «О лицензировании деятельности в области оказания услуг связи»</w:t>
            </w:r>
          </w:p>
        </w:tc>
        <w:tc>
          <w:tcPr>
            <w:tcW w:w="1704"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rPr>
              <w:t>-</w:t>
            </w:r>
          </w:p>
        </w:tc>
        <w:tc>
          <w:tcPr>
            <w:tcW w:w="1562" w:type="dxa"/>
            <w:tcBorders/>
          </w:tcPr>
          <w:p>
            <w:pPr>
              <w:pStyle w:val="Normal"/>
              <w:widowControl w:val="false"/>
              <w:suppressAutoHyphens w:val="true"/>
              <w:spacing w:lineRule="auto" w:line="240" w:before="0" w:after="0"/>
              <w:jc w:val="center"/>
              <w:rPr>
                <w:rFonts w:ascii="Times New Roman" w:hAnsi="Times New Roman" w:eastAsia="Calibri" w:cs="Times New Roman"/>
              </w:rPr>
            </w:pPr>
            <w:r>
              <w:rPr>
                <w:rFonts w:eastAsia="Calibri" w:cs="Times New Roman" w:ascii="Times New Roman" w:hAnsi="Times New Roman"/>
                <w:kern w:val="0"/>
                <w:sz w:val="24"/>
                <w:szCs w:val="24"/>
                <w:lang w:val="ru-RU" w:eastAsia="ru-RU" w:bidi="ar-SA"/>
              </w:rPr>
              <w:t>Наличие</w:t>
            </w:r>
          </w:p>
        </w:tc>
      </w:tr>
    </w:tbl>
    <w:p>
      <w:pPr>
        <w:pStyle w:val="11"/>
        <w:numPr>
          <w:ilvl w:val="0"/>
          <w:numId w:val="2"/>
        </w:numPr>
        <w:rPr/>
      </w:pPr>
      <w:bookmarkStart w:id="24" w:name="_Toc135143734"/>
      <w:bookmarkStart w:id="25" w:name="_Toc191457440"/>
      <w:r>
        <w:rPr/>
        <w:t>Требования к документации по ценообразованию</w:t>
      </w:r>
      <w:bookmarkEnd w:id="24"/>
      <w:bookmarkEnd w:id="25"/>
    </w:p>
    <w:p>
      <w:pPr>
        <w:pStyle w:val="Normal"/>
        <w:rPr>
          <w:rFonts w:ascii="Times New Roman" w:hAnsi="Times New Roman" w:eastAsia="Calibri" w:cs="Times New Roman"/>
          <w:sz w:val="24"/>
        </w:rPr>
      </w:pPr>
      <w:bookmarkStart w:id="26" w:name="_Toc135143862"/>
      <w:r>
        <w:rPr>
          <w:rFonts w:eastAsia="Calibri" w:cs="Times New Roman" w:ascii="Times New Roman" w:hAnsi="Times New Roman"/>
          <w:sz w:val="24"/>
        </w:rPr>
        <w:t>В обоснование стоимости своей заявки Участник предоставляет Коммерческое предложение</w:t>
      </w:r>
      <w:bookmarkEnd w:id="26"/>
      <w:r>
        <w:rPr>
          <w:rFonts w:eastAsia="Calibri" w:cs="Times New Roman" w:ascii="Times New Roman" w:hAnsi="Times New Roman"/>
          <w:sz w:val="24"/>
        </w:rPr>
        <w:t>.</w:t>
      </w:r>
    </w:p>
    <w:p>
      <w:pPr>
        <w:pStyle w:val="Normal"/>
        <w:widowControl/>
        <w:suppressAutoHyphens w:val="true"/>
        <w:bidi w:val="0"/>
        <w:spacing w:lineRule="auto" w:line="276" w:before="0" w:after="200"/>
        <w:jc w:val="left"/>
        <w:rPr/>
      </w:pPr>
      <w:r>
        <w:rPr>
          <w:rFonts w:eastAsia="Calibri" w:cs="Times New Roman" w:ascii="Times New Roman" w:hAnsi="Times New Roman"/>
          <w:sz w:val="24"/>
        </w:rPr>
        <w:t>Индексация в течении действия договора не предусмотрена.</w:t>
      </w:r>
    </w:p>
    <w:sectPr>
      <w:headerReference w:type="default" r:id="rId5"/>
      <w:headerReference w:type="first" r:id="rId6"/>
      <w:type w:val="nextPage"/>
      <w:pgSz w:w="11906" w:h="16838"/>
      <w:pgMar w:left="1701" w:right="991" w:gutter="0" w:header="709" w:top="1134" w:footer="0" w:bottom="1134"/>
      <w:pgNumType w:fmt="decimal"/>
      <w:formProt w:val="false"/>
      <w:titlePg/>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Arial Unicode MS">
    <w:charset w:val="01"/>
    <w:family w:val="roman"/>
    <w:pitch w:val="variable"/>
  </w:font>
  <w:font w:name="Courier New">
    <w:charset w:val="01"/>
    <w:family w:val="roman"/>
    <w:pitch w:val="variable"/>
  </w:font>
  <w:font w:name="&quot;Times New Roman CYR&quot;">
    <w:altName w:val="&quot;serif&quot;"/>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76" w:before="0" w:after="20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44109141"/>
    </w:sdtPr>
    <w:sdtContent>
      <w:p>
        <w:pPr>
          <w:pStyle w:val="Header"/>
          <w:jc w:val="center"/>
          <w:rPr>
            <w:rFonts w:ascii="Times New Roman" w:hAnsi="Times New Roman" w:cs="Times New Roman"/>
            <w:sz w:val="24"/>
          </w:rPr>
        </w:pPr>
        <w:r>
          <w:rPr>
            <w:rFonts w:cs="Times New Roman" w:ascii="Times New Roman" w:hAnsi="Times New Roman"/>
            <w:sz w:val="24"/>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390541879"/>
    </w:sdtPr>
    <w:sdtContent>
      <w:p>
        <w:pPr>
          <w:pStyle w:val="Header"/>
          <w:jc w:val="center"/>
          <w:rPr>
            <w:rFonts w:ascii="Times New Roman" w:hAnsi="Times New Roman" w:cs="Times New Roman"/>
            <w:sz w:val="24"/>
          </w:rPr>
        </w:pPr>
        <w:r>
          <w:rPr/>
          <w:fldChar w:fldCharType="begin"/>
        </w:r>
        <w:r>
          <w:rPr/>
          <w:instrText xml:space="preserve"> PAGE </w:instrText>
        </w:r>
        <w:r>
          <w:rPr/>
          <w:fldChar w:fldCharType="separate"/>
        </w:r>
        <w:r>
          <w:rPr/>
          <w:t>15</w:t>
        </w:r>
        <w:r>
          <w:rPr/>
          <w:fldChar w:fldCharType="end"/>
        </w:r>
      </w:p>
      <w:p>
        <w:pPr>
          <w:pStyle w:val="Header"/>
          <w:jc w:val="center"/>
          <w:rPr>
            <w:rFonts w:ascii="Times New Roman" w:hAnsi="Times New Roman" w:cs="Times New Roman"/>
            <w:sz w:val="24"/>
          </w:rPr>
        </w:pPr>
        <w:r>
          <w:rPr>
            <w:rFonts w:cs="Times New Roman" w:ascii="Times New Roman" w:hAnsi="Times New Roman"/>
            <w:sz w:val="24"/>
          </w:rPr>
        </w:r>
      </w:p>
      <w:p>
        <w:pPr>
          <w:pStyle w:val="Header"/>
          <w:rPr/>
        </w:pPr>
        <w:r>
          <w:rPr/>
        </w:r>
      </w:p>
    </w:sdtContent>
  </w:sdt>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2094" w:hanging="227"/>
      </w:pPr>
      <w:rPr>
        <w:rFonts w:ascii="Times New Roman" w:hAnsi="Times New Roman" w:cs="Times New Roman" w:hint="default"/>
      </w:rPr>
    </w:lvl>
    <w:lvl w:ilvl="1">
      <w:start w:val="1"/>
      <w:numFmt w:val="bullet"/>
      <w:lvlText w:val=""/>
      <w:lvlJc w:val="left"/>
      <w:pPr>
        <w:tabs>
          <w:tab w:val="num" w:pos="0"/>
        </w:tabs>
        <w:ind w:left="2094" w:hanging="227"/>
      </w:pPr>
      <w:rPr>
        <w:rFonts w:ascii="Symbol" w:hAnsi="Symbol" w:cs="Symbol" w:hint="default"/>
        <w:color w:val="auto"/>
      </w:rPr>
    </w:lvl>
    <w:lvl w:ilvl="2">
      <w:start w:val="1"/>
      <w:numFmt w:val="bullet"/>
      <w:lvlText w:val="o"/>
      <w:lvlJc w:val="left"/>
      <w:pPr>
        <w:tabs>
          <w:tab w:val="num" w:pos="0"/>
        </w:tabs>
        <w:ind w:left="2094" w:hanging="227"/>
      </w:pPr>
      <w:rPr>
        <w:rFonts w:ascii="Courier New" w:hAnsi="Courier New" w:cs="Courier New" w:hint="default"/>
      </w:rPr>
    </w:lvl>
    <w:lvl w:ilvl="3">
      <w:start w:val="1"/>
      <w:numFmt w:val="bullet"/>
      <w:lvlText w:val=""/>
      <w:lvlJc w:val="left"/>
      <w:pPr>
        <w:tabs>
          <w:tab w:val="num" w:pos="0"/>
        </w:tabs>
        <w:ind w:left="2094" w:hanging="227"/>
      </w:pPr>
      <w:rPr>
        <w:rFonts w:ascii="Wingdings" w:hAnsi="Wingdings" w:cs="Wingdings" w:hint="default"/>
      </w:rPr>
    </w:lvl>
    <w:lvl w:ilvl="4">
      <w:start w:val="1"/>
      <w:numFmt w:val="bullet"/>
      <w:lvlText w:val="o"/>
      <w:lvlJc w:val="left"/>
      <w:pPr>
        <w:tabs>
          <w:tab w:val="num" w:pos="0"/>
        </w:tabs>
        <w:ind w:left="10253" w:hanging="360"/>
      </w:pPr>
      <w:rPr>
        <w:rFonts w:ascii="Courier New" w:hAnsi="Courier New" w:cs="Courier New" w:hint="default"/>
      </w:rPr>
    </w:lvl>
    <w:lvl w:ilvl="5">
      <w:start w:val="1"/>
      <w:numFmt w:val="bullet"/>
      <w:lvlText w:val=""/>
      <w:lvlJc w:val="left"/>
      <w:pPr>
        <w:tabs>
          <w:tab w:val="num" w:pos="0"/>
        </w:tabs>
        <w:ind w:left="10973" w:hanging="360"/>
      </w:pPr>
      <w:rPr>
        <w:rFonts w:ascii="Wingdings" w:hAnsi="Wingdings" w:cs="Wingdings" w:hint="default"/>
      </w:rPr>
    </w:lvl>
    <w:lvl w:ilvl="6">
      <w:start w:val="1"/>
      <w:numFmt w:val="bullet"/>
      <w:lvlText w:val=""/>
      <w:lvlJc w:val="left"/>
      <w:pPr>
        <w:tabs>
          <w:tab w:val="num" w:pos="0"/>
        </w:tabs>
        <w:ind w:left="11693" w:hanging="360"/>
      </w:pPr>
      <w:rPr>
        <w:rFonts w:ascii="Symbol" w:hAnsi="Symbol" w:cs="Symbol" w:hint="default"/>
      </w:rPr>
    </w:lvl>
    <w:lvl w:ilvl="7">
      <w:start w:val="1"/>
      <w:numFmt w:val="bullet"/>
      <w:lvlText w:val="o"/>
      <w:lvlJc w:val="left"/>
      <w:pPr>
        <w:tabs>
          <w:tab w:val="num" w:pos="0"/>
        </w:tabs>
        <w:ind w:left="12413" w:hanging="360"/>
      </w:pPr>
      <w:rPr>
        <w:rFonts w:ascii="Courier New" w:hAnsi="Courier New" w:cs="Courier New" w:hint="default"/>
      </w:rPr>
    </w:lvl>
    <w:lvl w:ilvl="8">
      <w:start w:val="1"/>
      <w:numFmt w:val="bullet"/>
      <w:lvlText w:val=""/>
      <w:lvlJc w:val="left"/>
      <w:pPr>
        <w:tabs>
          <w:tab w:val="num" w:pos="0"/>
        </w:tabs>
        <w:ind w:left="13133"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907" w:hanging="547"/>
      </w:pPr>
      <w:rPr>
        <w:b/>
      </w:rPr>
    </w:lvl>
    <w:lvl w:ilvl="2">
      <w:start w:val="1"/>
      <w:numFmt w:val="decimal"/>
      <w:lvlText w:val="%1.%2.%3."/>
      <w:lvlJc w:val="left"/>
      <w:pPr>
        <w:tabs>
          <w:tab w:val="num" w:pos="0"/>
        </w:tabs>
        <w:ind w:left="1224" w:hanging="504"/>
      </w:pPr>
      <w:rPr>
        <w:sz w:val="24"/>
        <w:szCs w:val="24"/>
        <w:rFonts w:ascii="Times New Roman" w:hAnsi="Times New Roman"/>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4">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d5f8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uiPriority w:val="9"/>
    <w:qFormat/>
    <w:rsid w:val="001c33e4"/>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Heading2">
    <w:name w:val="Heading 2"/>
    <w:basedOn w:val="Normal"/>
    <w:link w:val="2"/>
    <w:qFormat/>
    <w:rsid w:val="002551f7"/>
    <w:pPr>
      <w:numPr>
        <w:ilvl w:val="1"/>
        <w:numId w:val="2"/>
      </w:numPr>
      <w:spacing w:lineRule="auto" w:line="360"/>
      <w:jc w:val="both"/>
      <w:outlineLvl w:val="1"/>
    </w:pPr>
    <w:rPr>
      <w:rFonts w:ascii="Calibri" w:hAnsi="Calibri" w:eastAsia="Calibri" w:cs="Times New Roman"/>
    </w:rPr>
  </w:style>
  <w:style w:type="paragraph" w:styleId="Heading3">
    <w:name w:val="Heading 3"/>
    <w:basedOn w:val="Normal"/>
    <w:next w:val="Normal"/>
    <w:link w:val="3"/>
    <w:uiPriority w:val="9"/>
    <w:semiHidden/>
    <w:unhideWhenUsed/>
    <w:qFormat/>
    <w:rsid w:val="00e9410c"/>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Heading4">
    <w:name w:val="Heading 4"/>
    <w:basedOn w:val="Normal"/>
    <w:next w:val="Normal"/>
    <w:link w:val="4"/>
    <w:uiPriority w:val="9"/>
    <w:semiHidden/>
    <w:unhideWhenUsed/>
    <w:qFormat/>
    <w:rsid w:val="007240fe"/>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2" w:customStyle="1">
    <w:name w:val="Заголовок 2 Знак"/>
    <w:basedOn w:val="DefaultParagraphFont"/>
    <w:qFormat/>
    <w:rsid w:val="002551f7"/>
    <w:rPr>
      <w:rFonts w:ascii="Calibri" w:hAnsi="Calibri" w:eastAsia="Calibri" w:cs="Times New Roman"/>
    </w:rPr>
  </w:style>
  <w:style w:type="character" w:styleId="Style5" w:customStyle="1">
    <w:name w:val="Текст сноски Знак"/>
    <w:basedOn w:val="DefaultParagraphFont"/>
    <w:uiPriority w:val="99"/>
    <w:qFormat/>
    <w:rsid w:val="00943d08"/>
    <w:rPr>
      <w:rFonts w:ascii="Times New Roman" w:hAnsi="Times New Roman" w:eastAsia="Times New Roman" w:cs="Times New Roman"/>
      <w:sz w:val="20"/>
      <w:szCs w:val="20"/>
      <w:lang w:eastAsia="ru-RU"/>
    </w:rPr>
  </w:style>
  <w:style w:type="character" w:styleId="Style6" w:customStyle="1">
    <w:name w:val="Символ сноски"/>
    <w:uiPriority w:val="99"/>
    <w:unhideWhenUsed/>
    <w:qFormat/>
    <w:rsid w:val="00943d08"/>
    <w:rPr>
      <w:vertAlign w:val="superscript"/>
    </w:rPr>
  </w:style>
  <w:style w:type="character" w:styleId="FootnoteReference">
    <w:name w:val="Footnote Reference"/>
    <w:rPr>
      <w:vertAlign w:val="superscript"/>
    </w:rPr>
  </w:style>
  <w:style w:type="character" w:styleId="Style7" w:customStyle="1">
    <w:name w:val="Текст выноски Знак"/>
    <w:basedOn w:val="DefaultParagraphFont"/>
    <w:link w:val="BalloonText"/>
    <w:uiPriority w:val="99"/>
    <w:semiHidden/>
    <w:qFormat/>
    <w:rsid w:val="00c56cf7"/>
    <w:rPr>
      <w:rFonts w:ascii="Tahoma" w:hAnsi="Tahoma" w:cs="Tahoma"/>
      <w:sz w:val="16"/>
      <w:szCs w:val="16"/>
    </w:rPr>
  </w:style>
  <w:style w:type="character" w:styleId="Hyperlink">
    <w:name w:val="Hyperlink"/>
    <w:basedOn w:val="DefaultParagraphFont"/>
    <w:uiPriority w:val="99"/>
    <w:unhideWhenUsed/>
    <w:rsid w:val="007d69ff"/>
    <w:rPr>
      <w:color w:val="0000FF" w:themeColor="hyperlink"/>
      <w:u w:val="single"/>
    </w:rPr>
  </w:style>
  <w:style w:type="character" w:styleId="Annotationreference">
    <w:name w:val="annotation reference"/>
    <w:basedOn w:val="DefaultParagraphFont"/>
    <w:uiPriority w:val="99"/>
    <w:semiHidden/>
    <w:unhideWhenUsed/>
    <w:qFormat/>
    <w:rsid w:val="00a71ba6"/>
    <w:rPr>
      <w:sz w:val="16"/>
      <w:szCs w:val="16"/>
    </w:rPr>
  </w:style>
  <w:style w:type="character" w:styleId="Style8" w:customStyle="1">
    <w:name w:val="Текст примечания Знак"/>
    <w:basedOn w:val="DefaultParagraphFont"/>
    <w:link w:val="Annotationtext"/>
    <w:uiPriority w:val="99"/>
    <w:semiHidden/>
    <w:qFormat/>
    <w:rsid w:val="00a71ba6"/>
    <w:rPr>
      <w:sz w:val="20"/>
      <w:szCs w:val="20"/>
    </w:rPr>
  </w:style>
  <w:style w:type="character" w:styleId="Style9" w:customStyle="1">
    <w:name w:val="Тема примечания Знак"/>
    <w:basedOn w:val="Style8"/>
    <w:link w:val="Annotationsubject"/>
    <w:uiPriority w:val="99"/>
    <w:semiHidden/>
    <w:qFormat/>
    <w:rsid w:val="00a71ba6"/>
    <w:rPr>
      <w:b/>
      <w:bCs/>
      <w:sz w:val="20"/>
      <w:szCs w:val="20"/>
    </w:rPr>
  </w:style>
  <w:style w:type="character" w:styleId="Style10" w:customStyle="1">
    <w:name w:val="Верхний колонтитул Знак"/>
    <w:basedOn w:val="DefaultParagraphFont"/>
    <w:uiPriority w:val="99"/>
    <w:qFormat/>
    <w:rsid w:val="00261718"/>
    <w:rPr/>
  </w:style>
  <w:style w:type="character" w:styleId="Style11" w:customStyle="1">
    <w:name w:val="Нижний колонтитул Знак"/>
    <w:basedOn w:val="DefaultParagraphFont"/>
    <w:uiPriority w:val="99"/>
    <w:qFormat/>
    <w:rsid w:val="00261718"/>
    <w:rPr/>
  </w:style>
  <w:style w:type="character" w:styleId="3" w:customStyle="1">
    <w:name w:val="Заголовок 3 Знак"/>
    <w:basedOn w:val="DefaultParagraphFont"/>
    <w:uiPriority w:val="9"/>
    <w:semiHidden/>
    <w:qFormat/>
    <w:rsid w:val="00e9410c"/>
    <w:rPr>
      <w:rFonts w:ascii="Cambria" w:hAnsi="Cambria" w:eastAsia="" w:cs="" w:asciiTheme="majorHAnsi" w:cstheme="majorBidi" w:eastAsiaTheme="majorEastAsia" w:hAnsiTheme="majorHAnsi"/>
      <w:color w:val="243F60" w:themeColor="accent1" w:themeShade="7f"/>
      <w:sz w:val="24"/>
      <w:szCs w:val="24"/>
    </w:rPr>
  </w:style>
  <w:style w:type="character" w:styleId="Style12" w:customStyle="1">
    <w:name w:val="Абзац списка Знак"/>
    <w:link w:val="ListParagraph"/>
    <w:uiPriority w:val="34"/>
    <w:qFormat/>
    <w:locked/>
    <w:rsid w:val="000139df"/>
    <w:rPr/>
  </w:style>
  <w:style w:type="character" w:styleId="Style13" w:customStyle="1">
    <w:name w:val="Основной текст с отступом Знак"/>
    <w:basedOn w:val="DefaultParagraphFont"/>
    <w:qFormat/>
    <w:rsid w:val="0044288d"/>
    <w:rPr>
      <w:rFonts w:ascii="Times New Roman" w:hAnsi="Times New Roman" w:eastAsia="Times New Roman" w:cs="Times New Roman"/>
      <w:sz w:val="24"/>
      <w:szCs w:val="24"/>
      <w:lang w:eastAsia="ru-RU"/>
    </w:rPr>
  </w:style>
  <w:style w:type="character" w:styleId="Heading21" w:customStyle="1">
    <w:name w:val="Heading #2_"/>
    <w:link w:val="Heading22"/>
    <w:qFormat/>
    <w:rsid w:val="0044288d"/>
    <w:rPr>
      <w:b/>
      <w:bCs/>
      <w:sz w:val="23"/>
      <w:szCs w:val="23"/>
      <w:shd w:fill="FFFFFF" w:val="clear"/>
    </w:rPr>
  </w:style>
  <w:style w:type="character" w:styleId="4" w:customStyle="1">
    <w:name w:val="Заголовок 4 Знак"/>
    <w:basedOn w:val="DefaultParagraphFont"/>
    <w:uiPriority w:val="9"/>
    <w:semiHidden/>
    <w:qFormat/>
    <w:rsid w:val="007240fe"/>
    <w:rPr>
      <w:rFonts w:ascii="Cambria" w:hAnsi="Cambria" w:eastAsia="" w:cs="" w:asciiTheme="majorHAnsi" w:cstheme="majorBidi" w:eastAsiaTheme="majorEastAsia" w:hAnsiTheme="majorHAnsi"/>
      <w:i/>
      <w:iCs/>
      <w:color w:val="365F91" w:themeColor="accent1" w:themeShade="bf"/>
    </w:rPr>
  </w:style>
  <w:style w:type="character" w:styleId="Style14" w:customStyle="1">
    <w:name w:val="ТЗ_в_Маркер_дефис Знак"/>
    <w:basedOn w:val="DefaultParagraphFont"/>
    <w:link w:val="Style22"/>
    <w:qFormat/>
    <w:rsid w:val="007240fe"/>
    <w:rPr>
      <w:rFonts w:ascii="Times New Roman" w:hAnsi="Times New Roman" w:cs="Times New Roman"/>
      <w:sz w:val="24"/>
    </w:rPr>
  </w:style>
  <w:style w:type="character" w:styleId="1" w:customStyle="1">
    <w:name w:val="Заголовок 1 Знак"/>
    <w:basedOn w:val="DefaultParagraphFont"/>
    <w:uiPriority w:val="9"/>
    <w:qFormat/>
    <w:rsid w:val="001c33e4"/>
    <w:rPr>
      <w:rFonts w:ascii="Cambria" w:hAnsi="Cambria" w:eastAsia="" w:cs="" w:asciiTheme="majorHAnsi" w:cstheme="majorBidi" w:eastAsiaTheme="majorEastAsia" w:hAnsiTheme="majorHAnsi"/>
      <w:color w:val="365F91" w:themeColor="accent1" w:themeShade="bf"/>
      <w:sz w:val="32"/>
      <w:szCs w:val="32"/>
    </w:rPr>
  </w:style>
  <w:style w:type="character" w:styleId="Style15" w:customStyle="1">
    <w:name w:val="Ссылка указателя"/>
    <w:qFormat/>
    <w:rPr/>
  </w:style>
  <w:style w:type="character" w:styleId="Linenumber">
    <w:name w:val="line number"/>
    <w:qFormat/>
    <w:rPr/>
  </w:style>
  <w:style w:type="character" w:styleId="Style16" w:customStyle="1">
    <w:name w:val="Символ нумерации"/>
    <w:qFormat/>
    <w:rPr/>
  </w:style>
  <w:style w:type="paragraph" w:styleId="Style17">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18">
    <w:name w:val="Указатель"/>
    <w:basedOn w:val="Normal"/>
    <w:qFormat/>
    <w:pPr>
      <w:suppressLineNumbers/>
    </w:pPr>
    <w:rPr/>
  </w:style>
  <w:style w:type="paragraph" w:styleId="Title">
    <w:name w:val="Title"/>
    <w:basedOn w:val="Normal"/>
    <w:next w:val="BodyText"/>
    <w:qFormat/>
    <w:pPr>
      <w:keepNext w:val="true"/>
      <w:spacing w:before="240" w:after="120"/>
    </w:pPr>
    <w:rPr>
      <w:rFonts w:ascii="Liberation Sans" w:hAnsi="Liberation Sans" w:eastAsia="Arial Unicode MS" w:cs="Arial Unicode MS"/>
      <w:sz w:val="28"/>
      <w:szCs w:val="28"/>
    </w:rPr>
  </w:style>
  <w:style w:type="paragraph" w:styleId="Caption1">
    <w:name w:val="caption1"/>
    <w:basedOn w:val="Normal"/>
    <w:qFormat/>
    <w:pPr>
      <w:suppressLineNumbers/>
      <w:spacing w:before="120" w:after="120"/>
    </w:pPr>
    <w:rPr>
      <w:i/>
      <w:iCs/>
      <w:sz w:val="24"/>
      <w:szCs w:val="24"/>
    </w:rPr>
  </w:style>
  <w:style w:type="paragraph" w:styleId="Indexheading1">
    <w:name w:val="index heading1"/>
    <w:basedOn w:val="Title"/>
    <w:qFormat/>
    <w:pPr/>
    <w:rPr/>
  </w:style>
  <w:style w:type="paragraph" w:styleId="Caption11" w:customStyle="1">
    <w:name w:val="caption11"/>
    <w:basedOn w:val="Normal"/>
    <w:qFormat/>
    <w:pPr>
      <w:suppressLineNumbers/>
      <w:spacing w:before="120" w:after="120"/>
    </w:pPr>
    <w:rPr>
      <w:i/>
      <w:iCs/>
      <w:sz w:val="24"/>
      <w:szCs w:val="24"/>
    </w:rPr>
  </w:style>
  <w:style w:type="paragraph" w:styleId="Indexheading11" w:customStyle="1">
    <w:name w:val="index heading11"/>
    <w:basedOn w:val="Title"/>
    <w:qFormat/>
    <w:pPr/>
    <w:rPr/>
  </w:style>
  <w:style w:type="paragraph" w:styleId="Caption111" w:customStyle="1">
    <w:name w:val="caption111"/>
    <w:basedOn w:val="Normal"/>
    <w:qFormat/>
    <w:pPr>
      <w:suppressLineNumbers/>
      <w:spacing w:before="120" w:after="120"/>
    </w:pPr>
    <w:rPr>
      <w:i/>
      <w:iCs/>
      <w:sz w:val="24"/>
      <w:szCs w:val="24"/>
    </w:rPr>
  </w:style>
  <w:style w:type="paragraph" w:styleId="Indexheading111" w:customStyle="1">
    <w:name w:val="index heading111"/>
    <w:basedOn w:val="Title"/>
    <w:qFormat/>
    <w:pPr/>
    <w:rPr/>
  </w:style>
  <w:style w:type="paragraph" w:styleId="FootnoteText">
    <w:name w:val="Footnote Text"/>
    <w:basedOn w:val="Normal"/>
    <w:link w:val="Style5"/>
    <w:uiPriority w:val="99"/>
    <w:unhideWhenUsed/>
    <w:rsid w:val="00943d08"/>
    <w:pPr>
      <w:spacing w:lineRule="auto" w:line="240" w:before="0" w:after="0"/>
    </w:pPr>
    <w:rPr>
      <w:rFonts w:ascii="Times New Roman" w:hAnsi="Times New Roman" w:eastAsia="Times New Roman" w:cs="Times New Roman"/>
      <w:sz w:val="20"/>
      <w:szCs w:val="20"/>
      <w:lang w:eastAsia="ru-RU"/>
    </w:rPr>
  </w:style>
  <w:style w:type="paragraph" w:styleId="NoSpacing">
    <w:name w:val="No Spacing"/>
    <w:uiPriority w:val="1"/>
    <w:qFormat/>
    <w:rsid w:val="00d9154f"/>
    <w:pPr>
      <w:widowControl/>
      <w:suppressAutoHyphens w:val="true"/>
      <w:bidi w:val="0"/>
      <w:spacing w:before="0" w:after="0"/>
      <w:jc w:val="left"/>
    </w:pPr>
    <w:rPr>
      <w:rFonts w:ascii="Arial Unicode MS" w:hAnsi="Arial Unicode MS" w:eastAsia="Arial Unicode MS" w:cs="Arial Unicode MS"/>
      <w:color w:val="000000"/>
      <w:kern w:val="0"/>
      <w:sz w:val="24"/>
      <w:szCs w:val="24"/>
      <w:lang w:val="ru-RU" w:eastAsia="ru-RU" w:bidi="ar-SA"/>
    </w:rPr>
  </w:style>
  <w:style w:type="paragraph" w:styleId="11" w:customStyle="1">
    <w:name w:val="Мой заголовок 1"/>
    <w:basedOn w:val="Normal"/>
    <w:next w:val="Heading2"/>
    <w:autoRedefine/>
    <w:qFormat/>
    <w:rsid w:val="00777f6a"/>
    <w:pPr>
      <w:keepNext w:val="true"/>
      <w:numPr>
        <w:ilvl w:val="0"/>
        <w:numId w:val="2"/>
      </w:numPr>
      <w:tabs>
        <w:tab w:val="clear" w:pos="708"/>
        <w:tab w:val="left" w:pos="426" w:leader="none"/>
      </w:tabs>
      <w:spacing w:before="240" w:after="120"/>
      <w:outlineLvl w:val="0"/>
    </w:pPr>
    <w:rPr>
      <w:rFonts w:ascii="Times New Roman" w:hAnsi="Times New Roman" w:eastAsia="Calibri" w:cs="Times New Roman"/>
      <w:b/>
      <w:bCs/>
      <w:kern w:val="2"/>
      <w:sz w:val="28"/>
      <w:szCs w:val="28"/>
    </w:rPr>
  </w:style>
  <w:style w:type="paragraph" w:styleId="BalloonText">
    <w:name w:val="Balloon Text"/>
    <w:basedOn w:val="Normal"/>
    <w:link w:val="Style7"/>
    <w:uiPriority w:val="99"/>
    <w:semiHidden/>
    <w:unhideWhenUsed/>
    <w:qFormat/>
    <w:rsid w:val="00c56cf7"/>
    <w:pPr>
      <w:spacing w:lineRule="auto" w:line="240" w:before="0" w:after="0"/>
    </w:pPr>
    <w:rPr>
      <w:rFonts w:ascii="Tahoma" w:hAnsi="Tahoma" w:cs="Tahoma"/>
      <w:sz w:val="16"/>
      <w:szCs w:val="16"/>
    </w:rPr>
  </w:style>
  <w:style w:type="paragraph" w:styleId="ListParagraph">
    <w:name w:val="List Paragraph"/>
    <w:basedOn w:val="Normal"/>
    <w:link w:val="Style12"/>
    <w:qFormat/>
    <w:rsid w:val="007d69ff"/>
    <w:pPr>
      <w:spacing w:before="0" w:after="200"/>
      <w:ind w:left="720" w:hanging="0"/>
      <w:contextualSpacing/>
    </w:pPr>
    <w:rPr/>
  </w:style>
  <w:style w:type="paragraph" w:styleId="ConsNonformat" w:customStyle="1">
    <w:name w:val="ConsNonformat"/>
    <w:qFormat/>
    <w:rsid w:val="007d69ff"/>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19" w:customStyle="1">
    <w:name w:val="Таблица текст"/>
    <w:basedOn w:val="Normal"/>
    <w:qFormat/>
    <w:rsid w:val="007d69ff"/>
    <w:pPr>
      <w:snapToGrid w:val="false"/>
      <w:spacing w:lineRule="auto" w:line="240" w:before="40" w:after="40"/>
      <w:ind w:left="57" w:right="57" w:hanging="0"/>
    </w:pPr>
    <w:rPr>
      <w:rFonts w:ascii="Times New Roman" w:hAnsi="Times New Roman" w:eastAsia="Times New Roman" w:cs="Times New Roman"/>
      <w:sz w:val="24"/>
      <w:szCs w:val="20"/>
      <w:lang w:eastAsia="ru-RU"/>
    </w:rPr>
  </w:style>
  <w:style w:type="paragraph" w:styleId="Annotationtext">
    <w:name w:val="annotation text"/>
    <w:basedOn w:val="Normal"/>
    <w:link w:val="Style8"/>
    <w:uiPriority w:val="99"/>
    <w:semiHidden/>
    <w:unhideWhenUsed/>
    <w:qFormat/>
    <w:rsid w:val="00a71ba6"/>
    <w:pPr>
      <w:spacing w:lineRule="auto" w:line="240"/>
    </w:pPr>
    <w:rPr>
      <w:sz w:val="20"/>
      <w:szCs w:val="20"/>
    </w:rPr>
  </w:style>
  <w:style w:type="paragraph" w:styleId="Annotationsubject">
    <w:name w:val="annotation subject"/>
    <w:basedOn w:val="Annotationtext"/>
    <w:next w:val="Annotationtext"/>
    <w:link w:val="Style9"/>
    <w:uiPriority w:val="99"/>
    <w:semiHidden/>
    <w:unhideWhenUsed/>
    <w:qFormat/>
    <w:rsid w:val="00a71ba6"/>
    <w:pPr/>
    <w:rPr>
      <w:b/>
      <w:bCs/>
    </w:rPr>
  </w:style>
  <w:style w:type="paragraph" w:styleId="ConsPlusNormal" w:customStyle="1">
    <w:name w:val="ConsPlusNormal"/>
    <w:qFormat/>
    <w:rsid w:val="00261718"/>
    <w:pPr>
      <w:widowControl w:val="false"/>
      <w:suppressAutoHyphens w:val="true"/>
      <w:bidi w:val="0"/>
      <w:spacing w:before="0" w:after="0"/>
      <w:jc w:val="left"/>
    </w:pPr>
    <w:rPr>
      <w:rFonts w:ascii="Calibri" w:hAnsi="Calibri" w:eastAsia="Times New Roman" w:cs="Calibri" w:asciiTheme="minorHAnsi" w:hAnsiTheme="minorHAnsi"/>
      <w:color w:val="auto"/>
      <w:kern w:val="0"/>
      <w:sz w:val="22"/>
      <w:szCs w:val="20"/>
      <w:lang w:val="ru-RU" w:eastAsia="ru-RU" w:bidi="ar-SA"/>
    </w:rPr>
  </w:style>
  <w:style w:type="paragraph" w:styleId="Style20" w:customStyle="1">
    <w:name w:val="Колонтитул"/>
    <w:basedOn w:val="Normal"/>
    <w:qFormat/>
    <w:pPr/>
    <w:rPr/>
  </w:style>
  <w:style w:type="paragraph" w:styleId="Header">
    <w:name w:val="Header"/>
    <w:basedOn w:val="Normal"/>
    <w:link w:val="Style10"/>
    <w:uiPriority w:val="99"/>
    <w:unhideWhenUsed/>
    <w:rsid w:val="00261718"/>
    <w:pPr>
      <w:tabs>
        <w:tab w:val="clear" w:pos="708"/>
        <w:tab w:val="center" w:pos="4677" w:leader="none"/>
        <w:tab w:val="right" w:pos="9355" w:leader="none"/>
      </w:tabs>
      <w:spacing w:lineRule="auto" w:line="240" w:before="0" w:after="0"/>
    </w:pPr>
    <w:rPr/>
  </w:style>
  <w:style w:type="paragraph" w:styleId="Footer">
    <w:name w:val="Footer"/>
    <w:basedOn w:val="Normal"/>
    <w:link w:val="Style11"/>
    <w:uiPriority w:val="99"/>
    <w:unhideWhenUsed/>
    <w:rsid w:val="00261718"/>
    <w:pPr>
      <w:tabs>
        <w:tab w:val="clear" w:pos="708"/>
        <w:tab w:val="center" w:pos="4677" w:leader="none"/>
        <w:tab w:val="right" w:pos="9355" w:leader="none"/>
      </w:tabs>
      <w:spacing w:lineRule="auto" w:line="240" w:before="0" w:after="0"/>
    </w:pPr>
    <w:rPr/>
  </w:style>
  <w:style w:type="paragraph" w:styleId="Revision">
    <w:name w:val="Revision"/>
    <w:uiPriority w:val="99"/>
    <w:semiHidden/>
    <w:qFormat/>
    <w:rsid w:val="00261718"/>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BodyTextIndent">
    <w:name w:val="Body Text Indent"/>
    <w:basedOn w:val="Normal"/>
    <w:link w:val="Style13"/>
    <w:rsid w:val="0044288d"/>
    <w:pPr>
      <w:spacing w:lineRule="auto" w:line="240" w:before="0" w:after="0"/>
      <w:ind w:firstLine="540"/>
    </w:pPr>
    <w:rPr>
      <w:rFonts w:ascii="Times New Roman" w:hAnsi="Times New Roman" w:eastAsia="Times New Roman" w:cs="Times New Roman"/>
      <w:sz w:val="24"/>
      <w:szCs w:val="24"/>
      <w:lang w:eastAsia="ru-RU"/>
    </w:rPr>
  </w:style>
  <w:style w:type="paragraph" w:styleId="Style21" w:customStyle="1">
    <w:name w:val="Пункт"/>
    <w:basedOn w:val="Normal"/>
    <w:qFormat/>
    <w:rsid w:val="0044288d"/>
    <w:pPr>
      <w:tabs>
        <w:tab w:val="clear" w:pos="708"/>
        <w:tab w:val="left" w:pos="1980" w:leader="none"/>
      </w:tabs>
      <w:spacing w:lineRule="auto" w:line="240" w:before="0" w:after="0"/>
      <w:ind w:left="1404" w:hanging="504"/>
      <w:jc w:val="both"/>
    </w:pPr>
    <w:rPr>
      <w:rFonts w:ascii="Times New Roman" w:hAnsi="Times New Roman" w:eastAsia="Times New Roman" w:cs="Times New Roman"/>
      <w:sz w:val="24"/>
      <w:szCs w:val="24"/>
      <w:lang w:eastAsia="ru-RU"/>
    </w:rPr>
  </w:style>
  <w:style w:type="paragraph" w:styleId="12" w:customStyle="1">
    <w:name w:val="Абзац списка1"/>
    <w:qFormat/>
    <w:rsid w:val="0044288d"/>
    <w:pPr>
      <w:widowControl w:val="false"/>
      <w:suppressAutoHyphens w:val="true"/>
      <w:bidi w:val="0"/>
      <w:spacing w:lineRule="auto" w:line="276" w:before="0" w:after="200"/>
      <w:ind w:left="720" w:hanging="0"/>
      <w:jc w:val="left"/>
    </w:pPr>
    <w:rPr>
      <w:rFonts w:ascii="Calibri" w:hAnsi="Calibri" w:eastAsia="Arial Unicode MS" w:cs="font261" w:asciiTheme="minorHAnsi" w:hAnsiTheme="minorHAnsi"/>
      <w:color w:val="auto"/>
      <w:kern w:val="2"/>
      <w:sz w:val="22"/>
      <w:szCs w:val="22"/>
      <w:lang w:val="ru-RU" w:eastAsia="ar-SA" w:bidi="ar-SA"/>
    </w:rPr>
  </w:style>
  <w:style w:type="paragraph" w:styleId="MSONORMAL" w:customStyle="1">
    <w:name w:val=".MSONORMAL"/>
    <w:uiPriority w:val="99"/>
    <w:qFormat/>
    <w:rsid w:val="0044288d"/>
    <w:pPr>
      <w:widowControl w:val="false"/>
      <w:suppressAutoHyphens w:val="true"/>
      <w:bidi w:val="0"/>
      <w:spacing w:before="0" w:after="0"/>
      <w:jc w:val="left"/>
    </w:pPr>
    <w:rPr>
      <w:rFonts w:ascii="&quot;Times New Roman CYR&quot;,&quot;serif&quot;" w:hAnsi="&quot;Times New Roman CYR&quot;,&quot;serif&quot;" w:eastAsia="Times New Roman" w:cs="Times New Roman"/>
      <w:color w:val="auto"/>
      <w:kern w:val="0"/>
      <w:sz w:val="24"/>
      <w:szCs w:val="24"/>
      <w:lang w:val="ru-RU" w:eastAsia="ru-RU" w:bidi="ar-SA"/>
    </w:rPr>
  </w:style>
  <w:style w:type="paragraph" w:styleId="Heading22" w:customStyle="1">
    <w:name w:val="Heading #2"/>
    <w:basedOn w:val="Normal"/>
    <w:link w:val="Heading21"/>
    <w:qFormat/>
    <w:rsid w:val="0044288d"/>
    <w:pPr>
      <w:widowControl w:val="false"/>
      <w:shd w:val="clear" w:color="auto" w:fill="FFFFFF"/>
      <w:spacing w:lineRule="exact" w:line="313" w:before="240" w:after="0"/>
      <w:jc w:val="both"/>
      <w:outlineLvl w:val="1"/>
    </w:pPr>
    <w:rPr>
      <w:b/>
      <w:bCs/>
      <w:sz w:val="23"/>
      <w:szCs w:val="23"/>
    </w:rPr>
  </w:style>
  <w:style w:type="paragraph" w:styleId="13" w:customStyle="1">
    <w:name w:val="Обычный1"/>
    <w:qFormat/>
    <w:rsid w:val="00f60050"/>
    <w:pPr>
      <w:widowControl w:val="false"/>
      <w:suppressAutoHyphens w:val="true"/>
      <w:bidi w:val="0"/>
      <w:spacing w:lineRule="auto" w:line="259" w:before="180" w:after="0"/>
      <w:ind w:firstLine="700"/>
      <w:jc w:val="both"/>
    </w:pPr>
    <w:rPr>
      <w:rFonts w:ascii="Times New Roman" w:hAnsi="Times New Roman" w:eastAsia="Times New Roman" w:cs="Times New Roman"/>
      <w:color w:val="auto"/>
      <w:kern w:val="0"/>
      <w:sz w:val="22"/>
      <w:szCs w:val="20"/>
      <w:lang w:val="ru-RU" w:eastAsia="ru-RU" w:bidi="ar-SA"/>
    </w:rPr>
  </w:style>
  <w:style w:type="paragraph" w:styleId="Style22" w:customStyle="1">
    <w:name w:val="ТЗ_в_Маркер_дефис"/>
    <w:link w:val="Style14"/>
    <w:qFormat/>
    <w:rsid w:val="007240fe"/>
    <w:pPr>
      <w:widowControl/>
      <w:numPr>
        <w:ilvl w:val="0"/>
        <w:numId w:val="1"/>
      </w:numPr>
      <w:suppressAutoHyphens w:val="true"/>
      <w:bidi w:val="0"/>
      <w:spacing w:lineRule="auto" w:line="276" w:before="0" w:after="0"/>
      <w:jc w:val="both"/>
    </w:pPr>
    <w:rPr>
      <w:rFonts w:ascii="Times New Roman" w:hAnsi="Times New Roman" w:eastAsia="Calibri" w:cs="Times New Roman" w:eastAsiaTheme="minorHAnsi"/>
      <w:color w:val="auto"/>
      <w:kern w:val="0"/>
      <w:sz w:val="24"/>
      <w:szCs w:val="22"/>
      <w:lang w:val="ru-RU" w:eastAsia="en-US" w:bidi="ar-SA"/>
    </w:rPr>
  </w:style>
  <w:style w:type="paragraph" w:styleId="Style23" w:customStyle="1">
    <w:name w:val="ТЗ_г_Маркер_буллет"/>
    <w:qFormat/>
    <w:rsid w:val="007240fe"/>
    <w:pPr>
      <w:widowControl/>
      <w:numPr>
        <w:ilvl w:val="1"/>
        <w:numId w:val="1"/>
      </w:numPr>
      <w:suppressAutoHyphens w:val="true"/>
      <w:bidi w:val="0"/>
      <w:spacing w:lineRule="auto" w:line="259" w:before="0" w:after="0"/>
      <w:jc w:val="both"/>
    </w:pPr>
    <w:rPr>
      <w:rFonts w:ascii="Times New Roman" w:hAnsi="Times New Roman" w:eastAsia="Calibri" w:cs="Times New Roman" w:eastAsiaTheme="minorHAnsi"/>
      <w:color w:val="auto"/>
      <w:kern w:val="0"/>
      <w:sz w:val="24"/>
      <w:szCs w:val="22"/>
      <w:lang w:val="ru-RU" w:eastAsia="en-US" w:bidi="ar-SA"/>
    </w:rPr>
  </w:style>
  <w:style w:type="paragraph" w:styleId="Style24" w:customStyle="1">
    <w:name w:val="ТЗ_д_Маркер_полый_буллет"/>
    <w:qFormat/>
    <w:rsid w:val="007240fe"/>
    <w:pPr>
      <w:widowControl/>
      <w:numPr>
        <w:ilvl w:val="2"/>
        <w:numId w:val="1"/>
      </w:numPr>
      <w:suppressAutoHyphens w:val="true"/>
      <w:bidi w:val="0"/>
      <w:spacing w:lineRule="auto" w:line="259" w:before="0" w:after="0"/>
      <w:ind w:left="1559" w:hanging="0"/>
      <w:jc w:val="both"/>
    </w:pPr>
    <w:rPr>
      <w:rFonts w:ascii="Times New Roman" w:hAnsi="Times New Roman" w:eastAsia="Calibri" w:cs="Times New Roman" w:eastAsiaTheme="minorHAnsi"/>
      <w:color w:val="auto"/>
      <w:kern w:val="0"/>
      <w:sz w:val="24"/>
      <w:szCs w:val="22"/>
      <w:lang w:val="ru-RU" w:eastAsia="en-US" w:bidi="ar-SA"/>
    </w:rPr>
  </w:style>
  <w:style w:type="paragraph" w:styleId="Style25" w:customStyle="1">
    <w:name w:val="ТЗ_е_Маркер_квадратный_буллет"/>
    <w:qFormat/>
    <w:rsid w:val="007240fe"/>
    <w:pPr>
      <w:widowControl/>
      <w:numPr>
        <w:ilvl w:val="3"/>
        <w:numId w:val="1"/>
      </w:numPr>
      <w:suppressAutoHyphens w:val="true"/>
      <w:bidi w:val="0"/>
      <w:spacing w:lineRule="auto" w:line="259" w:before="0" w:after="0"/>
      <w:ind w:left="1843" w:hanging="0"/>
      <w:jc w:val="both"/>
    </w:pPr>
    <w:rPr>
      <w:rFonts w:ascii="Times New Roman" w:hAnsi="Times New Roman" w:eastAsia="Calibri" w:cs="Times New Roman" w:eastAsiaTheme="minorHAnsi"/>
      <w:color w:val="auto"/>
      <w:kern w:val="0"/>
      <w:sz w:val="24"/>
      <w:szCs w:val="22"/>
      <w:lang w:val="ru-RU" w:eastAsia="en-US" w:bidi="ar-SA"/>
    </w:rPr>
  </w:style>
  <w:style w:type="paragraph" w:styleId="IndexHeading">
    <w:name w:val="Index Heading"/>
    <w:basedOn w:val="Style17"/>
    <w:pPr/>
    <w:rPr/>
  </w:style>
  <w:style w:type="paragraph" w:styleId="TOCHeading">
    <w:name w:val="TOC Heading"/>
    <w:basedOn w:val="Heading1"/>
    <w:next w:val="Normal"/>
    <w:uiPriority w:val="39"/>
    <w:unhideWhenUsed/>
    <w:qFormat/>
    <w:rsid w:val="001c33e4"/>
    <w:pPr>
      <w:spacing w:lineRule="auto" w:line="259"/>
      <w:outlineLvl w:val="9"/>
    </w:pPr>
    <w:rPr>
      <w:lang w:eastAsia="ru-RU"/>
    </w:rPr>
  </w:style>
  <w:style w:type="paragraph" w:styleId="TOC1">
    <w:name w:val="TOC 1"/>
    <w:basedOn w:val="Normal"/>
    <w:next w:val="Normal"/>
    <w:autoRedefine/>
    <w:uiPriority w:val="39"/>
    <w:unhideWhenUsed/>
    <w:rsid w:val="00df7cd2"/>
    <w:pPr>
      <w:tabs>
        <w:tab w:val="clear" w:pos="708"/>
        <w:tab w:val="left" w:pos="440" w:leader="none"/>
        <w:tab w:val="right" w:pos="9204" w:leader="dot"/>
      </w:tabs>
      <w:spacing w:before="240" w:after="120"/>
      <w:jc w:val="both"/>
    </w:pPr>
    <w:rPr>
      <w:rFonts w:ascii="Times New Roman" w:hAnsi="Times New Roman" w:cs="Times New Roman"/>
      <w:b/>
      <w:bCs/>
      <w:sz w:val="28"/>
      <w:szCs w:val="28"/>
    </w:rPr>
  </w:style>
  <w:style w:type="paragraph" w:styleId="TOC2">
    <w:name w:val="TOC 2"/>
    <w:basedOn w:val="Normal"/>
    <w:next w:val="Normal"/>
    <w:autoRedefine/>
    <w:uiPriority w:val="39"/>
    <w:unhideWhenUsed/>
    <w:rsid w:val="00935b91"/>
    <w:pPr>
      <w:spacing w:before="120" w:after="0"/>
      <w:ind w:left="220" w:hanging="0"/>
    </w:pPr>
    <w:rPr>
      <w:i/>
      <w:iCs/>
      <w:sz w:val="20"/>
      <w:szCs w:val="20"/>
    </w:rPr>
  </w:style>
  <w:style w:type="paragraph" w:styleId="TOC3">
    <w:name w:val="TOC 3"/>
    <w:basedOn w:val="Normal"/>
    <w:next w:val="Normal"/>
    <w:autoRedefine/>
    <w:uiPriority w:val="39"/>
    <w:unhideWhenUsed/>
    <w:rsid w:val="00935b91"/>
    <w:pPr>
      <w:spacing w:before="0" w:after="0"/>
      <w:ind w:left="440" w:hanging="0"/>
    </w:pPr>
    <w:rPr>
      <w:sz w:val="20"/>
      <w:szCs w:val="20"/>
    </w:rPr>
  </w:style>
  <w:style w:type="paragraph" w:styleId="TOC4">
    <w:name w:val="TOC 4"/>
    <w:basedOn w:val="Normal"/>
    <w:next w:val="Normal"/>
    <w:autoRedefine/>
    <w:uiPriority w:val="39"/>
    <w:unhideWhenUsed/>
    <w:rsid w:val="00935b91"/>
    <w:pPr>
      <w:spacing w:before="0" w:after="0"/>
      <w:ind w:left="660" w:hanging="0"/>
    </w:pPr>
    <w:rPr>
      <w:sz w:val="20"/>
      <w:szCs w:val="20"/>
    </w:rPr>
  </w:style>
  <w:style w:type="paragraph" w:styleId="TOC5">
    <w:name w:val="TOC 5"/>
    <w:basedOn w:val="Normal"/>
    <w:next w:val="Normal"/>
    <w:autoRedefine/>
    <w:uiPriority w:val="39"/>
    <w:unhideWhenUsed/>
    <w:rsid w:val="00935b91"/>
    <w:pPr>
      <w:spacing w:before="0" w:after="0"/>
      <w:ind w:left="880" w:hanging="0"/>
    </w:pPr>
    <w:rPr>
      <w:sz w:val="20"/>
      <w:szCs w:val="20"/>
    </w:rPr>
  </w:style>
  <w:style w:type="paragraph" w:styleId="TOC6">
    <w:name w:val="TOC 6"/>
    <w:basedOn w:val="Normal"/>
    <w:next w:val="Normal"/>
    <w:autoRedefine/>
    <w:uiPriority w:val="39"/>
    <w:unhideWhenUsed/>
    <w:rsid w:val="00935b91"/>
    <w:pPr>
      <w:spacing w:before="0" w:after="0"/>
      <w:ind w:left="1100" w:hanging="0"/>
    </w:pPr>
    <w:rPr>
      <w:sz w:val="20"/>
      <w:szCs w:val="20"/>
    </w:rPr>
  </w:style>
  <w:style w:type="paragraph" w:styleId="TOC7">
    <w:name w:val="TOC 7"/>
    <w:basedOn w:val="Normal"/>
    <w:next w:val="Normal"/>
    <w:autoRedefine/>
    <w:uiPriority w:val="39"/>
    <w:unhideWhenUsed/>
    <w:rsid w:val="00935b91"/>
    <w:pPr>
      <w:spacing w:before="0" w:after="0"/>
      <w:ind w:left="1320" w:hanging="0"/>
    </w:pPr>
    <w:rPr>
      <w:sz w:val="20"/>
      <w:szCs w:val="20"/>
    </w:rPr>
  </w:style>
  <w:style w:type="paragraph" w:styleId="TOC8">
    <w:name w:val="TOC 8"/>
    <w:basedOn w:val="Normal"/>
    <w:next w:val="Normal"/>
    <w:autoRedefine/>
    <w:uiPriority w:val="39"/>
    <w:unhideWhenUsed/>
    <w:rsid w:val="00935b91"/>
    <w:pPr>
      <w:spacing w:before="0" w:after="0"/>
      <w:ind w:left="1540" w:hanging="0"/>
    </w:pPr>
    <w:rPr>
      <w:sz w:val="20"/>
      <w:szCs w:val="20"/>
    </w:rPr>
  </w:style>
  <w:style w:type="paragraph" w:styleId="TOC9">
    <w:name w:val="TOC 9"/>
    <w:basedOn w:val="Normal"/>
    <w:next w:val="Normal"/>
    <w:autoRedefine/>
    <w:uiPriority w:val="39"/>
    <w:unhideWhenUsed/>
    <w:rsid w:val="00935b91"/>
    <w:pPr>
      <w:spacing w:before="0" w:after="0"/>
      <w:ind w:left="1760" w:hanging="0"/>
    </w:pPr>
    <w:rPr>
      <w:sz w:val="20"/>
      <w:szCs w:val="20"/>
    </w:rPr>
  </w:style>
  <w:style w:type="paragraph" w:styleId="Style26" w:customStyle="1">
    <w:name w:val="Таблица шапка"/>
    <w:basedOn w:val="Normal"/>
    <w:qFormat/>
    <w:rsid w:val="00d83cde"/>
    <w:pPr>
      <w:keepNext w:val="true"/>
      <w:spacing w:lineRule="auto" w:line="240" w:before="40" w:after="40"/>
      <w:ind w:left="57" w:right="57" w:hanging="0"/>
      <w:jc w:val="both"/>
    </w:pPr>
    <w:rPr>
      <w:rFonts w:ascii="Times New Roman" w:hAnsi="Times New Roman" w:eastAsia="Times New Roman" w:cs="Times New Roman"/>
      <w:szCs w:val="26"/>
      <w:lang w:eastAsia="ru-RU"/>
    </w:rPr>
  </w:style>
  <w:style w:type="paragraph" w:styleId="Style27" w:customStyle="1">
    <w:name w:val="Содержимое таблицы"/>
    <w:basedOn w:val="Normal"/>
    <w:qFormat/>
    <w:pPr>
      <w:widowControl w:val="false"/>
      <w:suppressLineNumbers/>
    </w:pPr>
    <w:rPr/>
  </w:style>
  <w:style w:type="paragraph" w:styleId="Style28" w:customStyle="1">
    <w:name w:val="Заголовок таблицы"/>
    <w:basedOn w:val="Style27"/>
    <w:qFormat/>
    <w:pPr>
      <w:jc w:val="center"/>
    </w:pPr>
    <w:rPr>
      <w:b/>
      <w:bCs/>
    </w:rPr>
  </w:style>
  <w:style w:type="paragraph" w:styleId="Style29" w:customStyle="1">
    <w:name w:val="Таблица"/>
    <w:basedOn w:val="Normal"/>
    <w:qFormat/>
    <w:rsid w:val="00646740"/>
    <w:pPr>
      <w:keepNext w:val="true"/>
      <w:suppressAutoHyphens w:val="false"/>
      <w:spacing w:lineRule="auto" w:line="240" w:before="60" w:after="60"/>
      <w:jc w:val="center"/>
    </w:pPr>
    <w:rPr>
      <w:rFonts w:ascii="Liberation Serif" w:hAnsi="Liberation Serif" w:eastAsia="Calibri" w:cs="Arial Unicode MS"/>
      <w:b/>
      <w:kern w:val="2"/>
      <w:sz w:val="24"/>
      <w:szCs w:val="24"/>
      <w:lang w:val="x-none" w:eastAsia="x-none" w:bidi="hi-IN"/>
    </w:rPr>
  </w:style>
  <w:style w:type="numbering" w:styleId="NoList" w:default="1">
    <w:name w:val="No List"/>
    <w:uiPriority w:val="99"/>
    <w:semiHidden/>
    <w:unhideWhenUsed/>
    <w:qFormat/>
  </w:style>
  <w:style w:type="numbering" w:styleId="40426973301" w:customStyle="1">
    <w:name w:val="40426973301"/>
    <w:qFormat/>
  </w:style>
  <w:style w:type="table" w:default="1" w:styleId="a5">
    <w:name w:val="Normal Table"/>
    <w:uiPriority w:val="99"/>
    <w:semiHidden/>
    <w:unhideWhenUsed/>
    <w:tblPr>
      <w:tblCellMar>
        <w:top w:w="0" w:type="dxa"/>
        <w:left w:w="108" w:type="dxa"/>
        <w:bottom w:w="0" w:type="dxa"/>
        <w:right w:w="108" w:type="dxa"/>
      </w:tblCellMar>
    </w:tblPr>
  </w:style>
  <w:style w:type="table" w:styleId="affe">
    <w:name w:val="Table Grid"/>
    <w:basedOn w:val="a5"/>
    <w:uiPriority w:val="59"/>
    <w:rsid w:val="00d9154f"/>
    <w:rPr>
      <w:lang w:eastAsia="ru-RU"/>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
    <w:name w:val="Сетка таблицы1"/>
    <w:basedOn w:val="a5"/>
    <w:uiPriority w:val="59"/>
    <w:rsid w:val="00917186"/>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49B86-5500-4B26-85AC-0BDE39C5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Application>AlterOffice/3.4.0.9$Linux_X86_64 LibreOffice_project/b8daf9e823b1a5463a2f48435ddc2e8696e7d4fc</Application>
  <AppVersion>15.0000</AppVersion>
  <Pages>14</Pages>
  <Words>2237</Words>
  <Characters>15223</Characters>
  <CharactersWithSpaces>17156</CharactersWithSpaces>
  <Paragraphs>324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2025-02-26T06:46:00Z</dcterms:created>
  <dc:creator>Дроздов Олег Павлович</dc:creator>
  <dc:description/>
  <dc:language>ru-RU</dc:language>
  <cp:lastModifiedBy>pogrebskyis@corp.gidroogk.com</cp:lastModifiedBy>
  <cp:lastPrinted>2022-03-04T10:09:00Z</cp:lastPrinted>
  <dcterms:modified xsi:type="dcterms:W3CDTF">2026-09-09T09:40:19Z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file>