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2.xml" ContentType="application/xml"/>
  <Override PartName="/customXml/itemProps1.xml" ContentType="application/vnd.openxmlformats-officedocument.customXmlProperties+xml"/>
  <Override PartName="/customXml/_rels/item2.xml.rels" ContentType="application/vnd.openxmlformats-package.relationships+xml"/>
  <Override PartName="/customXml/_rels/item1.xml.rels" ContentType="application/vnd.openxmlformats-package.relationships+xml"/>
  <Override PartName="/customXml/item1.xml" ContentType="application/xml"/>
  <Override PartName="/word/_rels/document.xml.rels" ContentType="application/vnd.openxmlformats-package.relationships+xml"/>
  <Override PartName="/word/header5.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footer4.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footer2.xml" ContentType="application/vnd.openxmlformats-officedocument.wordprocessingml.footer+xml"/>
  <Override PartName="/word/settings.xml" ContentType="application/vnd.openxmlformats-officedocument.wordprocessingml.settings+xml"/>
  <Override PartName="/word/header1.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6.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 xml:space="preserve">Договор подряда № </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9"/>
          <w:tab w:val="right" w:pos="993" w:leader="none"/>
        </w:tabs>
        <w:spacing w:lineRule="auto" w:line="240"/>
        <w:ind w:hanging="0"/>
        <w:rPr>
          <w:bCs/>
          <w:color w:val="000000"/>
          <w:sz w:val="24"/>
          <w:szCs w:val="24"/>
        </w:rPr>
      </w:pPr>
      <w:r>
        <w:rPr>
          <w:bCs/>
          <w:color w:val="000000"/>
          <w:sz w:val="24"/>
          <w:szCs w:val="24"/>
        </w:rPr>
        <w:t>пгт.Правокубанский</w:t>
        <w:tab/>
        <w:tab/>
        <w:tab/>
        <w:tab/>
        <w:tab/>
        <w:tab/>
        <w:t xml:space="preserve">                        «___» _________ 2026 г.</w:t>
      </w:r>
    </w:p>
    <w:p>
      <w:pPr>
        <w:pStyle w:val="Normal"/>
        <w:shd w:val="clear" w:color="auto" w:fill="FFFFFF"/>
        <w:tabs>
          <w:tab w:val="clear" w:pos="709"/>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auto"/>
        </w:rPr>
      </w:pPr>
      <w:r>
        <w:rPr>
          <w:b/>
          <w:color w:val="auto"/>
          <w:lang w:val="ru-RU"/>
        </w:rPr>
        <w:t>Публичное акционерное общество «Федеральная гидрогенерирующая компания – РусГидро» (ПАО «РусГидро»)</w:t>
      </w:r>
      <w:r>
        <w:rPr>
          <w:color w:val="auto"/>
          <w:lang w:val="ru-RU"/>
        </w:rPr>
        <w:t xml:space="preserve"> (далее – «Заказчик»), в </w:t>
      </w:r>
      <w:r>
        <w:rPr>
          <w:color w:val="auto"/>
          <w:spacing w:val="-1"/>
          <w:lang w:val="ru-RU"/>
        </w:rPr>
        <w:t>лице директора Филиала ПАО «РусГидро» - «Карачаево-Черкесский филиал» Виталия Ивановича Шульженко, действующего на основании машиночитаемой доверенности №8dc567ef-41b2-4923-af6c-e5edf10b665f, дата выдачи 13.01.2026 ,</w:t>
      </w:r>
      <w:r>
        <w:rPr>
          <w:color w:val="auto"/>
        </w:rPr>
        <w:t xml:space="preserve"> с одной стороны, и </w:t>
      </w:r>
    </w:p>
    <w:p>
      <w:pPr>
        <w:pStyle w:val="BodyText3"/>
        <w:ind w:firstLine="708"/>
        <w:rPr>
          <w:color w:val="auto"/>
        </w:rPr>
      </w:pPr>
      <w:r>
        <w:rPr>
          <w:b/>
          <w:bCs/>
          <w:color w:val="000000"/>
        </w:rPr>
        <w:t>________ («_______»)</w:t>
      </w:r>
      <w:r>
        <w:rPr>
          <w:color w:val="000000"/>
        </w:rPr>
        <w:t xml:space="preserve"> (далее – «Подрядчик»), в лице _________, действующего на основании Устава, с другой стороны, </w:t>
      </w:r>
    </w:p>
    <w:p>
      <w:pPr>
        <w:pStyle w:val="BodyText3"/>
        <w:ind w:firstLine="708"/>
        <w:rPr/>
      </w:pPr>
      <w:r>
        <w:rPr>
          <w:color w:val="000000"/>
        </w:rPr>
        <w:t xml:space="preserve">совместно в дальнейшем именуемые «Стороны», а по отдельности – «Сторона», по результатам проведенной Заказчиком </w:t>
      </w:r>
      <w:r>
        <w:rPr>
          <w:color w:val="000000"/>
          <w:lang w:val="ru-RU"/>
        </w:rPr>
        <w:t>закупочной</w:t>
      </w:r>
      <w:r>
        <w:rPr>
          <w:color w:val="000000"/>
        </w:rPr>
        <w:t xml:space="preserve"> процедуры по лоту № 182084-РЕМ ПРОД-2026-КЧФ</w:t>
      </w:r>
      <w:r>
        <w:rPr>
          <w:bCs/>
          <w:color w:val="000000"/>
          <w:lang w:val="ru-RU"/>
        </w:rPr>
        <w:t xml:space="preserve">, </w:t>
      </w:r>
    </w:p>
    <w:p>
      <w:pPr>
        <w:pStyle w:val="BodyText3"/>
        <w:ind w:firstLine="708"/>
        <w:rPr/>
      </w:pPr>
      <w:r>
        <w:rPr>
          <w:color w:val="000000"/>
        </w:rPr>
        <w:t>заключили настоящий договор (далее – «Договор») о нижеследующем:</w:t>
      </w:r>
    </w:p>
    <w:p>
      <w:pPr>
        <w:pStyle w:val="BodyText3"/>
        <w:ind w:firstLine="708"/>
        <w:rPr>
          <w:color w:val="auto"/>
          <w:lang w:val="ru-RU"/>
        </w:rPr>
      </w:pPr>
      <w:r>
        <w:rPr>
          <w:color w:val="auto"/>
          <w:lang w:val="ru-RU"/>
        </w:rPr>
      </w:r>
    </w:p>
    <w:p>
      <w:pPr>
        <w:pStyle w:val="ListParagraph"/>
        <w:shd w:val="clear" w:color="auto" w:fill="FFFFFF"/>
        <w:tabs>
          <w:tab w:val="clear" w:pos="709"/>
          <w:tab w:val="left" w:pos="284" w:leader="none"/>
        </w:tabs>
        <w:ind w:left="0" w:hanging="0"/>
        <w:jc w:val="center"/>
        <w:rPr>
          <w:b/>
          <w:bCs/>
        </w:rPr>
      </w:pPr>
      <w:r>
        <w:rPr>
          <w:b/>
          <w:bCs/>
        </w:rPr>
        <w:t>Термины и определения</w:t>
      </w:r>
    </w:p>
    <w:p>
      <w:pPr>
        <w:pStyle w:val="BodyText3"/>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ind w:left="0" w:firstLine="708"/>
        <w:jc w:val="both"/>
        <w:rPr>
          <w:lang w:eastAsia="en-US"/>
        </w:rPr>
      </w:pPr>
      <w:r>
        <w:rPr>
          <w:b/>
          <w:lang w:eastAsia="en-US"/>
        </w:rPr>
        <w:t xml:space="preserve">«Акт КС-2», «Справка КС-3» – </w:t>
      </w:r>
      <w:r>
        <w:rPr>
          <w:lang w:eastAsia="en-US"/>
        </w:rPr>
        <w:t>документы, оформляемые по унифицированным формам №№ КС-2 «Акт о приемке выполненных работ» и КС-3 «Справка о стоимости выполненных работ и затрат», утвержденным постановлением Госкомстата РФ от 11.11.1999 № 100.</w:t>
      </w:r>
    </w:p>
    <w:p>
      <w:pPr>
        <w:pStyle w:val="Normal"/>
        <w:spacing w:lineRule="auto" w:line="240"/>
        <w:ind w:firstLine="708"/>
        <w:rPr>
          <w:sz w:val="24"/>
          <w:szCs w:val="24"/>
        </w:rPr>
      </w:pPr>
      <w:r>
        <w:rPr>
          <w:b/>
          <w:lang w:eastAsia="en-US"/>
        </w:rPr>
        <w:t>«</w:t>
      </w:r>
      <w:r>
        <w:rPr>
          <w:b/>
          <w:sz w:val="24"/>
          <w:szCs w:val="24"/>
          <w:lang w:eastAsia="en-US"/>
        </w:rPr>
        <w:t xml:space="preserve">Акт ОС-3» – </w:t>
      </w:r>
      <w:r>
        <w:rPr>
          <w:sz w:val="24"/>
          <w:szCs w:val="24"/>
          <w:lang w:eastAsia="en-US"/>
        </w:rPr>
        <w:t>документ, оформляемый по унифицированной форме № ОС-3 «А</w:t>
      </w:r>
      <w:r>
        <w:rPr>
          <w:sz w:val="24"/>
          <w:szCs w:val="24"/>
        </w:rPr>
        <w:t>кт</w:t>
      </w:r>
      <w:r>
        <w:rPr>
          <w:bCs/>
          <w:sz w:val="24"/>
          <w:szCs w:val="24"/>
        </w:rPr>
        <w:t xml:space="preserve"> о приеме-сдаче отремонтированных, реконструированных, модернизированных объектов основных средств», утвержденной </w:t>
      </w:r>
      <w:r>
        <w:rPr>
          <w:sz w:val="24"/>
          <w:szCs w:val="24"/>
        </w:rPr>
        <w:t xml:space="preserve">Постановлением Госкомстата РФ от 21.01.2003 № 7.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«Банковская гарантия» – </w:t>
      </w:r>
      <w:r>
        <w:rPr>
          <w:lang w:eastAsia="en-US"/>
        </w:rPr>
        <w:t>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N 758), в той мере, в какой указанные правила не противоречат законодательству Российской Федерации и условиям настоящего Договора.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 </w:t>
      </w:r>
      <w:r>
        <w:rPr>
          <w:b/>
          <w:lang w:eastAsia="en-US"/>
        </w:rPr>
        <w:t>«Гарантийный срок»</w:t>
      </w:r>
      <w:r>
        <w:rPr/>
        <w:t xml:space="preserve"> </w:t>
      </w:r>
      <w:r>
        <w:rPr>
          <w:lang w:eastAsia="en-US"/>
        </w:rPr>
        <w:t>– период, в течение которого качество выполненных Работ, использованных Материально-технических ресурсов должно соответствовать требованиям Договора и Применимого права, и Подрядчик обязуется устранять все выявленные Заказчиком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Результата Работ.</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«ИС Maximo» </w:t>
      </w:r>
      <w:r>
        <w:rPr>
          <w:lang w:eastAsia="en-US"/>
        </w:rPr>
        <w:t xml:space="preserve">– </w:t>
      </w:r>
      <w:r>
        <w:rPr/>
        <w:t>информационная система управления фондами и активами предприятия «Maximo».</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«Исполнительная документация» – </w:t>
      </w:r>
      <w:r>
        <w:rPr>
          <w:lang w:eastAsia="en-US"/>
        </w:rPr>
        <w:t>комплект рабочих чертежей с надписями о соответствии выполненных в натуре Работ по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 Исполнительная документация, с учетом специфики выполняемых по настоящему Договору Работ, включает в себя и другие документы из числа предусмотренных СНиП 12-01-2004, при наличии соответствующих указаний в Техническом задании (Приложение № 1 к Договору).</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 </w:t>
      </w: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«Лимит на непредвиденные работы и затраты»</w:t>
      </w:r>
      <w:r>
        <w:rPr>
          <w:lang w:eastAsia="en-US"/>
        </w:rPr>
        <w:t xml:space="preserve"> – резерв средств на работы и затраты, предназначенный для возмещения стоимости работ и затрат, потребность в которых возникает у Подрядчика в процессе выполнения Работ по Договору в результате проведенной дефектации оборудования, зданий и / или сооружений.</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«Материально-технические ресурсы»</w:t>
      </w:r>
      <w:r>
        <w:rPr>
          <w:lang w:eastAsia="en-US"/>
        </w:rPr>
        <w:t xml:space="preserve"> – всевозможные материалы, запасные части, строительные конструкции, детали, комплектующие изделия, инвентарь, отделочные материалы, сырье, смазочные материалы, иные товары, которые Подрядчик должен задействовать, использовать, смонтировать на Объекте согласно условиям Договора, необходимые для выполнения Работ по Договору и последующей нормальной и надежной эксплуатации Объекта.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«Объект»</w:t>
      </w:r>
      <w:r>
        <w:rPr>
          <w:lang w:eastAsia="en-US"/>
        </w:rPr>
        <w:t xml:space="preserve"> – объект основных средств Заказчика и / или совокупность технологически связанных объектов основных средств Заказчика, в отношении которого целесообразна / необходима самостоятельная приемка, опробование.</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«Применимое право»</w:t>
      </w:r>
      <w:r>
        <w:rPr>
          <w:b w:val="false"/>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 включая оборудование, и Объекту.</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«Приемо-сдаточная документация»</w:t>
      </w:r>
      <w:r>
        <w:rPr>
          <w:lang w:eastAsia="en-US"/>
        </w:rPr>
        <w:t xml:space="preserve"> – документация, оформляемая Подрядчиком при завершении выполнения Работ по Объекту.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lang w:eastAsia="en-US"/>
        </w:rPr>
        <w:t>К Приемо-сдаточной документации относятся:</w:t>
      </w:r>
    </w:p>
    <w:p>
      <w:pPr>
        <w:pStyle w:val="ListParagraph"/>
        <w:widowControl w:val="false"/>
        <w:numPr>
          <w:ilvl w:val="0"/>
          <w:numId w:val="7"/>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Эксплуатационная документация, сертификаты, технические условия, протоколы, инструкции, паспорта;</w:t>
      </w:r>
    </w:p>
    <w:p>
      <w:pPr>
        <w:pStyle w:val="ListParagraph"/>
        <w:widowControl w:val="false"/>
        <w:numPr>
          <w:ilvl w:val="0"/>
          <w:numId w:val="7"/>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Документы, удостоверяющие качество используемых Подрядчиком Материально-технических ресурсов;</w:t>
      </w:r>
    </w:p>
    <w:p>
      <w:pPr>
        <w:pStyle w:val="ListParagraph"/>
        <w:widowControl w:val="false"/>
        <w:numPr>
          <w:ilvl w:val="0"/>
          <w:numId w:val="7"/>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Пофамильные списки персонала, задействованного при производстве Работ, а также копии всех документов, подтверждающих его квалификацию.</w:t>
      </w:r>
    </w:p>
    <w:p>
      <w:pPr>
        <w:pStyle w:val="ListParagraph"/>
        <w:widowControl w:val="false"/>
        <w:shd w:val="clear" w:color="auto" w:fill="FFFFFF"/>
        <w:tabs>
          <w:tab w:val="clear" w:pos="709"/>
          <w:tab w:val="left" w:pos="567" w:leader="none"/>
          <w:tab w:val="left" w:pos="1134" w:leader="none"/>
        </w:tabs>
        <w:ind w:left="0" w:firstLine="720"/>
        <w:jc w:val="both"/>
        <w:textAlignment w:val="baseline"/>
        <w:rPr>
          <w:lang w:eastAsia="en-US"/>
        </w:rPr>
      </w:pPr>
      <w:r>
        <w:rPr>
          <w:lang w:eastAsia="en-US"/>
        </w:rPr>
        <w:t>При сдаче Объекта в эксплуатацию приемо-сдаточная документация передается Заказчику на постоянное хранение и используется в процессе эксплуатации Объекта.</w:t>
      </w:r>
    </w:p>
    <w:p>
      <w:pPr>
        <w:pStyle w:val="Heading3"/>
        <w:keepNext w:val="false"/>
        <w:widowControl w:val="false"/>
        <w:tabs>
          <w:tab w:val="clear" w:pos="709"/>
          <w:tab w:val="left" w:pos="567" w:leader="none"/>
        </w:tabs>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производимые / выполняемые Подрядчиком на свой риск, с использованием своих и / или привлеченных за свой счет сил и средств (Материально-технических ресурсов, инструмента),  в соответствии с условиями Договора и Применимым правом работы, в том числе ремонтные работы,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и / или дефект</w:t>
      </w:r>
      <w:r>
        <w:rPr>
          <w:b w:val="false"/>
          <w:sz w:val="24"/>
          <w:szCs w:val="24"/>
          <w:lang w:val="ru-RU" w:eastAsia="ru-RU"/>
        </w:rPr>
        <w:t>ов</w:t>
      </w:r>
      <w:r>
        <w:rPr>
          <w:b w:val="false"/>
          <w:sz w:val="24"/>
          <w:szCs w:val="24"/>
          <w:lang w:eastAsia="ru-RU"/>
        </w:rPr>
        <w:t xml:space="preserve"> в </w:t>
      </w:r>
      <w:r>
        <w:rPr>
          <w:b w:val="false"/>
          <w:sz w:val="24"/>
          <w:szCs w:val="24"/>
          <w:lang w:val="ru-RU" w:eastAsia="ru-RU"/>
        </w:rPr>
        <w:t>Р</w:t>
      </w:r>
      <w:r>
        <w:rPr>
          <w:b w:val="false"/>
          <w:sz w:val="24"/>
          <w:szCs w:val="24"/>
          <w:lang w:eastAsia="ru-RU"/>
        </w:rPr>
        <w:t>езультат</w:t>
      </w:r>
      <w:r>
        <w:rPr>
          <w:b w:val="false"/>
          <w:sz w:val="24"/>
          <w:szCs w:val="24"/>
          <w:lang w:val="ru-RU" w:eastAsia="ru-RU"/>
        </w:rPr>
        <w:t>е</w:t>
      </w:r>
      <w:r>
        <w:rPr>
          <w:b w:val="false"/>
          <w:sz w:val="24"/>
          <w:szCs w:val="24"/>
          <w:lang w:eastAsia="ru-RU"/>
        </w:rPr>
        <w:t xml:space="preserve"> </w:t>
      </w:r>
      <w:r>
        <w:rPr>
          <w:b w:val="false"/>
          <w:sz w:val="24"/>
          <w:szCs w:val="24"/>
          <w:lang w:val="ru-RU" w:eastAsia="ru-RU"/>
        </w:rPr>
        <w:t>работ</w:t>
      </w:r>
      <w:r>
        <w:rPr>
          <w:b w:val="false"/>
          <w:sz w:val="24"/>
          <w:szCs w:val="24"/>
          <w:lang w:eastAsia="ru-RU"/>
        </w:rPr>
        <w:t>, а также любые иные работы</w:t>
      </w:r>
      <w:r>
        <w:rPr>
          <w:b w:val="false"/>
          <w:sz w:val="24"/>
          <w:szCs w:val="24"/>
          <w:lang w:val="ru-RU" w:eastAsia="ru-RU"/>
        </w:rPr>
        <w:t xml:space="preserve"> (в том числе приобретение Материально-технических ресурсов)</w:t>
      </w:r>
      <w:r>
        <w:rPr>
          <w:b w:val="false"/>
          <w:sz w:val="24"/>
          <w:szCs w:val="24"/>
          <w:lang w:eastAsia="ru-RU"/>
        </w:rPr>
        <w:t xml:space="preserve">,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tabs>
          <w:tab w:val="clear" w:pos="709"/>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p>
    <w:p>
      <w:pPr>
        <w:pStyle w:val="Normal"/>
        <w:widowControl w:val="false"/>
        <w:tabs>
          <w:tab w:val="clear" w:pos="709"/>
          <w:tab w:val="left" w:pos="567" w:leader="none"/>
        </w:tabs>
        <w:spacing w:lineRule="auto" w:line="240"/>
        <w:ind w:firstLine="708"/>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отремонтированный Объект, принятый Заказчиком в Гарантийную эксплуатацию по Акту КС-2, соответствующий требованиям, изложенным в Техническом задании (Приложение № 1 к Договору).</w:t>
      </w:r>
    </w:p>
    <w:p>
      <w:pPr>
        <w:pStyle w:val="Normal"/>
        <w:tabs>
          <w:tab w:val="left" w:pos="709" w:leader="none"/>
        </w:tabs>
        <w:spacing w:lineRule="auto" w:line="240"/>
        <w:ind w:firstLine="709"/>
        <w:rPr>
          <w:bCs/>
          <w:sz w:val="24"/>
          <w:szCs w:val="24"/>
        </w:rPr>
      </w:pPr>
      <w:r>
        <w:rPr>
          <w:b/>
          <w:sz w:val="24"/>
          <w:szCs w:val="24"/>
        </w:rPr>
        <w:t>«Скрытые работы»</w:t>
      </w:r>
      <w:r>
        <w:rPr>
          <w:sz w:val="24"/>
          <w:szCs w:val="24"/>
        </w:rPr>
        <w:t xml:space="preserve"> – отдельные виды работ, качество выполнения которых оказывает влияние на безопасность и (или) долговечность объекта капитального строительства, </w:t>
      </w:r>
      <w:r>
        <w:rPr>
          <w:bCs/>
          <w:sz w:val="24"/>
          <w:szCs w:val="24"/>
        </w:rPr>
        <w:t>но в соответствии с технологией их проведения контроль за их осуществлением не может быть проведен Заказчиком после выполнения последующих работ без вскрытия, разборки или повреждения строительных конструкций и участков сетей (систем) инженерно-технического обеспечения.</w:t>
      </w:r>
    </w:p>
    <w:p>
      <w:pPr>
        <w:pStyle w:val="Heading3"/>
        <w:keepNext w:val="false"/>
        <w:widowControl w:val="false"/>
        <w:tabs>
          <w:tab w:val="clear" w:pos="709"/>
          <w:tab w:val="left" w:pos="567" w:leader="none"/>
        </w:tabs>
        <w:spacing w:before="0" w:after="0"/>
        <w:ind w:firstLine="708"/>
        <w:jc w:val="both"/>
        <w:textAlignment w:val="baseline"/>
        <w:rPr>
          <w:sz w:val="24"/>
          <w:szCs w:val="24"/>
          <w:lang w:val="ru-RU" w:eastAsia="en-US"/>
        </w:rPr>
      </w:pPr>
      <w:r>
        <w:rPr>
          <w:b w:val="false"/>
          <w:sz w:val="22"/>
          <w:szCs w:val="22"/>
          <w:lang w:val="ru-RU" w:eastAsia="en-US"/>
        </w:rPr>
        <w:t>Скрытые работы предъявляются Заказчику к осмотру и приемке по акту освидетельствования Скрытых работ или акту промежуточной приёмки ответственных конструкций до их закрытия последующими видами Работ и / или конструкциями.</w:t>
      </w:r>
      <w:r>
        <w:rPr>
          <w:sz w:val="24"/>
          <w:szCs w:val="24"/>
          <w:lang w:val="ru-RU" w:eastAsia="en-US"/>
        </w:rPr>
        <w:t xml:space="preserve">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«Строительная площадка»</w:t>
      </w:r>
      <w:r>
        <w:rPr>
          <w:b w:val="false"/>
          <w:sz w:val="24"/>
          <w:szCs w:val="24"/>
          <w:lang w:val="ru-RU" w:eastAsia="en-US"/>
        </w:rPr>
        <w:t xml:space="preserve"> или </w:t>
      </w:r>
      <w:r>
        <w:rPr>
          <w:sz w:val="24"/>
          <w:szCs w:val="24"/>
          <w:lang w:val="ru-RU" w:eastAsia="en-US"/>
        </w:rPr>
        <w:t>«Стройплощадка»</w:t>
      </w:r>
      <w:r>
        <w:rPr>
          <w:b w:val="false"/>
          <w:sz w:val="24"/>
          <w:szCs w:val="24"/>
          <w:lang w:val="ru-RU" w:eastAsia="en-US"/>
        </w:rPr>
        <w:t xml:space="preserve"> – предоставляемая Подрядчику по акту для выполнения Работ территория в месте выполнения Работ, расположенном по адресу: </w:t>
      </w:r>
      <w:r>
        <w:rPr>
          <w:b w:val="false"/>
          <w:bCs/>
          <w:sz w:val="24"/>
          <w:szCs w:val="24"/>
          <w:lang w:val="ru-RU" w:eastAsia="en-US"/>
        </w:rPr>
        <w:t>369244, Карачаево-Черкесская Республика, Карачаевский район, пос. Правокубанский</w:t>
      </w:r>
      <w:r>
        <w:rPr>
          <w:b w:val="false"/>
          <w:sz w:val="24"/>
          <w:szCs w:val="24"/>
          <w:lang w:val="ru-RU" w:eastAsia="en-US"/>
        </w:rPr>
        <w:t>.</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характеристики Объекта, объем и состав Работ по Договору и требования Заказчика к выполнению Подрядчиком Работ по Договору в целом.</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Normal"/>
        <w:spacing w:lineRule="auto" w:line="240"/>
        <w:rPr>
          <w:lang w:val="x-none" w:eastAsia="x-none"/>
        </w:rPr>
      </w:pPr>
      <w:r>
        <w:rPr>
          <w:lang w:val="x-none" w:eastAsia="x-none"/>
        </w:rPr>
      </w:r>
    </w:p>
    <w:p>
      <w:pPr>
        <w:pStyle w:val="ListParagraph"/>
        <w:numPr>
          <w:ilvl w:val="0"/>
          <w:numId w:val="4"/>
        </w:numPr>
        <w:shd w:val="clear" w:color="auto" w:fill="FFFFFF"/>
        <w:tabs>
          <w:tab w:val="clear" w:pos="709"/>
          <w:tab w:val="left" w:pos="284" w:leader="none"/>
        </w:tabs>
        <w:ind w:left="0" w:hanging="0"/>
        <w:jc w:val="center"/>
        <w:rPr>
          <w:b/>
          <w:bCs/>
        </w:rPr>
      </w:pPr>
      <w:r>
        <w:rPr>
          <w:b/>
          <w:bCs/>
        </w:rPr>
        <w:t>Предмет Договора</w:t>
      </w:r>
    </w:p>
    <w:p>
      <w:pPr>
        <w:pStyle w:val="ListParagraph"/>
        <w:numPr>
          <w:ilvl w:val="1"/>
          <w:numId w:val="4"/>
        </w:numPr>
        <w:shd w:val="clear" w:color="auto" w:fill="FFFFFF"/>
        <w:tabs>
          <w:tab w:val="clear" w:pos="709"/>
          <w:tab w:val="left" w:pos="1134" w:leader="none"/>
        </w:tabs>
        <w:ind w:left="0" w:firstLine="709"/>
        <w:jc w:val="both"/>
        <w:rPr>
          <w:bCs/>
        </w:rPr>
      </w:pPr>
      <w:bookmarkStart w:id="0" w:name="_Ref361410951"/>
      <w:r>
        <w:rPr>
          <w:bCs/>
        </w:rPr>
        <w:t xml:space="preserve">Подрядчик обязуется по заданию Заказчика в соответствии с Техническим заданием (Приложение </w:t>
      </w:r>
      <w:r>
        <w:rPr/>
        <w:t xml:space="preserve">№ 1 к Договору) выполнить работы по </w:t>
      </w:r>
      <w:r>
        <w:rPr>
          <w:b/>
          <w:bCs/>
        </w:rPr>
        <w:t xml:space="preserve">ОКПД2 42.91.20.190 Текущему ремонту сооружений Зеленчукской ГЭС-ГАЭС </w:t>
      </w:r>
      <w:r>
        <w:rPr/>
        <w:t>(далее по тексту – «Работы»), а также сдать Результат Работ Заказчику, а Заказчик обязуется</w:t>
      </w:r>
      <w:r>
        <w:rPr>
          <w:bCs/>
        </w:rPr>
        <w:t xml:space="preserve"> создать Подрядчику указанные в Договоре условия для выполнения Работ, принять Результат Работ и уплатить Цену Договора.</w:t>
      </w:r>
      <w:bookmarkEnd w:id="0"/>
    </w:p>
    <w:p>
      <w:pPr>
        <w:pStyle w:val="ListParagraph"/>
        <w:numPr>
          <w:ilvl w:val="1"/>
          <w:numId w:val="4"/>
        </w:numPr>
        <w:shd w:val="clear" w:color="auto" w:fill="FFFFFF"/>
        <w:tabs>
          <w:tab w:val="clear" w:pos="709"/>
          <w:tab w:val="left" w:pos="1134" w:leader="none"/>
        </w:tabs>
        <w:ind w:left="0" w:firstLine="709"/>
        <w:jc w:val="both"/>
        <w:rPr>
          <w:bCs/>
        </w:rPr>
      </w:pPr>
      <w:r>
        <w:rPr>
          <w:bCs/>
        </w:rPr>
        <w:t>Объем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Работы по Договору выполняются для нужд Филиала ПАО «РусГидро» - «Карачаево-Черкесский филиал». </w:t>
      </w:r>
    </w:p>
    <w:p>
      <w:pPr>
        <w:pStyle w:val="ListParagraph"/>
        <w:numPr>
          <w:ilvl w:val="1"/>
          <w:numId w:val="4"/>
        </w:numPr>
        <w:shd w:val="clear" w:color="auto" w:fill="FFFFFF"/>
        <w:tabs>
          <w:tab w:val="clear" w:pos="709"/>
          <w:tab w:val="left" w:pos="1134" w:leader="none"/>
        </w:tabs>
        <w:ind w:left="0" w:firstLine="709"/>
        <w:jc w:val="both"/>
        <w:rPr/>
      </w:pPr>
      <w:r>
        <w:rPr>
          <w:bCs/>
        </w:rPr>
        <w:t>Место выполнения Работ: 369244, Карачаево-Черкесская Республика, Карачаевский район, пос. Правокубанский.</w:t>
      </w:r>
    </w:p>
    <w:p>
      <w:pPr>
        <w:pStyle w:val="ListParagraph"/>
        <w:numPr>
          <w:ilvl w:val="1"/>
          <w:numId w:val="4"/>
        </w:numPr>
        <w:shd w:val="clear" w:color="auto" w:fill="FFFFFF"/>
        <w:tabs>
          <w:tab w:val="clear" w:pos="709"/>
          <w:tab w:val="left" w:pos="1134" w:leader="none"/>
        </w:tabs>
        <w:ind w:left="0" w:firstLine="709"/>
        <w:jc w:val="both"/>
        <w:rPr/>
      </w:pPr>
      <w:bookmarkStart w:id="1" w:name="_Ref361320424"/>
      <w:r>
        <w:rPr>
          <w:bCs/>
        </w:rPr>
        <w:t>Работы выполняются Подрядчиком в следующие сроки:</w:t>
      </w:r>
      <w:bookmarkEnd w:id="1"/>
    </w:p>
    <w:p>
      <w:pPr>
        <w:pStyle w:val="ListParagraph"/>
        <w:numPr>
          <w:ilvl w:val="2"/>
          <w:numId w:val="4"/>
        </w:numPr>
        <w:shd w:val="clear" w:color="auto" w:fill="FFFFFF"/>
        <w:tabs>
          <w:tab w:val="clear" w:pos="709"/>
          <w:tab w:val="left" w:pos="1418" w:leader="none"/>
        </w:tabs>
        <w:ind w:left="0" w:firstLine="709"/>
        <w:jc w:val="both"/>
        <w:rPr/>
      </w:pPr>
      <w:r>
        <w:rPr>
          <w:bCs/>
        </w:rPr>
        <w:t>начало выполнения Работ: 09.10.2026</w:t>
      </w:r>
      <w:r>
        <w:rPr/>
        <w:t>;</w:t>
      </w:r>
    </w:p>
    <w:p>
      <w:pPr>
        <w:pStyle w:val="ListParagraph"/>
        <w:numPr>
          <w:ilvl w:val="2"/>
          <w:numId w:val="4"/>
        </w:numPr>
        <w:shd w:val="clear" w:color="auto" w:fill="FFFFFF"/>
        <w:tabs>
          <w:tab w:val="clear" w:pos="709"/>
          <w:tab w:val="left" w:pos="1418" w:leader="none"/>
        </w:tabs>
        <w:ind w:left="0" w:firstLine="709"/>
        <w:jc w:val="both"/>
        <w:rPr/>
      </w:pPr>
      <w:r>
        <w:rPr>
          <w:bCs/>
        </w:rPr>
        <w:t>окончание выполнения Работ: 20.03.2027</w:t>
      </w:r>
      <w:r>
        <w:rPr/>
        <w:t>.</w:t>
      </w:r>
    </w:p>
    <w:p>
      <w:pPr>
        <w:pStyle w:val="ListParagraph"/>
        <w:shd w:val="clear" w:color="auto" w:fill="FFFFFF"/>
        <w:tabs>
          <w:tab w:val="clear" w:pos="709"/>
          <w:tab w:val="left" w:pos="1134" w:leader="none"/>
        </w:tabs>
        <w:ind w:left="0" w:hanging="0"/>
        <w:jc w:val="both"/>
        <w:rPr>
          <w:bCs/>
        </w:rPr>
      </w:pPr>
      <w:r>
        <w:rPr>
          <w:bCs/>
        </w:rPr>
      </w:r>
    </w:p>
    <w:p>
      <w:pPr>
        <w:pStyle w:val="Normal"/>
        <w:widowControl w:val="false"/>
        <w:shd w:val="clear" w:color="auto" w:fill="FFFFFF"/>
        <w:spacing w:lineRule="auto" w:line="240"/>
        <w:ind w:left="567" w:hanging="0"/>
        <w:rPr>
          <w:sz w:val="24"/>
          <w:szCs w:val="24"/>
        </w:rPr>
      </w:pPr>
      <w:r>
        <w:rPr>
          <w:sz w:val="24"/>
          <w:szCs w:val="24"/>
        </w:rPr>
      </w:r>
    </w:p>
    <w:p>
      <w:pPr>
        <w:pStyle w:val="ListParagraph"/>
        <w:numPr>
          <w:ilvl w:val="0"/>
          <w:numId w:val="4"/>
        </w:numPr>
        <w:shd w:val="clear" w:color="auto" w:fill="FFFFFF"/>
        <w:tabs>
          <w:tab w:val="clear" w:pos="709"/>
          <w:tab w:val="left" w:pos="284" w:leader="none"/>
        </w:tabs>
        <w:ind w:left="0" w:hanging="0"/>
        <w:jc w:val="center"/>
        <w:rPr>
          <w:b/>
          <w:bCs/>
        </w:rPr>
      </w:pPr>
      <w:r>
        <w:rPr>
          <w:b/>
          <w:bCs/>
        </w:rPr>
        <w:t xml:space="preserve">Права и обязанности Сторон </w:t>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Заказчик обязан</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4"/>
        </w:numPr>
        <w:shd w:val="clear" w:color="auto" w:fill="FFFFFF"/>
        <w:tabs>
          <w:tab w:val="clear" w:pos="709"/>
          <w:tab w:val="left" w:pos="1418" w:leader="none"/>
        </w:tabs>
        <w:ind w:left="0" w:firstLine="709"/>
        <w:jc w:val="both"/>
        <w:rPr/>
      </w:pPr>
      <w:bookmarkStart w:id="2" w:name="_Ref361320734"/>
      <w:bookmarkStart w:id="3" w:name="_Ref361396847"/>
      <w:bookmarkStart w:id="4" w:name="_Ref361401696"/>
      <w:bookmarkEnd w:id="2"/>
      <w:bookmarkEnd w:id="3"/>
      <w:bookmarkEnd w:id="4"/>
      <w:r>
        <w:rPr>
          <w:bCs/>
        </w:rPr>
        <w:t>В течение 3 (трех)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8"/>
        </w:numPr>
        <w:shd w:val="clear" w:color="auto" w:fill="FFFFFF"/>
        <w:tabs>
          <w:tab w:val="left" w:pos="709" w:leader="none"/>
          <w:tab w:val="left" w:pos="1418" w:leader="none"/>
        </w:tabs>
        <w:ind w:left="0" w:firstLine="709"/>
        <w:jc w:val="both"/>
        <w:rPr/>
      </w:pPr>
      <w:r>
        <w:rPr/>
        <w:t>место производства Работ, по соответствующим актам сдачи-приемки (Приложение № 3 к Договору);</w:t>
      </w:r>
    </w:p>
    <w:p>
      <w:pPr>
        <w:pStyle w:val="ListParagraph"/>
        <w:numPr>
          <w:ilvl w:val="0"/>
          <w:numId w:val="8"/>
        </w:numPr>
        <w:shd w:val="clear" w:color="auto" w:fill="FFFFFF"/>
        <w:tabs>
          <w:tab w:val="left" w:pos="709" w:leader="none"/>
          <w:tab w:val="left" w:pos="1418" w:leader="none"/>
        </w:tabs>
        <w:ind w:left="0" w:firstLine="709"/>
        <w:jc w:val="both"/>
        <w:rPr/>
      </w:pPr>
      <w:r>
        <w:rPr>
          <w:bCs/>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w:t>
      </w:r>
      <w:r>
        <w:rPr/>
        <w:t xml:space="preserve"> </w:t>
      </w:r>
    </w:p>
    <w:p>
      <w:pPr>
        <w:pStyle w:val="PlainText"/>
        <w:numPr>
          <w:ilvl w:val="2"/>
          <w:numId w:val="4"/>
        </w:numPr>
        <w:ind w:left="0" w:firstLine="709"/>
        <w:jc w:val="both"/>
        <w:rPr>
          <w:rFonts w:ascii="Times New Roman" w:hAnsi="Times New Roman"/>
          <w:sz w:val="24"/>
          <w:szCs w:val="24"/>
        </w:rPr>
      </w:pPr>
      <w:bookmarkStart w:id="5" w:name="_Ref361396847_Копия_1"/>
      <w:bookmarkStart w:id="6" w:name="_Ref361401696_Копия_1"/>
      <w:bookmarkStart w:id="7" w:name="_Ref361320734_Копия_1"/>
      <w:bookmarkEnd w:id="5"/>
      <w:bookmarkEnd w:id="6"/>
      <w:bookmarkEnd w:id="7"/>
      <w:r>
        <w:rPr>
          <w:rFonts w:ascii="Times New Roman" w:hAnsi="Times New Roman"/>
          <w:sz w:val="24"/>
          <w:szCs w:val="24"/>
        </w:rPr>
        <w:t xml:space="preserve">При наличии технической возможности и соответствующих ресурсов обеспечить Подрядчика коммунальными ресурсами (электроснабжение, водоснабжение и водоотведение, сжатый воздух), предоставить помещения для размещения персонала, складские и / или иные помещения, а также оказать иные услуги в соответствии с Техническим заданием (Приложение № 1 к Договору). </w:t>
      </w:r>
    </w:p>
    <w:p>
      <w:pPr>
        <w:pStyle w:val="Normal"/>
        <w:shd w:val="clear" w:color="auto" w:fill="FFFFFF"/>
        <w:tabs>
          <w:tab w:val="clear" w:pos="709"/>
          <w:tab w:val="left" w:pos="1418" w:leader="none"/>
        </w:tabs>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в соответствии с Порядком предоставления ресурсов и оказания Заказчиком услуг, необходимых для исполнения Подрядчиком обязательств по Договору (Приложение № 5 к Договору). Предоставленные Заказчиком ресурсы и услуги используются Подрядчиком в целях исполнения обязательств по Договору.</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 </w:t>
      </w: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4"/>
        </w:numPr>
        <w:shd w:val="clear" w:color="auto" w:fill="FFFFFF"/>
        <w:tabs>
          <w:tab w:val="left" w:pos="709" w:leader="none"/>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4"/>
        </w:numPr>
        <w:tabs>
          <w:tab w:val="left" w:pos="709" w:leader="none"/>
        </w:tabs>
        <w:ind w:left="0" w:firstLine="709"/>
        <w:jc w:val="both"/>
        <w:rPr>
          <w:bCs/>
        </w:rPr>
      </w:pPr>
      <w:r>
        <w:rPr>
          <w:bCs/>
        </w:rPr>
        <w:t>Производить освидетельствование (приемку) Скрытых работ.</w:t>
      </w:r>
    </w:p>
    <w:p>
      <w:pPr>
        <w:pStyle w:val="ListParagraph"/>
        <w:numPr>
          <w:ilvl w:val="2"/>
          <w:numId w:val="4"/>
        </w:numPr>
        <w:shd w:val="clear" w:color="auto" w:fill="FFFFFF"/>
        <w:tabs>
          <w:tab w:val="left" w:pos="709" w:leader="none"/>
        </w:tabs>
        <w:ind w:left="0" w:firstLine="709"/>
        <w:jc w:val="both"/>
        <w:rPr>
          <w:bCs/>
        </w:rPr>
      </w:pPr>
      <w:r>
        <w:rPr>
          <w:bCs/>
        </w:rPr>
        <w:t>Выполнять иные обязанности, предусмотренные Договором.</w:t>
      </w:r>
    </w:p>
    <w:p>
      <w:pPr>
        <w:pStyle w:val="Normal"/>
        <w:tabs>
          <w:tab w:val="left" w:pos="709" w:leader="none"/>
        </w:tabs>
        <w:spacing w:lineRule="auto" w:line="240"/>
        <w:ind w:hanging="0"/>
        <w:rPr>
          <w:b/>
          <w:sz w:val="24"/>
          <w:szCs w:val="24"/>
        </w:rPr>
      </w:pPr>
      <w:r>
        <w:rPr>
          <w:b/>
          <w:sz w:val="24"/>
          <w:szCs w:val="24"/>
        </w:rPr>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Заказчик имеет право</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Самостоятельно или с привлечением третьих лиц осуществлять контроль, в том числе строительный, и надзор за ходом и качеством выполняемых Подрядчиком и Субподрядчиками по Договору Работ, соблюдением сроков и качеством их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Круглосуточно осуществлять доступ к месту производства Работ, месту (помещению) для складирования Материально-технических ресурсов. В случае предоставления Подрядчику отдельного помещения для складирования Материально-технических ресурсов, осуществлять осмотр такого помещения по первому требованию и в присутствии представителя Подрядчика. </w:t>
      </w:r>
    </w:p>
    <w:p>
      <w:pPr>
        <w:pStyle w:val="ListParagraph"/>
        <w:numPr>
          <w:ilvl w:val="2"/>
          <w:numId w:val="4"/>
        </w:numPr>
        <w:shd w:val="clear" w:color="auto" w:fill="FFFFFF"/>
        <w:tabs>
          <w:tab w:val="clear" w:pos="709"/>
          <w:tab w:val="left" w:pos="1418" w:leader="none"/>
        </w:tabs>
        <w:ind w:left="0" w:firstLine="709"/>
        <w:jc w:val="both"/>
        <w:rPr>
          <w:bCs/>
        </w:rPr>
      </w:pPr>
      <w:bookmarkStart w:id="8"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8"/>
      <w:r>
        <w:rPr>
          <w:bCs/>
        </w:rPr>
        <w:t xml:space="preserve"> </w:t>
      </w:r>
    </w:p>
    <w:p>
      <w:pPr>
        <w:pStyle w:val="ListParagraph"/>
        <w:numPr>
          <w:ilvl w:val="2"/>
          <w:numId w:val="4"/>
        </w:numPr>
        <w:shd w:val="clear" w:color="auto" w:fill="FFFFFF"/>
        <w:tabs>
          <w:tab w:val="clear" w:pos="709"/>
          <w:tab w:val="left" w:pos="1418" w:leader="none"/>
        </w:tabs>
        <w:ind w:left="0" w:firstLine="709"/>
        <w:jc w:val="both"/>
        <w:rPr>
          <w:bCs/>
        </w:rPr>
      </w:pPr>
      <w:bookmarkStart w:id="9" w:name="_Ref361334468"/>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9"/>
    </w:p>
    <w:p>
      <w:pPr>
        <w:pStyle w:val="ListParagraph"/>
        <w:numPr>
          <w:ilvl w:val="2"/>
          <w:numId w:val="4"/>
        </w:numPr>
        <w:shd w:val="clear" w:color="auto" w:fill="FFFFFF"/>
        <w:tabs>
          <w:tab w:val="clear" w:pos="709"/>
          <w:tab w:val="left" w:pos="1418" w:leader="none"/>
        </w:tabs>
        <w:ind w:left="0" w:firstLine="709"/>
        <w:jc w:val="both"/>
        <w:rPr>
          <w:bCs/>
        </w:rPr>
      </w:pPr>
      <w:bookmarkStart w:id="10"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10"/>
      <w:r>
        <w:rPr>
          <w:bCs/>
        </w:rPr>
        <w:t xml:space="preserve"> </w:t>
      </w:r>
    </w:p>
    <w:p>
      <w:pPr>
        <w:pStyle w:val="ListParagraph"/>
        <w:numPr>
          <w:ilvl w:val="2"/>
          <w:numId w:val="4"/>
        </w:numPr>
        <w:shd w:val="clear" w:color="auto" w:fill="FFFFFF"/>
        <w:tabs>
          <w:tab w:val="clear" w:pos="709"/>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4"/>
        </w:numPr>
        <w:shd w:val="clear" w:color="auto" w:fill="FFFFFF"/>
        <w:tabs>
          <w:tab w:val="clear" w:pos="709"/>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 привлеченным им Субподрядчикам.</w:t>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Подрядчик обязан</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В срок, указанный в пункте 2.1.2 Договора, принять от Заказчика на время выполнения Работ по Договору: </w:t>
      </w:r>
    </w:p>
    <w:p>
      <w:pPr>
        <w:pStyle w:val="ListParagraph"/>
        <w:numPr>
          <w:ilvl w:val="0"/>
          <w:numId w:val="18"/>
        </w:numPr>
        <w:shd w:val="clear" w:color="auto" w:fill="FFFFFF"/>
        <w:tabs>
          <w:tab w:val="clear" w:pos="709"/>
          <w:tab w:val="left" w:pos="1418" w:leader="none"/>
        </w:tabs>
        <w:ind w:left="0" w:firstLine="709"/>
        <w:jc w:val="both"/>
        <w:rPr>
          <w:bCs/>
        </w:rPr>
      </w:pPr>
      <w:r>
        <w:rPr>
          <w:bCs/>
        </w:rPr>
        <w:t>место производства Работ,</w:t>
      </w:r>
      <w:r>
        <w:rPr>
          <w:bCs/>
          <w:color w:val="FF0000"/>
        </w:rPr>
        <w:t xml:space="preserve"> </w:t>
      </w:r>
      <w:r>
        <w:rPr>
          <w:bCs/>
        </w:rPr>
        <w:t>по соответствующему акту сдачи-приемки (Приложение № 3 к Договору);</w:t>
      </w:r>
    </w:p>
    <w:p>
      <w:pPr>
        <w:pStyle w:val="ListParagraph"/>
        <w:numPr>
          <w:ilvl w:val="0"/>
          <w:numId w:val="18"/>
        </w:numPr>
        <w:shd w:val="clear" w:color="auto" w:fill="FFFFFF"/>
        <w:tabs>
          <w:tab w:val="clear" w:pos="709"/>
          <w:tab w:val="left" w:pos="1418" w:leader="none"/>
        </w:tabs>
        <w:ind w:left="0" w:firstLine="709"/>
        <w:jc w:val="both"/>
        <w:rPr/>
      </w:pPr>
      <w:r>
        <w:rPr>
          <w:bCs/>
        </w:rPr>
        <w:t xml:space="preserve">техническую и иную документацию, указанную в Техническом задании (Приложение № 1 к Договору) по Акту сдачи-приемки технической и иной документации; </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При приемке места производства Работ, 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 складируемых Материально-технических ресурсов. </w:t>
      </w:r>
    </w:p>
    <w:p>
      <w:pPr>
        <w:pStyle w:val="ListParagraph"/>
        <w:shd w:val="clear" w:color="auto" w:fill="FFFFFF"/>
        <w:tabs>
          <w:tab w:val="clear" w:pos="709"/>
          <w:tab w:val="left" w:pos="1418" w:leader="none"/>
        </w:tabs>
        <w:ind w:left="0" w:firstLine="709"/>
        <w:jc w:val="both"/>
        <w:rPr>
          <w:bCs/>
        </w:rPr>
      </w:pPr>
      <w:r>
        <w:rPr>
          <w:bCs/>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 оборудованию и инструменту.</w:t>
      </w:r>
    </w:p>
    <w:p>
      <w:pPr>
        <w:pStyle w:val="ListParagraph"/>
        <w:numPr>
          <w:ilvl w:val="2"/>
          <w:numId w:val="4"/>
        </w:numPr>
        <w:shd w:val="clear" w:color="auto" w:fill="FFFFFF"/>
        <w:tabs>
          <w:tab w:val="clear" w:pos="709"/>
          <w:tab w:val="left" w:pos="1418" w:leader="none"/>
        </w:tabs>
        <w:ind w:left="0" w:firstLine="709"/>
        <w:jc w:val="both"/>
        <w:rPr/>
      </w:pPr>
      <w:r>
        <w:rPr>
          <w:bCs/>
        </w:rPr>
        <w:t>Выдать замечания в отношении технической и иной документации, предоставленной Заказчиком, в течение 5 (пяти) рабочих дней с даты принятия её по Акту сдачи-приемки технической и иной документации.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В случае недостаточности для производства Работ по Договору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 </w:t>
      </w:r>
    </w:p>
    <w:p>
      <w:pPr>
        <w:pStyle w:val="ListParagraph"/>
        <w:numPr>
          <w:ilvl w:val="2"/>
          <w:numId w:val="4"/>
        </w:numPr>
        <w:shd w:val="clear" w:color="auto" w:fill="FFFFFF"/>
        <w:tabs>
          <w:tab w:val="clear" w:pos="709"/>
          <w:tab w:val="left" w:pos="1418" w:leader="none"/>
        </w:tabs>
        <w:ind w:left="0" w:firstLine="709"/>
        <w:jc w:val="both"/>
        <w:rPr>
          <w:bCs/>
        </w:rPr>
      </w:pPr>
      <w:r>
        <w:rPr>
          <w:bCs/>
        </w:rPr>
        <w:t>До фактического начала выполнения Работ предоставить Заказчику:</w:t>
      </w:r>
    </w:p>
    <w:p>
      <w:pPr>
        <w:pStyle w:val="ListParagraph"/>
        <w:numPr>
          <w:ilvl w:val="0"/>
          <w:numId w:val="14"/>
        </w:numPr>
        <w:shd w:val="clear" w:color="auto" w:fill="FFFFFF"/>
        <w:tabs>
          <w:tab w:val="clear" w:pos="709"/>
          <w:tab w:val="left" w:pos="1418" w:leader="none"/>
        </w:tabs>
        <w:ind w:left="0" w:firstLine="709"/>
        <w:jc w:val="both"/>
        <w:rPr>
          <w:bCs/>
        </w:rPr>
      </w:pPr>
      <w:r>
        <w:rPr>
          <w:bCs/>
        </w:rPr>
        <w:t xml:space="preserve">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 а также на доступ к ИС </w:t>
      </w:r>
      <w:r>
        <w:rPr>
          <w:bCs/>
          <w:lang w:val="en-US"/>
        </w:rPr>
        <w:t>Maximo</w:t>
      </w:r>
      <w:r>
        <w:rPr>
          <w:bCs/>
        </w:rPr>
        <w:t xml:space="preserve">; </w:t>
      </w:r>
    </w:p>
    <w:p>
      <w:pPr>
        <w:pStyle w:val="ListParagraph"/>
        <w:numPr>
          <w:ilvl w:val="0"/>
          <w:numId w:val="14"/>
        </w:numPr>
        <w:shd w:val="clear" w:color="auto" w:fill="FFFFFF"/>
        <w:tabs>
          <w:tab w:val="left" w:pos="709" w:leader="none"/>
        </w:tabs>
        <w:ind w:left="0" w:firstLine="709"/>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0"/>
          <w:numId w:val="14"/>
        </w:numPr>
        <w:shd w:val="clear" w:color="auto" w:fill="FFFFFF"/>
        <w:tabs>
          <w:tab w:val="left" w:pos="709" w:leader="none"/>
        </w:tabs>
        <w:ind w:left="0" w:firstLine="709"/>
        <w:jc w:val="both"/>
        <w:rPr>
          <w:bCs/>
        </w:rPr>
      </w:pPr>
      <w:r>
        <w:rPr>
          <w:bCs/>
        </w:rPr>
        <w:t xml:space="preserve">контакты и должность представителей Подрядчика, ответственных за пожарную безопасность помещений, переданных Заказчиком Подрядчику по </w:t>
      </w:r>
      <w:r>
        <w:rPr/>
        <w:t>соответствующим актам сдачи-приемки (Приложение № 3 к Договору) в соответствии с пунктами 2.1.2 и 2.1.3 Договора.</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Обеспечить сохранность переданных Заказчиком по соответствующим актам сдачи-приемки мест (помещений), технической и иной документации, а также возврат их Заказчику в первоначальном состоянии с учетом естественного износа не позднее даты окончания выполнения Работ, указанной в пункте 1.5.2 Договора, либо, в случаях прекращения (расторжения) Договора, указанных в пункте 2.2.3 и разделе 16 Договора, – не позднее 3 (трех) рабочих дней с даты получения соответствующего требования Заказчика. </w:t>
      </w:r>
    </w:p>
    <w:p>
      <w:pPr>
        <w:pStyle w:val="ListParagraph"/>
        <w:numPr>
          <w:ilvl w:val="2"/>
          <w:numId w:val="4"/>
        </w:numPr>
        <w:shd w:val="clear" w:color="auto" w:fill="FFFFFF"/>
        <w:tabs>
          <w:tab w:val="clear" w:pos="709"/>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clear" w:pos="709"/>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xml:space="preserve">, </w:t>
      </w:r>
      <w:r>
        <w:rPr/>
        <w:t xml:space="preserve">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9"/>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9"/>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13.1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4"/>
        </w:numPr>
        <w:shd w:val="clear" w:color="auto" w:fill="FFFFFF"/>
        <w:tabs>
          <w:tab w:val="clear" w:pos="709"/>
          <w:tab w:val="left" w:pos="1418" w:leader="none"/>
        </w:tabs>
        <w:ind w:left="0" w:firstLine="709"/>
        <w:jc w:val="both"/>
        <w:rPr/>
      </w:pPr>
      <w:r>
        <w:rPr/>
        <w:t>Обеспечить:</w:t>
      </w:r>
    </w:p>
    <w:p>
      <w:pPr>
        <w:pStyle w:val="ListParagraph"/>
        <w:numPr>
          <w:ilvl w:val="0"/>
          <w:numId w:val="15"/>
        </w:numPr>
        <w:shd w:val="clear" w:color="auto" w:fill="FFFFFF"/>
        <w:tabs>
          <w:tab w:val="clear" w:pos="709"/>
          <w:tab w:val="left" w:pos="567" w:leader="none"/>
        </w:tabs>
        <w:ind w:left="0" w:firstLine="709"/>
        <w:jc w:val="both"/>
        <w:rPr>
          <w:bCs/>
        </w:rPr>
      </w:pPr>
      <w:r>
        <w:rPr>
          <w:bCs/>
        </w:rPr>
        <w:t xml:space="preserve">участие в саморегулируемой организации, основанной на членстве лиц, </w:t>
      </w:r>
      <w:r>
        <w:rPr>
          <w:shd w:fill="FFFFFF" w:val="clear"/>
        </w:rPr>
        <w:t>осуществляющих строительство</w:t>
      </w:r>
      <w:r>
        <w:rPr>
          <w:bCs/>
        </w:rPr>
        <w:t xml:space="preserve"> (с учетом исключений, предусмотренных законодательством Российской Федерации);</w:t>
      </w:r>
    </w:p>
    <w:p>
      <w:pPr>
        <w:pStyle w:val="ListParagraph"/>
        <w:numPr>
          <w:ilvl w:val="0"/>
          <w:numId w:val="15"/>
        </w:numPr>
        <w:shd w:val="clear" w:color="auto" w:fill="FFFFFF"/>
        <w:tabs>
          <w:tab w:val="clear" w:pos="709"/>
          <w:tab w:val="left" w:pos="567" w:leader="none"/>
          <w:tab w:val="left" w:pos="1418" w:leader="none"/>
        </w:tabs>
        <w:ind w:left="0" w:firstLine="709"/>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5"/>
        </w:numPr>
        <w:tabs>
          <w:tab w:val="clear" w:pos="709"/>
          <w:tab w:val="left" w:pos="567" w:leader="none"/>
        </w:tabs>
        <w:ind w:left="0" w:firstLine="709"/>
        <w:jc w:val="both"/>
        <w:rPr>
          <w:bCs/>
        </w:rPr>
      </w:pPr>
      <w:r>
        <w:rPr>
          <w:bCs/>
        </w:rPr>
        <w:t>организацию выполнения Работ по Договору лицом (лицами), сведения о которых включены в Национальный реестр специалистов в области строительства.</w:t>
      </w:r>
    </w:p>
    <w:p>
      <w:pPr>
        <w:pStyle w:val="ListParagraph"/>
        <w:numPr>
          <w:ilvl w:val="2"/>
          <w:numId w:val="4"/>
        </w:numPr>
        <w:shd w:val="clear" w:color="auto" w:fill="FFFFFF"/>
        <w:tabs>
          <w:tab w:val="clear" w:pos="709"/>
          <w:tab w:val="left" w:pos="1418" w:leader="none"/>
        </w:tabs>
        <w:ind w:left="0" w:firstLine="709"/>
        <w:jc w:val="both"/>
        <w:rPr>
          <w:bCs/>
        </w:rPr>
      </w:pPr>
      <w:r>
        <w:rPr/>
        <w:t>Выполнять</w:t>
      </w:r>
      <w:r>
        <w:rPr>
          <w:bCs/>
        </w:rPr>
        <w:t xml:space="preserve"> Работы силами квалифицированных специалистов (в том числе, с учетом требований пункта 2.3.9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4"/>
        </w:numPr>
        <w:shd w:val="clear" w:color="auto" w:fill="FFFFFF"/>
        <w:tabs>
          <w:tab w:val="clear" w:pos="709"/>
          <w:tab w:val="left" w:pos="1418" w:leader="none"/>
        </w:tabs>
        <w:ind w:left="0" w:firstLine="709"/>
        <w:jc w:val="both"/>
        <w:rPr>
          <w:bCs/>
        </w:rPr>
      </w:pPr>
      <w:r>
        <w:rPr>
          <w:bCs/>
        </w:rPr>
        <w:t>Обеспечить доставку, приемку, разгрузку, складирование и хранение прибывающих на место производства Работ Материально-технических ресурсов, необходимых для выполнения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Организовать контроль качества поступающих Материально-технических ресурсов, обеспечить наличие соответствующих сертификатов, технических паспортов и других документов, удостоверяющих качество используемых Подрядчиком в месте производства Работ Материально-технических ресурсов. Копии таких сертификатов, технических паспортов и иных документов должны быть предоставлены Заказчику до начала производства Работ. </w:t>
      </w:r>
    </w:p>
    <w:p>
      <w:pPr>
        <w:pStyle w:val="ListParagraph"/>
        <w:shd w:val="clear" w:color="auto" w:fill="FFFFFF"/>
        <w:tabs>
          <w:tab w:val="clear" w:pos="709"/>
          <w:tab w:val="left" w:pos="1418" w:leader="none"/>
        </w:tabs>
        <w:ind w:left="0" w:firstLine="709"/>
        <w:jc w:val="both"/>
        <w:rPr>
          <w:bCs/>
        </w:rPr>
      </w:pPr>
      <w:r>
        <w:rPr>
          <w:bCs/>
        </w:rPr>
        <w:t>Подрядчик обязуется письменно согласовать с Заказчиком планируемые к использованию Материально-технические ресурсы до начала производства Работ в случае, если они не соответствуют условиям Договора.</w:t>
      </w:r>
    </w:p>
    <w:p>
      <w:pPr>
        <w:pStyle w:val="ListParagraph"/>
        <w:numPr>
          <w:ilvl w:val="2"/>
          <w:numId w:val="4"/>
        </w:numPr>
        <w:shd w:val="clear" w:color="auto" w:fill="FFFFFF"/>
        <w:tabs>
          <w:tab w:val="clear" w:pos="709"/>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Провести инструктаж персонала, задействованного при производстве Работ,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 </w:t>
      </w:r>
    </w:p>
    <w:p>
      <w:pPr>
        <w:pStyle w:val="ListParagraph"/>
        <w:numPr>
          <w:ilvl w:val="2"/>
          <w:numId w:val="4"/>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4"/>
        </w:numPr>
        <w:shd w:val="clear" w:color="auto" w:fill="FFFFFF"/>
        <w:tabs>
          <w:tab w:val="clear" w:pos="709"/>
          <w:tab w:val="left" w:pos="1418" w:leader="none"/>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9"/>
          <w:tab w:val="left" w:pos="1418" w:leader="none"/>
        </w:tabs>
        <w:ind w:left="0" w:firstLine="709"/>
        <w:jc w:val="both"/>
        <w:rPr>
          <w:bCs/>
        </w:rPr>
      </w:pPr>
      <w:r>
        <w:rPr>
          <w:bCs/>
        </w:rPr>
        <w:t>Предоставить Заказчику в полном объеме необходимую для приемки Работ приемо-сдаточную и исполнительную документацию</w:t>
      </w:r>
      <w:r>
        <w:rPr/>
        <w:t xml:space="preserve"> </w:t>
      </w:r>
      <w:r>
        <w:rPr>
          <w:bCs/>
        </w:rPr>
        <w:t xml:space="preserve">в 3 (трех) экземплярах. </w:t>
      </w:r>
    </w:p>
    <w:p>
      <w:pPr>
        <w:pStyle w:val="ListParagraph"/>
        <w:shd w:val="clear" w:color="auto" w:fill="FFFFFF"/>
        <w:ind w:left="0" w:firstLine="709"/>
        <w:jc w:val="both"/>
        <w:rPr>
          <w:bCs/>
        </w:rPr>
      </w:pPr>
      <w:r>
        <w:rPr>
          <w:bCs/>
        </w:rPr>
        <w:t>Исполнительная документация должна обеспечивать достоверность и полноту сведений о фактически выполненных Работах.</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Заказчиком местах, не допуская переполнения мест накопления. </w:t>
      </w:r>
    </w:p>
    <w:p>
      <w:pPr>
        <w:pStyle w:val="ListParagraph"/>
        <w:numPr>
          <w:ilvl w:val="2"/>
          <w:numId w:val="4"/>
        </w:numPr>
        <w:shd w:val="clear" w:color="auto" w:fill="FFFFFF"/>
        <w:tabs>
          <w:tab w:val="clear" w:pos="709"/>
          <w:tab w:val="left" w:pos="1418" w:leader="none"/>
        </w:tabs>
        <w:ind w:left="0" w:firstLine="709"/>
        <w:jc w:val="both"/>
        <w:rPr>
          <w:bCs/>
        </w:rPr>
      </w:pPr>
      <w:r>
        <w:rPr>
          <w:bCs/>
        </w:rPr>
        <w:t>До даты сдачи Заказчику Результата Работ обеспечить за свой счет уборку места производства Работ, вывоз строительного мусора и отходов Подрядчика, образовавшихся в ходе выполнения Работ, в места утилизации.</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 </w:t>
      </w:r>
      <w:r>
        <w:rPr>
          <w:bCs/>
        </w:rPr>
        <w:t>Передать Заказчику в полном объеме</w:t>
      </w:r>
      <w:r>
        <w:rPr/>
        <w:t xml:space="preserve"> лом черных и цветных металлов, </w:t>
      </w:r>
      <w:r>
        <w:rPr>
          <w:bCs/>
        </w:rPr>
        <w:t>образовавшийся в ходе выполнения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9"/>
          <w:tab w:val="left" w:pos="1418" w:leader="none"/>
        </w:tabs>
        <w:spacing w:lineRule="auto" w:line="240"/>
        <w:ind w:firstLine="709"/>
        <w:rPr>
          <w:bCs/>
        </w:rPr>
      </w:pPr>
      <w:r>
        <w:rPr>
          <w:bCs/>
          <w:sz w:val="24"/>
          <w:szCs w:val="24"/>
        </w:rPr>
        <w:t xml:space="preserve">В случае, если такие указания могут привести к увеличению Цены Договора,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9"/>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2.3.22.1 Договора. </w:t>
      </w:r>
    </w:p>
    <w:p>
      <w:pPr>
        <w:pStyle w:val="ListParagraph"/>
        <w:shd w:val="clear" w:color="auto" w:fill="FFFFFF"/>
        <w:tabs>
          <w:tab w:val="clear" w:pos="709"/>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2.3.22.1 Договора. </w:t>
      </w:r>
    </w:p>
    <w:p>
      <w:pPr>
        <w:pStyle w:val="ListParagraph"/>
        <w:numPr>
          <w:ilvl w:val="2"/>
          <w:numId w:val="4"/>
        </w:numPr>
        <w:shd w:val="clear" w:color="auto" w:fill="FFFFFF"/>
        <w:tabs>
          <w:tab w:val="clear" w:pos="709"/>
          <w:tab w:val="left" w:pos="1418" w:leader="none"/>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4"/>
        </w:numPr>
        <w:shd w:val="clear" w:color="auto" w:fill="FFFFFF"/>
        <w:tabs>
          <w:tab w:val="clear" w:pos="709"/>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4"/>
        </w:numPr>
        <w:shd w:val="clear" w:color="auto" w:fill="FFFFFF"/>
        <w:tabs>
          <w:tab w:val="clear" w:pos="709"/>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4"/>
        </w:numPr>
        <w:shd w:val="clear" w:color="auto" w:fill="FFFFFF"/>
        <w:tabs>
          <w:tab w:val="clear" w:pos="709"/>
          <w:tab w:val="left" w:pos="1701" w:leader="none"/>
        </w:tabs>
        <w:ind w:left="0" w:firstLine="709"/>
        <w:jc w:val="both"/>
        <w:rPr>
          <w:bCs/>
        </w:rPr>
      </w:pPr>
      <w:r>
        <w:rPr>
          <w:bCs/>
        </w:rPr>
        <w:t>любых иных обстоятельств, угрожающих годности, прочности и /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9"/>
          <w:tab w:val="left" w:pos="567" w:leader="none"/>
        </w:tabs>
        <w:ind w:left="0" w:firstLine="709"/>
        <w:jc w:val="both"/>
        <w:rPr>
          <w:bCs/>
        </w:rPr>
      </w:pPr>
      <w:r>
        <w:rPr>
          <w:bCs/>
        </w:rPr>
        <w:t>Невыполнение Подрядчиком требований пункта 2.3.22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9"/>
          <w:tab w:val="left" w:pos="1418" w:leader="none"/>
        </w:tabs>
        <w:ind w:left="0" w:firstLine="709"/>
        <w:jc w:val="both"/>
        <w:rPr>
          <w:bCs/>
        </w:rPr>
      </w:pP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6"/>
        </w:numPr>
        <w:ind w:left="0" w:right="23" w:firstLine="709"/>
        <w:jc w:val="both"/>
        <w:rPr/>
      </w:pPr>
      <w:r>
        <w:rPr/>
        <w:t>аварии – в течение 2 (двух) часов;</w:t>
      </w:r>
    </w:p>
    <w:p>
      <w:pPr>
        <w:pStyle w:val="ListParagraph"/>
        <w:numPr>
          <w:ilvl w:val="0"/>
          <w:numId w:val="16"/>
        </w:numPr>
        <w:ind w:left="0" w:right="23" w:firstLine="709"/>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6"/>
        </w:numPr>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6"/>
        </w:numPr>
        <w:ind w:left="0" w:right="23"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6"/>
        </w:numPr>
        <w:ind w:left="0" w:right="23" w:firstLine="709"/>
        <w:jc w:val="both"/>
        <w:rPr/>
      </w:pPr>
      <w: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6"/>
        </w:numPr>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4"/>
        </w:numPr>
        <w:shd w:val="clear" w:color="auto" w:fill="FFFFFF"/>
        <w:tabs>
          <w:tab w:val="clear" w:pos="709"/>
          <w:tab w:val="left" w:pos="1418" w:leader="none"/>
        </w:tabs>
        <w:ind w:left="0" w:firstLine="709"/>
        <w:jc w:val="both"/>
        <w:rPr/>
      </w:pPr>
      <w:r>
        <w:rPr/>
        <w:t xml:space="preserve">Нести риск случайной гибели и случайного повреждения мест (помещений), принятых от Заказчика в соответствии с пунктом 2.3.2 Договора, до момента их передачи (возврата) Заказчику по соответствующему </w:t>
      </w:r>
      <w:r>
        <w:rPr>
          <w:bCs/>
        </w:rPr>
        <w:t>–Акту сдачи-приемки места производства работ</w:t>
      </w:r>
      <w:r>
        <w:rPr/>
        <w:t xml:space="preserve"> (Приложения № 3 к Договору).</w:t>
      </w:r>
    </w:p>
    <w:p>
      <w:pPr>
        <w:pStyle w:val="ListParagraph"/>
        <w:numPr>
          <w:ilvl w:val="2"/>
          <w:numId w:val="4"/>
        </w:numPr>
        <w:shd w:val="clear" w:color="auto" w:fill="FFFFFF"/>
        <w:tabs>
          <w:tab w:val="clear" w:pos="709"/>
          <w:tab w:val="left" w:pos="1418" w:leader="none"/>
        </w:tabs>
        <w:ind w:left="0" w:firstLine="709"/>
        <w:jc w:val="both"/>
        <w:rPr/>
      </w:pPr>
      <w:r>
        <w:rPr/>
        <w:t>По требованию и в сроки, установленные Заказчиком, своими силами, средствами и за свой счет устранять недостатки, несоответствия и / или дефекты, выявленные в процессе производства Работ, при приемке выполненных Работ и / или в Гарантийный период, а также связанные с несогласованными с Заказчиком отступлениями от требований Договора.</w:t>
      </w:r>
    </w:p>
    <w:p>
      <w:pPr>
        <w:pStyle w:val="ListParagraph"/>
        <w:shd w:val="clear" w:color="auto" w:fill="FFFFFF"/>
        <w:tabs>
          <w:tab w:val="clear" w:pos="709"/>
          <w:tab w:val="left" w:pos="1418" w:leader="none"/>
        </w:tabs>
        <w:ind w:left="0" w:firstLine="709"/>
        <w:jc w:val="both"/>
        <w:rPr/>
      </w:pPr>
      <w:r>
        <w:rPr/>
        <w:t>Подрядчик обязан незамедлительно приступать к устранению недостатков, о которых ему стало известно.</w:t>
      </w:r>
    </w:p>
    <w:p>
      <w:pPr>
        <w:pStyle w:val="ListParagraph"/>
        <w:numPr>
          <w:ilvl w:val="2"/>
          <w:numId w:val="4"/>
        </w:numPr>
        <w:shd w:val="clear" w:color="auto" w:fill="FFFFFF"/>
        <w:tabs>
          <w:tab w:val="clear" w:pos="709"/>
          <w:tab w:val="left" w:pos="1418" w:leader="none"/>
        </w:tabs>
        <w:ind w:left="0" w:firstLine="709"/>
        <w:jc w:val="both"/>
        <w:rPr>
          <w:bCs/>
        </w:rPr>
      </w:pPr>
      <w:r>
        <w:rPr/>
        <w:t xml:space="preserve">Письменно уведомлять Заказчика о необходимости проведения освидетельствования и/или приемки Скрытых работ. </w:t>
      </w:r>
    </w:p>
    <w:p>
      <w:pPr>
        <w:pStyle w:val="ListParagraph"/>
        <w:shd w:val="clear" w:color="auto" w:fill="FFFFFF"/>
        <w:tabs>
          <w:tab w:val="clear" w:pos="709"/>
          <w:tab w:val="left" w:pos="1418" w:leader="none"/>
        </w:tabs>
        <w:ind w:left="0" w:firstLine="709"/>
        <w:jc w:val="both"/>
        <w:rPr>
          <w:bCs/>
        </w:rPr>
      </w:pPr>
      <w:r>
        <w:rPr/>
        <w:t>Указанное уведомление должно быть получено Заказчиком заблаговременно</w:t>
      </w:r>
      <w:r>
        <w:rPr>
          <w:bCs/>
        </w:rPr>
        <w:t xml:space="preserve">, но не позднее, чем за </w:t>
      </w:r>
      <w:r>
        <w:rPr/>
        <w:t>5 (пять)</w:t>
      </w:r>
      <w:r>
        <w:rPr>
          <w:bCs/>
        </w:rPr>
        <w:t xml:space="preserve"> рабочих дней до начала освидетельствования. В случае если Подрядчиком произведено закрытие Скрытых работ без их освидетельствования представителем Заказчика, то Подрядчик, по указанию Заказчика, обязан открыть любую часть Скрытых работ для их освидетельствования, а затем произвести всю необходимую восстановительную работу за свой счет, за исключением случаев, когда освидетельствование  не было произведено ввиду неявки представителя Заказчика, надлежащим образом уведомленного о месте и времени проведения освидетельствования и/или приемки Скрытых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Осуществлять мероприятия строительного контроля, возложенные на Подрядчика Положением о проведении строительного контроля при осуществлении строительства, реконструкции и капитального ремонта объекта капитального строительства, утвержденным Постановлением Правительства Российской Федерации от 21.06.2010 № 468.</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Освободить Заказчика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возместить любой ущерб и штрафные санкции, связанные с причинением Подрядчиком и / или привлеченными им Субподрядчиками вреда жизни или здоровью людей, имуществу Заказчика или третьих лиц, а также фактам нарушения Подрядчиком и / или привлеченными им Субподрядчиками правил пожарной безопасности, техники безопасности, требований природоохранного законодательства, </w:t>
      </w:r>
      <w:r>
        <w:rPr>
          <w:shd w:fill="FFFFFF" w:val="clear"/>
        </w:rPr>
        <w:t>включая затраты, связанные с устранением последствий материального ущерба, в том числе: затраты на разборку поврежденного имущества, непригодного для дальнейшего использования, и удаление строительного мусора; затраты на оплату профессиональных услуг привлеченных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причинен в результате недостатков выполненных Работ</w:t>
      </w:r>
      <w:r>
        <w:rPr/>
        <w:t xml:space="preserve">, </w:t>
      </w:r>
      <w:r>
        <w:rPr>
          <w:bCs/>
        </w:rPr>
        <w:t>без какого-либо ограничения размера такого возмещения.</w:t>
      </w:r>
    </w:p>
    <w:p>
      <w:pPr>
        <w:pStyle w:val="ListParagraph"/>
        <w:shd w:val="clear" w:color="auto" w:fill="FFFFFF"/>
        <w:tabs>
          <w:tab w:val="clear" w:pos="709"/>
          <w:tab w:val="left" w:pos="1418" w:leader="none"/>
        </w:tabs>
        <w:ind w:left="0" w:firstLine="709"/>
        <w:jc w:val="both"/>
        <w:rPr>
          <w:bCs/>
        </w:rPr>
      </w:pPr>
      <w:r>
        <w:rPr>
          <w:bCs/>
        </w:rPr>
        <w:t xml:space="preserve">В случае, когда один или несколько соответствующих рисков были застрахованы Заказчиком или в его пользу, возместить ущерб в пользу Заказчика в части, не подлежащей возмещению по договору (-ам) страхования. </w:t>
      </w:r>
    </w:p>
    <w:p>
      <w:pPr>
        <w:pStyle w:val="ListParagraph"/>
        <w:numPr>
          <w:ilvl w:val="2"/>
          <w:numId w:val="4"/>
        </w:numPr>
        <w:shd w:val="clear" w:color="auto" w:fill="FFFFFF"/>
        <w:tabs>
          <w:tab w:val="clear" w:pos="709"/>
          <w:tab w:val="left" w:pos="1418" w:leader="none"/>
        </w:tabs>
        <w:ind w:left="0" w:firstLine="709"/>
        <w:jc w:val="both"/>
        <w:rPr>
          <w:bCs/>
        </w:rPr>
      </w:pPr>
      <w:r>
        <w:rPr>
          <w:bCs/>
        </w:rPr>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Pr/>
        <w:t xml:space="preserve"> </w:t>
      </w:r>
      <w:r>
        <w:rPr>
          <w:bCs/>
        </w:rPr>
        <w:t xml:space="preserve">в том числе поставщиков Материально-технических ресурсов, 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4"/>
        </w:numPr>
        <w:ind w:left="0" w:firstLine="709"/>
        <w:jc w:val="both"/>
        <w:rPr>
          <w:color w:val="000000"/>
        </w:rPr>
      </w:pPr>
      <w:r>
        <w:rPr>
          <w:color w:val="000000"/>
        </w:rPr>
        <w:t>Предоставить Заказчику Банковскую гарантию в соответствии с разделом 6 Договора.</w:t>
      </w:r>
    </w:p>
    <w:p>
      <w:pPr>
        <w:pStyle w:val="ListParagraph"/>
        <w:numPr>
          <w:ilvl w:val="2"/>
          <w:numId w:val="4"/>
        </w:numPr>
        <w:ind w:left="0" w:firstLine="709"/>
        <w:jc w:val="both"/>
        <w:rPr>
          <w:color w:val="000000"/>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4"/>
        </w:numPr>
        <w:shd w:val="clear" w:color="auto" w:fill="FFFFFF"/>
        <w:tabs>
          <w:tab w:val="clear" w:pos="709"/>
          <w:tab w:val="left" w:pos="1418" w:leader="none"/>
        </w:tabs>
        <w:ind w:left="0" w:firstLine="709"/>
        <w:jc w:val="both"/>
        <w:rPr/>
      </w:pPr>
      <w:r>
        <w:rPr/>
        <w:t xml:space="preserve">Исполнять иные обязанности, предусмотренные Договором и </w:t>
      </w:r>
      <w:r>
        <w:rPr>
          <w:bCs/>
        </w:rPr>
        <w:t>законодательством Российской Федерации.</w:t>
      </w:r>
      <w:r>
        <w:rPr/>
        <w:t xml:space="preserve"> </w:t>
      </w:r>
    </w:p>
    <w:p>
      <w:pPr>
        <w:pStyle w:val="Normal"/>
        <w:spacing w:lineRule="auto" w:line="240"/>
        <w:rPr>
          <w:sz w:val="24"/>
          <w:szCs w:val="24"/>
        </w:rPr>
      </w:pPr>
      <w:r>
        <w:rPr>
          <w:sz w:val="24"/>
          <w:szCs w:val="24"/>
        </w:rPr>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Подрядчик имеет право</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Самостоятельно организовать выполнение Работ.</w:t>
      </w:r>
    </w:p>
    <w:p>
      <w:pPr>
        <w:pStyle w:val="ListParagraph"/>
        <w:numPr>
          <w:ilvl w:val="2"/>
          <w:numId w:val="4"/>
        </w:numPr>
        <w:shd w:val="clear" w:color="auto" w:fill="FFFFFF"/>
        <w:tabs>
          <w:tab w:val="clear" w:pos="709"/>
          <w:tab w:val="left" w:pos="851"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субподряда в совокупности не более чем на ___ (_______</w:t>
      </w:r>
      <w:r>
        <w:rPr>
          <w:bCs/>
          <w:highlight w:val="lightGray"/>
        </w:rPr>
        <w:t>)</w:t>
      </w:r>
      <w:r>
        <w:rPr>
          <w:bCs/>
        </w:rPr>
        <w:t xml:space="preserve"> процентов</w:t>
      </w:r>
      <w:r>
        <w:rPr>
          <w:bCs/>
          <w:vertAlign w:val="superscript"/>
        </w:rPr>
        <w:t xml:space="preserve"> </w:t>
      </w:r>
      <w:r>
        <w:rPr>
          <w:bCs/>
        </w:rPr>
        <w:t>от Цены Договора, неся при этом ответственность за действия Субподрядчиков,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проект договора с Субподрядчиком;</w:t>
      </w:r>
    </w:p>
    <w:p>
      <w:pPr>
        <w:pStyle w:val="ListParagraph"/>
        <w:numPr>
          <w:ilvl w:val="0"/>
          <w:numId w:val="24"/>
        </w:numPr>
        <w:shd w:val="clear" w:color="auto" w:fill="FFFFFF"/>
        <w:tabs>
          <w:tab w:val="left" w:pos="709" w:leader="none"/>
          <w:tab w:val="left" w:pos="1418" w:leader="none"/>
        </w:tabs>
        <w:ind w:left="0" w:firstLine="709"/>
        <w:jc w:val="both"/>
        <w:rPr>
          <w:bCs/>
        </w:rPr>
      </w:pPr>
      <w:r>
        <w:rPr>
          <w:bCs/>
        </w:rPr>
        <w:t>сведения об объемах выполнения работ Субподрядчиком;</w:t>
      </w:r>
    </w:p>
    <w:p>
      <w:pPr>
        <w:pStyle w:val="ListParagraph"/>
        <w:numPr>
          <w:ilvl w:val="0"/>
          <w:numId w:val="24"/>
        </w:numPr>
        <w:tabs>
          <w:tab w:val="left" w:pos="709" w:leader="none"/>
        </w:tabs>
        <w:ind w:left="0" w:firstLine="709"/>
        <w:jc w:val="both"/>
        <w:rPr>
          <w:bCs/>
        </w:rPr>
      </w:pPr>
      <w:r>
        <w:rPr>
          <w:bCs/>
        </w:rPr>
        <w:t>пофамильный перечень персонала Субподрядчика, который будет задействован при производстве Работ;</w:t>
      </w:r>
    </w:p>
    <w:p>
      <w:pPr>
        <w:pStyle w:val="ListParagraph"/>
        <w:numPr>
          <w:ilvl w:val="0"/>
          <w:numId w:val="23"/>
        </w:numPr>
        <w:tabs>
          <w:tab w:val="left" w:pos="709" w:leader="none"/>
        </w:tabs>
        <w:ind w:left="0" w:firstLine="709"/>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ind w:left="0" w:hanging="0"/>
        <w:jc w:val="both"/>
        <w:rPr/>
      </w:pPr>
      <w:r>
        <w:rPr/>
      </w:r>
    </w:p>
    <w:p>
      <w:pPr>
        <w:pStyle w:val="ListParagraph"/>
        <w:numPr>
          <w:ilvl w:val="0"/>
          <w:numId w:val="4"/>
        </w:numPr>
        <w:shd w:val="clear" w:color="auto" w:fill="FFFFFF"/>
        <w:tabs>
          <w:tab w:val="clear" w:pos="709"/>
          <w:tab w:val="left" w:pos="284" w:leader="none"/>
        </w:tabs>
        <w:ind w:left="0" w:hanging="0"/>
        <w:jc w:val="center"/>
        <w:rPr/>
      </w:pPr>
      <w:r>
        <w:rPr>
          <w:b/>
          <w:bCs/>
        </w:rPr>
        <w:t>Цена Договора и порядок расчетов</w:t>
      </w:r>
    </w:p>
    <w:p>
      <w:pPr>
        <w:pStyle w:val="ListParagraph"/>
        <w:numPr>
          <w:ilvl w:val="1"/>
          <w:numId w:val="4"/>
        </w:numPr>
        <w:shd w:val="clear" w:color="auto" w:fill="FFFFFF"/>
        <w:tabs>
          <w:tab w:val="clear" w:pos="709"/>
          <w:tab w:val="left" w:pos="1134" w:leader="none"/>
        </w:tabs>
        <w:ind w:left="0" w:firstLine="709"/>
        <w:jc w:val="both"/>
        <w:rPr>
          <w:bCs/>
        </w:rPr>
      </w:pPr>
      <w:bookmarkStart w:id="11" w:name="_Ref361335465"/>
      <w:bookmarkEnd w:id="11"/>
      <w:r>
        <w:rPr>
          <w:bCs/>
        </w:rPr>
        <w:t xml:space="preserve">Цена </w:t>
      </w:r>
      <w:r>
        <w:rPr/>
        <w:t xml:space="preserve">Договора </w:t>
      </w:r>
      <w:r>
        <w:rPr>
          <w:bCs/>
        </w:rPr>
        <w:t>в соответствии со Сводным сметным расчетом</w:t>
      </w:r>
      <w:r>
        <w:rPr/>
        <w:t xml:space="preserve"> с приложениями </w:t>
      </w:r>
      <w:r>
        <w:rPr>
          <w:bCs/>
        </w:rPr>
        <w:t>(Приложение № 2 к Договору) является твердой и составляет _____</w:t>
      </w:r>
      <w:r>
        <w:rPr>
          <w:b/>
          <w:bCs/>
        </w:rPr>
        <w:t xml:space="preserve"> (_______) рублей ____копейки,</w:t>
      </w:r>
      <w:r>
        <w:rPr>
          <w:bCs/>
        </w:rPr>
        <w:t xml:space="preserve"> без учёта НДС, при этом НДС исчисляется дополнительно по ставке, установленной ст.164 Налогового кодекса РФ. </w:t>
      </w:r>
    </w:p>
    <w:p>
      <w:pPr>
        <w:pStyle w:val="ListParagraph"/>
        <w:numPr>
          <w:ilvl w:val="1"/>
          <w:numId w:val="4"/>
        </w:numPr>
        <w:shd w:val="clear" w:color="auto" w:fill="FFFFFF"/>
        <w:tabs>
          <w:tab w:val="clear" w:pos="709"/>
          <w:tab w:val="left" w:pos="1134" w:leader="none"/>
        </w:tabs>
        <w:ind w:left="0" w:firstLine="709"/>
        <w:jc w:val="both"/>
        <w:rPr/>
      </w:pPr>
      <w:bookmarkStart w:id="12" w:name="_Ref361834605"/>
      <w:r>
        <w:rPr>
          <w:bCs/>
        </w:rPr>
        <w:t>Локальные сметы являются неотъемлемой частью Договора (Приложение № 2 к Договору</w:t>
      </w:r>
      <w:bookmarkEnd w:id="12"/>
      <w:r>
        <w:rPr>
          <w:bCs/>
        </w:rPr>
        <w:t>.</w:t>
      </w:r>
    </w:p>
    <w:p>
      <w:pPr>
        <w:pStyle w:val="ListParagraph"/>
        <w:numPr>
          <w:ilvl w:val="1"/>
          <w:numId w:val="4"/>
        </w:numPr>
        <w:shd w:val="clear" w:color="auto" w:fill="FFFFFF"/>
        <w:tabs>
          <w:tab w:val="clear" w:pos="709"/>
          <w:tab w:val="left" w:pos="1134" w:leader="none"/>
        </w:tabs>
        <w:ind w:left="0" w:firstLine="709"/>
        <w:jc w:val="both"/>
        <w:rPr>
          <w:bCs/>
        </w:rPr>
      </w:pPr>
      <w:bookmarkStart w:id="13" w:name="_Ref361335465_Копия_1"/>
      <w:bookmarkEnd w:id="13"/>
      <w:r>
        <w:rPr>
          <w:bCs/>
        </w:rPr>
        <w:t>Цена Договора включает в себя прибыль Подрядчика, а также все расходы и затраты Подрядчика на:</w:t>
      </w:r>
    </w:p>
    <w:p>
      <w:pPr>
        <w:pStyle w:val="ListParagraph"/>
        <w:numPr>
          <w:ilvl w:val="2"/>
          <w:numId w:val="4"/>
        </w:numPr>
        <w:shd w:val="clear" w:color="auto" w:fill="FFFFFF"/>
        <w:tabs>
          <w:tab w:val="clear" w:pos="709"/>
          <w:tab w:val="left" w:pos="1418" w:leader="none"/>
        </w:tabs>
        <w:ind w:left="0" w:firstLine="709"/>
        <w:jc w:val="both"/>
        <w:rPr>
          <w:bCs/>
        </w:rPr>
      </w:pPr>
      <w:r>
        <w:rPr>
          <w:bCs/>
        </w:rPr>
        <w:t>выполнение ремонтных работ;</w:t>
      </w:r>
    </w:p>
    <w:p>
      <w:pPr>
        <w:pStyle w:val="ListParagraph"/>
        <w:numPr>
          <w:ilvl w:val="2"/>
          <w:numId w:val="4"/>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выполнения Работ по Договору, включая стоимость необходимых для эксплуатации Результата Работ лицензий;</w:t>
      </w:r>
    </w:p>
    <w:p>
      <w:pPr>
        <w:pStyle w:val="ListParagraph"/>
        <w:numPr>
          <w:ilvl w:val="2"/>
          <w:numId w:val="4"/>
        </w:numPr>
        <w:shd w:val="clear" w:color="auto" w:fill="FFFFFF"/>
        <w:tabs>
          <w:tab w:val="clear" w:pos="709"/>
          <w:tab w:val="left" w:pos="1418" w:leader="none"/>
        </w:tabs>
        <w:ind w:left="0" w:firstLine="709"/>
        <w:jc w:val="both"/>
        <w:rPr/>
      </w:pPr>
      <w:r>
        <w:rPr/>
        <w:t xml:space="preserve">заработную плату, накладные расходы, перемещение и размещение персонала Подрядчика; </w:t>
      </w:r>
    </w:p>
    <w:p>
      <w:pPr>
        <w:pStyle w:val="ListParagraph"/>
        <w:numPr>
          <w:ilvl w:val="2"/>
          <w:numId w:val="4"/>
        </w:numPr>
        <w:shd w:val="clear" w:color="auto" w:fill="FFFFFF"/>
        <w:tabs>
          <w:tab w:val="clear" w:pos="709"/>
          <w:tab w:val="left" w:pos="1418" w:leader="none"/>
        </w:tabs>
        <w:ind w:left="0" w:firstLine="709"/>
        <w:jc w:val="both"/>
        <w:rPr/>
      </w:pPr>
      <w:r>
        <w:rPr/>
        <w:t xml:space="preserve">подлежащие уплате налоги, сборы и пошлины (в том числе по таможенному оформлению Материально-технических ресурсов, если применимо); </w:t>
      </w:r>
    </w:p>
    <w:p>
      <w:pPr>
        <w:pStyle w:val="ListParagraph"/>
        <w:numPr>
          <w:ilvl w:val="2"/>
          <w:numId w:val="4"/>
        </w:numPr>
        <w:shd w:val="clear" w:color="auto" w:fill="FFFFFF"/>
        <w:tabs>
          <w:tab w:val="clear" w:pos="709"/>
          <w:tab w:val="left" w:pos="1418" w:leader="none"/>
        </w:tabs>
        <w:ind w:left="0" w:firstLine="709"/>
        <w:jc w:val="both"/>
        <w:rPr/>
      </w:pPr>
      <w:r>
        <w:rPr/>
        <w:t xml:space="preserve">все прочие затраты и расходы Подрядчика, связанные выполнением Работ, и исполнением иных обязательств по Договору, а также все непредвиденные расходы, которые могут возникнуть у Подрядчика в течение срока действия Договора. </w:t>
      </w:r>
    </w:p>
    <w:p>
      <w:pPr>
        <w:pStyle w:val="ListParagraph"/>
        <w:numPr>
          <w:ilvl w:val="1"/>
          <w:numId w:val="4"/>
        </w:numPr>
        <w:shd w:val="clear" w:color="auto" w:fill="FFFFFF"/>
        <w:tabs>
          <w:tab w:val="clear" w:pos="709"/>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4"/>
        </w:numPr>
        <w:shd w:val="clear" w:color="auto" w:fill="FFFFFF"/>
        <w:tabs>
          <w:tab w:val="clear" w:pos="709"/>
          <w:tab w:val="left" w:pos="1134" w:leader="none"/>
        </w:tabs>
        <w:ind w:left="0" w:firstLine="709"/>
        <w:jc w:val="both"/>
        <w:rPr>
          <w:bCs/>
        </w:rPr>
      </w:pPr>
      <w:bookmarkStart w:id="14" w:name="_Ref361858588"/>
      <w:bookmarkStart w:id="15" w:name="_Ref361834675"/>
      <w:r>
        <w:rPr>
          <w:bCs/>
        </w:rPr>
        <w:t>Оплата по Договору осуществляется Заказчиком в следующем порядке:</w:t>
      </w:r>
      <w:bookmarkEnd w:id="14"/>
      <w:bookmarkEnd w:id="15"/>
      <w:r>
        <w:rPr>
          <w:bCs/>
        </w:rPr>
        <w:t xml:space="preserve"> </w:t>
      </w:r>
    </w:p>
    <w:p>
      <w:pPr>
        <w:pStyle w:val="ListParagraph"/>
        <w:numPr>
          <w:ilvl w:val="2"/>
          <w:numId w:val="4"/>
        </w:numPr>
        <w:shd w:val="clear" w:color="auto" w:fill="FFFFFF"/>
        <w:tabs>
          <w:tab w:val="clear" w:pos="709"/>
          <w:tab w:val="left" w:pos="1418" w:leader="none"/>
        </w:tabs>
        <w:ind w:left="0" w:firstLine="709"/>
        <w:jc w:val="both"/>
        <w:rPr/>
      </w:pPr>
      <w:r>
        <w:rPr/>
        <w:t>Подрядчик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6 Договора</w:t>
      </w:r>
    </w:p>
    <w:p>
      <w:pPr>
        <w:pStyle w:val="ListParagraph"/>
        <w:numPr>
          <w:ilvl w:val="2"/>
          <w:numId w:val="4"/>
        </w:numPr>
        <w:shd w:val="clear" w:color="auto" w:fill="FFFFFF"/>
        <w:tabs>
          <w:tab w:val="clear" w:pos="709"/>
          <w:tab w:val="left" w:pos="1418" w:leader="none"/>
        </w:tabs>
        <w:ind w:left="0" w:firstLine="709"/>
        <w:jc w:val="both"/>
        <w:rPr/>
      </w:pPr>
      <w:bookmarkStart w:id="16" w:name="_Ref373242766"/>
      <w:bookmarkStart w:id="17" w:name="_Ref361335023"/>
      <w:bookmarkStart w:id="18" w:name="_Ref361335057_Копия_1"/>
      <w:bookmarkStart w:id="19" w:name="_Ref361834178"/>
      <w:bookmarkStart w:id="20" w:name="_Ref373242755_Копия_1"/>
      <w:bookmarkEnd w:id="17"/>
      <w:bookmarkEnd w:id="18"/>
      <w:bookmarkEnd w:id="19"/>
      <w:bookmarkEnd w:id="20"/>
      <w:r>
        <w:rPr/>
        <w:t>Авансовый платеж в счет стоимости Работ по Договору в размере 10 (десяти) процентов от Цены Договора  без учета НДС, кроме того НДС по ставке, установленной статьей 164 НК РФ на дату выплаты авансового платежа, выплачивается в течение 30 (тридцати) календарных дней с даты получения Заказчиком счета, выставленного Подрядчиком, но не ранее, чем за 30 (тридцать) календарных дней до даты начала выполнения Работ, определенной в пункте 1.5. Договора, и с учетом пунктов 3.5.1, 3.5.4 Догов</w:t>
      </w:r>
      <w:bookmarkEnd w:id="16"/>
      <w:r>
        <w:rPr/>
        <w:t>ора.</w:t>
      </w:r>
    </w:p>
    <w:p>
      <w:pPr>
        <w:pStyle w:val="ListParagraph"/>
        <w:numPr>
          <w:ilvl w:val="2"/>
          <w:numId w:val="4"/>
        </w:numPr>
        <w:ind w:left="0" w:firstLine="709"/>
        <w:jc w:val="both"/>
        <w:rPr/>
      </w:pPr>
      <w:r>
        <w:rPr/>
        <w:t>Окончательный платеж в размере 90% (девяноста процентов) от Цены Договора выплачивается в течение 7 (семи) рабочих дней</w:t>
      </w:r>
      <w:r>
        <w:rPr>
          <w:vertAlign w:val="superscript"/>
        </w:rPr>
        <w:t xml:space="preserve"> </w:t>
      </w:r>
      <w:r>
        <w:rPr/>
        <w:t>с даты подписания Сторонами документов, указанных в пункте 4.1 Договора, на основании счёта, выставленного Подрядчиком, и с учетом пункта 3.5.4 Договора.</w:t>
      </w:r>
    </w:p>
    <w:p>
      <w:pPr>
        <w:pStyle w:val="ListParagraph"/>
        <w:numPr>
          <w:ilvl w:val="2"/>
          <w:numId w:val="4"/>
        </w:numPr>
        <w:shd w:val="clear" w:color="auto" w:fill="FFFFFF"/>
        <w:tabs>
          <w:tab w:val="clear" w:pos="709"/>
          <w:tab w:val="left" w:pos="1418" w:leader="none"/>
        </w:tabs>
        <w:ind w:left="0" w:firstLine="709"/>
        <w:jc w:val="both"/>
        <w:rPr/>
      </w:pPr>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2"/>
          <w:numId w:val="4"/>
        </w:numPr>
        <w:shd w:val="clear" w:color="auto" w:fill="FFFFFF"/>
        <w:tabs>
          <w:tab w:val="clear" w:pos="709"/>
          <w:tab w:val="left" w:pos="1418" w:leader="none"/>
        </w:tabs>
        <w:ind w:left="0" w:firstLine="709"/>
        <w:jc w:val="both"/>
        <w:rPr>
          <w:bCs/>
        </w:rPr>
      </w:pPr>
      <w:bookmarkStart w:id="21" w:name="_Ref373242894"/>
      <w:bookmarkStart w:id="22" w:name="_Ref361834178_Копия_1"/>
      <w:bookmarkEnd w:id="22"/>
      <w:r>
        <w:rPr>
          <w:bCs/>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w:t>
      </w:r>
      <w:r>
        <w:rPr/>
        <w:t>предоставил</w:t>
      </w:r>
      <w:r>
        <w:rPr>
          <w:bCs/>
        </w:rPr>
        <w:t xml:space="preserve">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w:t>
      </w:r>
      <w:bookmarkEnd w:id="21"/>
      <w:r>
        <w:rPr>
          <w:bCs/>
        </w:rPr>
        <w:t xml:space="preserve"> </w:t>
      </w:r>
    </w:p>
    <w:p>
      <w:pPr>
        <w:pStyle w:val="ListParagraph"/>
        <w:numPr>
          <w:ilvl w:val="1"/>
          <w:numId w:val="4"/>
        </w:numPr>
        <w:shd w:val="clear" w:color="auto" w:fill="FFFFFF"/>
        <w:tabs>
          <w:tab w:val="clear" w:pos="709"/>
          <w:tab w:val="left" w:pos="1134" w:leader="none"/>
        </w:tabs>
        <w:ind w:left="0" w:firstLine="709"/>
        <w:jc w:val="both"/>
        <w:rPr>
          <w:bCs/>
        </w:rPr>
      </w:pPr>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23" w:name="_Ref361336647"/>
      <w:bookmarkEnd w:id="23"/>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За исключением случая, указанного в пункте 2.3.21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4"/>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4"/>
        </w:numPr>
        <w:shd w:val="clear" w:color="auto" w:fill="FFFFFF"/>
        <w:tabs>
          <w:tab w:val="clear" w:pos="709"/>
          <w:tab w:val="left" w:pos="1134" w:leader="none"/>
        </w:tabs>
        <w:ind w:left="0" w:firstLine="709"/>
        <w:jc w:val="both"/>
        <w:rPr/>
      </w:pPr>
      <w:bookmarkStart w:id="24" w:name="_Ref361834251"/>
      <w:r>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выполненного Подрядчиком Работ.</w:t>
      </w:r>
      <w:bookmarkEnd w:id="24"/>
    </w:p>
    <w:p>
      <w:pPr>
        <w:pStyle w:val="ListParagraph"/>
        <w:shd w:val="clear" w:color="auto" w:fill="FFFFFF"/>
        <w:tabs>
          <w:tab w:val="clear" w:pos="709"/>
          <w:tab w:val="left" w:pos="1134" w:leader="none"/>
        </w:tabs>
        <w:ind w:left="0" w:firstLine="709"/>
        <w:jc w:val="both"/>
        <w:rPr/>
      </w:pPr>
      <w:r>
        <w:rPr/>
        <w:t>Заказчик направляет Подрядчику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0" w:firstLine="567"/>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Порядок сдачи-приемки Работ</w:t>
      </w:r>
    </w:p>
    <w:p>
      <w:pPr>
        <w:pStyle w:val="ListParagraph"/>
        <w:numPr>
          <w:ilvl w:val="1"/>
          <w:numId w:val="4"/>
        </w:numPr>
        <w:shd w:val="clear" w:color="auto" w:fill="FFFFFF"/>
        <w:tabs>
          <w:tab w:val="clear" w:pos="709"/>
          <w:tab w:val="left" w:pos="1134" w:leader="none"/>
        </w:tabs>
        <w:ind w:left="0" w:firstLine="709"/>
        <w:jc w:val="both"/>
        <w:rPr/>
      </w:pPr>
      <w:bookmarkStart w:id="25" w:name="_Ref361336865"/>
      <w:r>
        <w:rPr>
          <w:bCs/>
        </w:rPr>
        <w:t>По завершении выполнения Работ по Договору Подрядчик в течение 3 (трех) рабочих дней представляет Заказчику подписанные со своей стороны:</w:t>
      </w:r>
    </w:p>
    <w:p>
      <w:pPr>
        <w:pStyle w:val="ListParagraph"/>
        <w:numPr>
          <w:ilvl w:val="0"/>
          <w:numId w:val="17"/>
        </w:numPr>
        <w:shd w:val="clear" w:color="auto" w:fill="FFFFFF"/>
        <w:tabs>
          <w:tab w:val="clear" w:pos="709"/>
          <w:tab w:val="left" w:pos="1418" w:leader="none"/>
        </w:tabs>
        <w:ind w:left="0" w:firstLine="709"/>
        <w:jc w:val="both"/>
        <w:rPr/>
      </w:pPr>
      <w:r>
        <w:rPr/>
        <w:t xml:space="preserve">Акт КС-2, Справку КС-3 </w:t>
      </w:r>
      <w:r>
        <w:rPr>
          <w:bCs/>
        </w:rPr>
        <w:t>н</w:t>
      </w:r>
      <w:r>
        <w:rPr/>
        <w:t>а весь объем выполненных Работ по Объекту в 2 (двух) экземплярах</w:t>
      </w:r>
      <w:r>
        <w:rPr>
          <w:bCs/>
        </w:rPr>
        <w:t xml:space="preserve"> с приложением Приемо-сдаточной и Исполнительной документации </w:t>
      </w:r>
      <w:r>
        <w:rPr/>
        <w:t xml:space="preserve">в 3 (трех) экземплярах, а также электронные версии Акта КС-2 и Справки КС-3 в формате *gsfx ПК «ГРАНД Сметы» на цифровом носителе; </w:t>
      </w:r>
    </w:p>
    <w:p>
      <w:pPr>
        <w:pStyle w:val="ListParagraph"/>
        <w:numPr>
          <w:ilvl w:val="0"/>
          <w:numId w:val="17"/>
        </w:numPr>
        <w:shd w:val="clear" w:color="auto" w:fill="FFFFFF"/>
        <w:tabs>
          <w:tab w:val="clear" w:pos="709"/>
          <w:tab w:val="left" w:pos="1418" w:leader="none"/>
        </w:tabs>
        <w:ind w:left="0" w:firstLine="709"/>
        <w:jc w:val="both"/>
        <w:rPr/>
      </w:pPr>
      <w:r>
        <w:rPr/>
        <w:t>Акт</w:t>
      </w:r>
      <w:r>
        <w:rPr>
          <w:bCs/>
        </w:rPr>
        <w:t xml:space="preserve"> ОС-3 в 2 (двух) экземплярах</w:t>
      </w:r>
      <w:r>
        <w:rPr/>
        <w:t>.</w:t>
      </w:r>
      <w:bookmarkEnd w:id="25"/>
    </w:p>
    <w:p>
      <w:pPr>
        <w:pStyle w:val="ListParagraph"/>
        <w:numPr>
          <w:ilvl w:val="1"/>
          <w:numId w:val="4"/>
        </w:numPr>
        <w:shd w:val="clear" w:color="auto" w:fill="FFFFFF"/>
        <w:tabs>
          <w:tab w:val="clear" w:pos="709"/>
          <w:tab w:val="left" w:pos="568" w:leader="none"/>
          <w:tab w:val="left" w:pos="1134" w:leader="none"/>
        </w:tabs>
        <w:ind w:left="0" w:firstLine="709"/>
        <w:jc w:val="both"/>
        <w:rPr>
          <w:bCs/>
        </w:rPr>
      </w:pPr>
      <w:r>
        <w:rPr>
          <w:bCs/>
        </w:rPr>
        <w:t xml:space="preserve">В течение 15 (пятнадцати)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каждого указанного акта, либо направляет Подрядчику письменный мотивированный отказ от приемки Работ (далее – «Ведомость замечаний»), в котором отражает недостатки, несоответствия и / или дефекты Работ, а также срок на их устранение. </w:t>
      </w:r>
    </w:p>
    <w:p>
      <w:pPr>
        <w:pStyle w:val="ListParagraph"/>
        <w:numPr>
          <w:ilvl w:val="1"/>
          <w:numId w:val="4"/>
        </w:numPr>
        <w:shd w:val="clear" w:color="auto" w:fill="FFFFFF"/>
        <w:tabs>
          <w:tab w:val="clear" w:pos="709"/>
          <w:tab w:val="left" w:pos="568" w:leader="none"/>
          <w:tab w:val="left" w:pos="1134" w:leader="none"/>
        </w:tabs>
        <w:ind w:left="0" w:firstLine="709"/>
        <w:jc w:val="both"/>
        <w:rPr>
          <w:bCs/>
        </w:rPr>
      </w:pPr>
      <w:r>
        <w:rPr>
          <w:bCs/>
        </w:rPr>
        <w:t xml:space="preserve">Устранение указанных недостатков, несоответствий и / или дефектов,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и не исключает ответственности Подрядчика за его нарушение. </w:t>
      </w:r>
    </w:p>
    <w:p>
      <w:pPr>
        <w:pStyle w:val="ListParagraph"/>
        <w:numPr>
          <w:ilvl w:val="1"/>
          <w:numId w:val="4"/>
        </w:numPr>
        <w:shd w:val="clear" w:color="auto" w:fill="FFFFFF"/>
        <w:tabs>
          <w:tab w:val="clear" w:pos="709"/>
          <w:tab w:val="left" w:pos="1134" w:leader="none"/>
        </w:tabs>
        <w:ind w:left="0" w:firstLine="709"/>
        <w:jc w:val="both"/>
        <w:rPr>
          <w:bCs/>
        </w:rPr>
      </w:pPr>
      <w:r>
        <w:rPr>
          <w:bCs/>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4.1-4.2 Договора.</w:t>
      </w:r>
    </w:p>
    <w:p>
      <w:pPr>
        <w:pStyle w:val="ListParagraph"/>
        <w:numPr>
          <w:ilvl w:val="1"/>
          <w:numId w:val="4"/>
        </w:numPr>
        <w:shd w:val="clear" w:color="auto" w:fill="FFFFFF"/>
        <w:tabs>
          <w:tab w:val="clear" w:pos="709"/>
          <w:tab w:val="left" w:pos="1134" w:leader="none"/>
        </w:tabs>
        <w:ind w:left="0" w:firstLine="709"/>
        <w:jc w:val="both"/>
        <w:rPr>
          <w:bCs/>
        </w:rPr>
      </w:pPr>
      <w:r>
        <w:rPr>
          <w:bCs/>
        </w:rPr>
        <w:t>Если Подрядчик не устранит недостатки, несоответствия и / или дефекты Работ в срок, установленный Заказчиком в соответствии с пунктом 4.3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w:t>
      </w:r>
    </w:p>
    <w:p>
      <w:pPr>
        <w:pStyle w:val="ListParagraph"/>
        <w:numPr>
          <w:ilvl w:val="1"/>
          <w:numId w:val="4"/>
        </w:numPr>
        <w:shd w:val="clear" w:color="auto" w:fill="FFFFFF"/>
        <w:tabs>
          <w:tab w:val="clear" w:pos="709"/>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4"/>
        </w:numPr>
        <w:shd w:val="clear" w:color="auto" w:fill="FFFFFF"/>
        <w:tabs>
          <w:tab w:val="clear" w:pos="709"/>
          <w:tab w:val="left" w:pos="1134" w:leader="none"/>
        </w:tabs>
        <w:ind w:left="0" w:firstLine="709"/>
        <w:jc w:val="both"/>
        <w:rPr>
          <w:bCs/>
        </w:rPr>
      </w:pPr>
      <w:bookmarkStart w:id="26" w:name="_Ref361337635"/>
      <w:r>
        <w:rPr>
          <w:bCs/>
        </w:rPr>
        <w:t>Подрядчик обязан представить Заказчику счета-фактуры,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26"/>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Право собственности и переход рисков</w:t>
      </w:r>
    </w:p>
    <w:p>
      <w:pPr>
        <w:pStyle w:val="ListParagraph"/>
        <w:numPr>
          <w:ilvl w:val="1"/>
          <w:numId w:val="4"/>
        </w:numPr>
        <w:shd w:val="clear" w:color="auto" w:fill="FFFFFF"/>
        <w:tabs>
          <w:tab w:val="clear" w:pos="709"/>
          <w:tab w:val="left" w:pos="1134" w:leader="none"/>
        </w:tabs>
        <w:ind w:left="0" w:firstLine="709"/>
        <w:jc w:val="both"/>
        <w:rPr>
          <w:bCs/>
        </w:rPr>
      </w:pPr>
      <w:bookmarkStart w:id="27" w:name="_Ref361405028"/>
      <w:r>
        <w:rPr>
          <w:bCs/>
        </w:rPr>
        <w:t xml:space="preserve">Риск случайной гибели или повреждения Результата Работ в отношении Объекта, включая Материально-технические ресурсы, переходит к Заказчику с момента подписания Акта </w:t>
      </w:r>
      <w:r>
        <w:rPr/>
        <w:t>КС-2</w:t>
      </w:r>
      <w:r>
        <w:rPr>
          <w:bCs/>
        </w:rPr>
        <w:t>. До подписания Сторонами указанного Акта риск случайной гибели или повреждения Результата Работ и Материально-технических ресурсов, несет Подрядчик.</w:t>
      </w:r>
      <w:bookmarkEnd w:id="27"/>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25"/>
        </w:numPr>
        <w:shd w:val="clear" w:color="auto" w:fill="FFFFFF"/>
        <w:tabs>
          <w:tab w:val="clear" w:pos="709"/>
          <w:tab w:val="left" w:pos="284" w:leader="none"/>
        </w:tabs>
        <w:ind w:left="0" w:hanging="0"/>
        <w:jc w:val="center"/>
        <w:rPr>
          <w:b/>
          <w:bCs/>
        </w:rPr>
      </w:pPr>
      <w:r>
        <w:rPr>
          <w:b/>
          <w:bCs/>
        </w:rPr>
        <w:t>Банковские гарантии</w:t>
      </w:r>
    </w:p>
    <w:p>
      <w:pPr>
        <w:pStyle w:val="ListParagraph"/>
        <w:numPr>
          <w:ilvl w:val="1"/>
          <w:numId w:val="25"/>
        </w:numPr>
        <w:shd w:val="clear" w:color="auto" w:fill="FFFFFF"/>
        <w:tabs>
          <w:tab w:val="clear" w:pos="709"/>
          <w:tab w:val="left" w:pos="1134" w:leader="none"/>
        </w:tabs>
        <w:ind w:left="0" w:firstLine="709"/>
        <w:jc w:val="both"/>
        <w:rPr>
          <w:bCs/>
        </w:rPr>
      </w:pPr>
      <w:r>
        <w:rPr>
          <w:bCs/>
        </w:rPr>
        <w:t>Банковская гарантия, предоставляемая Подрядчиком Заказчику по Договору, должна соответствовать следующим требованиям:</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25"/>
        </w:numPr>
        <w:shd w:val="clear" w:color="auto" w:fill="FFFFFF"/>
        <w:tabs>
          <w:tab w:val="clear" w:pos="709"/>
          <w:tab w:val="left" w:pos="1418" w:leader="none"/>
        </w:tabs>
        <w:ind w:left="0" w:firstLine="709"/>
        <w:jc w:val="both"/>
        <w:rPr>
          <w:bCs/>
        </w:rPr>
      </w:pPr>
      <w:r>
        <w:rPr>
          <w:bCs/>
        </w:rPr>
        <w:t>Бенефициар по Банковской гарантии – Заказчик, принципал – Подрядчик;</w:t>
      </w:r>
    </w:p>
    <w:p>
      <w:pPr>
        <w:pStyle w:val="ListParagraph"/>
        <w:numPr>
          <w:ilvl w:val="2"/>
          <w:numId w:val="25"/>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25"/>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учётом ранее выплаченных Подрядчику и неотработанных авансовых платежей; </w:t>
      </w:r>
    </w:p>
    <w:p>
      <w:pPr>
        <w:pStyle w:val="ListParagraph"/>
        <w:numPr>
          <w:ilvl w:val="2"/>
          <w:numId w:val="25"/>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Подрядчиком нарушений, в том числе в случаях:</w:t>
      </w:r>
    </w:p>
    <w:p>
      <w:pPr>
        <w:pStyle w:val="Normal"/>
        <w:tabs>
          <w:tab w:val="clear" w:pos="709"/>
          <w:tab w:val="left" w:pos="1418" w:leader="none"/>
        </w:tabs>
        <w:spacing w:lineRule="auto" w:line="240"/>
        <w:ind w:hanging="0"/>
        <w:rPr>
          <w:bCs/>
          <w:sz w:val="24"/>
          <w:szCs w:val="24"/>
        </w:rPr>
      </w:pPr>
      <w:r>
        <w:rPr>
          <w:bCs/>
          <w:sz w:val="24"/>
          <w:szCs w:val="24"/>
        </w:rPr>
        <w:t>- отказа Подрядчика от исполнения обязательств по Договору, в том числе одностороннего отказа от Договора;</w:t>
      </w:r>
    </w:p>
    <w:p>
      <w:pPr>
        <w:pStyle w:val="Normal"/>
        <w:tabs>
          <w:tab w:val="clear" w:pos="709"/>
          <w:tab w:val="left" w:pos="1418" w:leader="none"/>
        </w:tabs>
        <w:spacing w:lineRule="auto" w:line="240"/>
        <w:ind w:hanging="0"/>
        <w:rPr>
          <w:bCs/>
          <w:sz w:val="24"/>
          <w:szCs w:val="24"/>
        </w:rPr>
      </w:pPr>
      <w:r>
        <w:rPr>
          <w:bCs/>
          <w:sz w:val="24"/>
          <w:szCs w:val="24"/>
        </w:rPr>
        <w:t>- отказа Подрядчика от возврата неотработанного аванса при досрочном прекращении Договора / признании Договора недействительным;</w:t>
      </w:r>
    </w:p>
    <w:p>
      <w:pPr>
        <w:pStyle w:val="Normal"/>
        <w:tabs>
          <w:tab w:val="clear" w:pos="709"/>
          <w:tab w:val="left" w:pos="1418" w:leader="none"/>
        </w:tabs>
        <w:spacing w:lineRule="auto" w:line="240"/>
        <w:ind w:hanging="0"/>
        <w:rPr>
          <w:bCs/>
          <w:sz w:val="24"/>
          <w:szCs w:val="24"/>
        </w:rPr>
      </w:pPr>
      <w:r>
        <w:rPr>
          <w:bCs/>
          <w:sz w:val="24"/>
          <w:szCs w:val="24"/>
        </w:rPr>
        <w:t>- нарушения Подрядчиком сроков</w:t>
      </w:r>
      <w:r>
        <w:rPr/>
        <w:t xml:space="preserve"> </w:t>
      </w:r>
      <w:r>
        <w:rPr>
          <w:bCs/>
          <w:sz w:val="24"/>
          <w:szCs w:val="24"/>
        </w:rPr>
        <w:t>выполнения Работ более, чем на 60 (шестьдесят) календарных дней;</w:t>
      </w:r>
    </w:p>
    <w:p>
      <w:pPr>
        <w:pStyle w:val="Normal"/>
        <w:tabs>
          <w:tab w:val="clear" w:pos="709"/>
          <w:tab w:val="left" w:pos="1418" w:leader="none"/>
        </w:tabs>
        <w:spacing w:lineRule="auto" w:line="240"/>
        <w:ind w:hanging="0"/>
        <w:rPr>
          <w:bCs/>
          <w:sz w:val="24"/>
          <w:szCs w:val="24"/>
        </w:rPr>
      </w:pPr>
      <w:r>
        <w:rPr>
          <w:bCs/>
          <w:sz w:val="24"/>
          <w:szCs w:val="24"/>
        </w:rPr>
        <w:t>- 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tabs>
          <w:tab w:val="clear" w:pos="709"/>
          <w:tab w:val="left" w:pos="1418" w:leader="none"/>
        </w:tabs>
        <w:spacing w:lineRule="auto" w:line="240"/>
        <w:ind w:hanging="0"/>
        <w:rPr>
          <w:bCs/>
          <w:sz w:val="24"/>
          <w:szCs w:val="24"/>
        </w:rPr>
      </w:pPr>
      <w:r>
        <w:rPr>
          <w:bCs/>
          <w:sz w:val="24"/>
          <w:szCs w:val="24"/>
        </w:rPr>
        <w:t>- прекращения членства в СРО, основанной на членстве лиц, осуществляющих подготовку проектной документации;</w:t>
      </w:r>
    </w:p>
    <w:p>
      <w:pPr>
        <w:pStyle w:val="Normal"/>
        <w:tabs>
          <w:tab w:val="clear" w:pos="709"/>
          <w:tab w:val="left" w:pos="1418" w:leader="none"/>
        </w:tabs>
        <w:spacing w:lineRule="auto" w:line="240"/>
        <w:ind w:hanging="0"/>
        <w:rPr>
          <w:bCs/>
          <w:sz w:val="24"/>
          <w:szCs w:val="24"/>
        </w:rPr>
      </w:pPr>
      <w:r>
        <w:rPr>
          <w:bCs/>
          <w:sz w:val="24"/>
          <w:szCs w:val="24"/>
        </w:rPr>
        <w:t>- введения арбитражным судом процедуры несостоятельности (банкротства)</w:t>
      </w:r>
      <w:r>
        <w:rPr/>
        <w:t xml:space="preserve"> </w:t>
      </w:r>
      <w:r>
        <w:rPr>
          <w:bCs/>
          <w:sz w:val="24"/>
          <w:szCs w:val="24"/>
        </w:rPr>
        <w:t>в отношении Подрядчика;</w:t>
      </w:r>
    </w:p>
    <w:p>
      <w:pPr>
        <w:pStyle w:val="Normal"/>
        <w:tabs>
          <w:tab w:val="clear" w:pos="709"/>
          <w:tab w:val="left" w:pos="1418" w:leader="none"/>
        </w:tabs>
        <w:spacing w:lineRule="auto" w:line="240"/>
        <w:ind w:hanging="0"/>
        <w:rPr>
          <w:bCs/>
          <w:sz w:val="24"/>
          <w:szCs w:val="24"/>
        </w:rPr>
      </w:pPr>
      <w:r>
        <w:rPr>
          <w:bCs/>
          <w:sz w:val="24"/>
          <w:szCs w:val="24"/>
        </w:rPr>
        <w:t>- не предоставления 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tabs>
          <w:tab w:val="clear" w:pos="709"/>
          <w:tab w:val="left" w:pos="1418" w:leader="none"/>
        </w:tabs>
        <w:spacing w:lineRule="auto" w:line="240"/>
        <w:ind w:hanging="0"/>
        <w:rPr>
          <w:bCs/>
          <w:sz w:val="24"/>
          <w:szCs w:val="24"/>
        </w:rPr>
      </w:pPr>
      <w:r>
        <w:rPr>
          <w:color w:val="000000"/>
          <w:sz w:val="24"/>
          <w:szCs w:val="24"/>
        </w:rPr>
        <w:t>- признания Договора недействительным по причинам отсутствия необходимых</w:t>
      </w:r>
      <w:r>
        <w:rPr>
          <w:sz w:val="24"/>
          <w:szCs w:val="24"/>
        </w:rPr>
        <w:t xml:space="preserve"> корпоративных одобрений у Подрядчика;</w:t>
      </w:r>
    </w:p>
    <w:p>
      <w:pPr>
        <w:pStyle w:val="Normal"/>
        <w:tabs>
          <w:tab w:val="clear" w:pos="709"/>
          <w:tab w:val="left" w:pos="1418" w:leader="none"/>
        </w:tabs>
        <w:spacing w:lineRule="auto" w:line="240"/>
        <w:ind w:hanging="0"/>
        <w:rPr>
          <w:bCs/>
          <w:sz w:val="24"/>
          <w:szCs w:val="24"/>
        </w:rPr>
      </w:pPr>
      <w:r>
        <w:rPr>
          <w:bCs/>
          <w:sz w:val="24"/>
          <w:szCs w:val="24"/>
        </w:rPr>
        <w:t>- 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pPr>
        <w:pStyle w:val="ListParagraph"/>
        <w:shd w:val="clear" w:color="auto" w:fill="FFFFFF"/>
        <w:tabs>
          <w:tab w:val="clear" w:pos="709"/>
          <w:tab w:val="left" w:pos="1418" w:leader="none"/>
        </w:tabs>
        <w:ind w:left="0" w:hanging="0"/>
        <w:jc w:val="both"/>
        <w:rPr/>
      </w:pPr>
      <w:r>
        <w:rPr/>
        <w:t xml:space="preserve">          </w:t>
      </w:r>
      <w:r>
        <w:rPr/>
        <w:t>Вместе с требованием о предъявлении суммы обеспечения к оплате Заказчик направляет Банку-Гаранту копию Банковской гарантии.</w:t>
      </w:r>
    </w:p>
    <w:p>
      <w:pPr>
        <w:pStyle w:val="ListParagraph"/>
        <w:shd w:val="clear" w:color="auto" w:fill="FFFFFF"/>
        <w:tabs>
          <w:tab w:val="clear" w:pos="709"/>
          <w:tab w:val="left" w:pos="1418" w:leader="none"/>
        </w:tabs>
        <w:ind w:left="0" w:hanging="0"/>
        <w:jc w:val="both"/>
        <w:rPr>
          <w:bCs/>
        </w:rPr>
      </w:pPr>
      <w:r>
        <w:rPr>
          <w:bCs/>
        </w:rPr>
        <w:t xml:space="preserve">            </w:t>
      </w: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9"/>
          <w:tab w:val="left" w:pos="1418" w:leader="none"/>
        </w:tabs>
        <w:ind w:left="0" w:firstLine="709"/>
        <w:jc w:val="both"/>
        <w:rPr>
          <w:bCs/>
        </w:rPr>
      </w:pPr>
      <w:r>
        <w:rPr>
          <w:bCs/>
          <w:color w:val="000000"/>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ListParagraph"/>
        <w:shd w:val="clear" w:color="auto" w:fill="FFFFFF"/>
        <w:tabs>
          <w:tab w:val="clear" w:pos="709"/>
          <w:tab w:val="left" w:pos="1418" w:leader="none"/>
        </w:tabs>
        <w:ind w:left="0" w:firstLine="709"/>
        <w:jc w:val="both"/>
        <w:rPr>
          <w:bCs/>
        </w:rPr>
      </w:pPr>
      <w:r>
        <w:rPr>
          <w:bCs/>
          <w:color w:val="000000"/>
        </w:rPr>
        <w:t xml:space="preserve">Выбор формы направления такого требования осуществляется Бенефициаром самостоятельно. </w:t>
      </w:r>
      <w:r>
        <w:rPr>
          <w:bCs/>
        </w:rPr>
        <w:t>Платеж по Банковской гарантии осуществляется Банком-Гарантом в течение 10 (десяти) рабочих дней после обращения Заказчика.</w:t>
      </w:r>
    </w:p>
    <w:p>
      <w:pPr>
        <w:pStyle w:val="ListParagraph"/>
        <w:shd w:val="clear" w:color="auto" w:fill="FFFFFF"/>
        <w:tabs>
          <w:tab w:val="clear" w:pos="709"/>
          <w:tab w:val="left" w:pos="1418" w:leader="none"/>
        </w:tabs>
        <w:ind w:left="0" w:firstLine="709"/>
        <w:jc w:val="both"/>
        <w:rPr>
          <w:bCs/>
        </w:rPr>
      </w:pPr>
      <w:r>
        <w:rPr/>
      </w:r>
    </w:p>
    <w:p>
      <w:pPr>
        <w:pStyle w:val="ListParagraph"/>
        <w:shd w:val="clear" w:color="auto" w:fill="FFFFFF"/>
        <w:tabs>
          <w:tab w:val="clear" w:pos="709"/>
          <w:tab w:val="left" w:pos="1418" w:leader="none"/>
        </w:tabs>
        <w:ind w:left="0" w:firstLine="709"/>
        <w:jc w:val="both"/>
        <w:rPr>
          <w:bCs/>
        </w:rPr>
      </w:pPr>
      <w:r>
        <w:rPr>
          <w:bCs/>
        </w:rPr>
        <w:t>6.1.7 Срок окончания Банковской гарантии должен заканчиваться не ранее 70 (семидесяти) календарных дней после наступления даты завершения Работ , установленной Договором;</w:t>
      </w:r>
    </w:p>
    <w:p>
      <w:pPr>
        <w:pStyle w:val="ListParagraph"/>
        <w:shd w:val="clear" w:color="auto" w:fill="FFFFFF"/>
        <w:tabs>
          <w:tab w:val="clear" w:pos="709"/>
          <w:tab w:val="left" w:pos="1418" w:leader="none"/>
        </w:tabs>
        <w:ind w:left="0" w:firstLine="709"/>
        <w:jc w:val="both"/>
        <w:rPr>
          <w:bCs/>
        </w:rPr>
      </w:pPr>
      <w:r>
        <w:rPr>
          <w:bCs/>
        </w:rPr>
        <w:t>6.1.8 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shd w:val="clear" w:color="auto" w:fill="FFFFFF"/>
        <w:tabs>
          <w:tab w:val="clear" w:pos="709"/>
          <w:tab w:val="left" w:pos="1418" w:leader="none"/>
        </w:tabs>
        <w:ind w:left="0" w:firstLine="709"/>
        <w:jc w:val="both"/>
        <w:rPr>
          <w:bCs/>
        </w:rPr>
      </w:pPr>
      <w:r>
        <w:rPr>
          <w:bCs/>
        </w:rPr>
        <w:t>6.1.9 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shd w:val="clear" w:color="auto" w:fill="FFFFFF"/>
        <w:tabs>
          <w:tab w:val="clear" w:pos="709"/>
          <w:tab w:val="left" w:pos="1418" w:leader="none"/>
        </w:tabs>
        <w:ind w:left="0" w:firstLine="709"/>
        <w:jc w:val="both"/>
        <w:rPr>
          <w:bCs/>
        </w:rPr>
      </w:pPr>
      <w:r>
        <w:rPr>
          <w:bCs/>
        </w:rPr>
        <w:t>6.1.10 Банковская гарантия не должна содержать условий или требований, противоречащих требованиям, указанным в пунктах 6.1.1-6.1.9 Договора, или делающих такие требования неисполнимыми.</w:t>
      </w:r>
    </w:p>
    <w:p>
      <w:pPr>
        <w:pStyle w:val="Normal"/>
        <w:shd w:val="clear" w:color="auto" w:fill="FFFFFF"/>
        <w:tabs>
          <w:tab w:val="clear" w:pos="709"/>
          <w:tab w:val="left" w:pos="1418" w:leader="none"/>
        </w:tabs>
        <w:ind w:hanging="0"/>
        <w:rPr>
          <w:bCs/>
        </w:rPr>
      </w:pPr>
      <w:r>
        <w:rPr/>
        <w:t xml:space="preserve">  </w:t>
      </w:r>
      <w:r>
        <w:rPr>
          <w:sz w:val="24"/>
          <w:szCs w:val="24"/>
        </w:rPr>
        <w:t xml:space="preserve"> </w:t>
      </w:r>
      <w:r>
        <w:rPr>
          <w:sz w:val="24"/>
          <w:szCs w:val="24"/>
        </w:rPr>
        <w:t xml:space="preserve">6.1.11.Банковские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9"/>
          <w:tab w:val="left" w:pos="1418" w:leader="none"/>
        </w:tabs>
        <w:ind w:left="0" w:firstLine="709"/>
        <w:jc w:val="both"/>
        <w:rPr>
          <w:bCs/>
        </w:rPr>
      </w:pPr>
      <w: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9"/>
          <w:tab w:val="left" w:pos="1418" w:leader="none"/>
        </w:tabs>
        <w:jc w:val="both"/>
        <w:rPr>
          <w:bCs/>
        </w:rPr>
      </w:pPr>
      <w:r>
        <w:rPr/>
        <w:t>- в оригинале на бумажном носителе.</w:t>
      </w:r>
    </w:p>
    <w:p>
      <w:pPr>
        <w:pStyle w:val="Normal"/>
        <w:numPr>
          <w:ilvl w:val="1"/>
          <w:numId w:val="25"/>
        </w:numPr>
        <w:tabs>
          <w:tab w:val="clear" w:pos="709"/>
          <w:tab w:val="left" w:pos="1134" w:leader="none"/>
        </w:tabs>
        <w:spacing w:lineRule="auto" w:line="240"/>
        <w:ind w:left="0" w:firstLine="709"/>
        <w:rPr>
          <w:bCs/>
          <w:sz w:val="24"/>
          <w:szCs w:val="24"/>
        </w:rPr>
      </w:pPr>
      <w:r>
        <w:rPr>
          <w:bCs/>
          <w:sz w:val="24"/>
          <w:szCs w:val="24"/>
        </w:rPr>
        <w:t>Банк, выдавший Банковскую гарантию, должен соответствовать критериям, указанным в Приложении № 7 к Договору.</w:t>
      </w:r>
    </w:p>
    <w:p>
      <w:pPr>
        <w:pStyle w:val="ListParagraph"/>
        <w:numPr>
          <w:ilvl w:val="1"/>
          <w:numId w:val="25"/>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25"/>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Подрядчиком обязательств по Договору  при условии подтверждения их выполнения.</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25"/>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shd w:val="clear" w:color="auto" w:fill="FFFFFF"/>
        <w:tabs>
          <w:tab w:val="clear" w:pos="709"/>
          <w:tab w:val="left" w:pos="1134" w:leader="none"/>
        </w:tabs>
        <w:ind w:left="0" w:hanging="0"/>
        <w:jc w:val="both"/>
        <w:rPr>
          <w:bCs/>
        </w:rPr>
      </w:pPr>
      <w:r>
        <w:rPr>
          <w:bCs/>
        </w:rPr>
        <w:t>- 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shd w:val="clear" w:color="auto" w:fill="FFFFFF"/>
        <w:tabs>
          <w:tab w:val="clear" w:pos="709"/>
          <w:tab w:val="left" w:pos="1134" w:leader="none"/>
        </w:tabs>
        <w:ind w:left="0" w:hanging="0"/>
        <w:jc w:val="both"/>
        <w:rPr>
          <w:bCs/>
        </w:rPr>
      </w:pPr>
      <w:r>
        <w:rPr>
          <w:bCs/>
        </w:rPr>
        <w:t xml:space="preserve">- 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hanging="0"/>
        <w:jc w:val="both"/>
        <w:rPr>
          <w:bCs/>
        </w:rPr>
      </w:pPr>
      <w:r>
        <w:rPr>
          <w:bCs/>
        </w:rPr>
        <w:t xml:space="preserve">           </w:t>
      </w:r>
      <w:r>
        <w:rPr>
          <w:bCs/>
        </w:rPr>
        <w:t>Подрядчик обязан предоставить Заказчику новую Банковскую гарантию</w:t>
      </w:r>
      <w:r>
        <w:rPr/>
        <w:t xml:space="preserve"> другого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hanging="0"/>
        <w:jc w:val="both"/>
        <w:rPr>
          <w:bCs/>
        </w:rPr>
      </w:pPr>
      <w:r>
        <w:rPr>
          <w:bCs/>
        </w:rPr>
        <w:t xml:space="preserve">              </w:t>
      </w:r>
      <w:r>
        <w:rPr>
          <w:bCs/>
        </w:rPr>
        <w:t>В случае непредставления Подрядчиком в установленный срок новой Банковской гарантии Заказчик вправе удерживать сумму неотработанного аванса при выплате каждого платежа, причитающегося Подрядчику, до полного зачета неотработанного аванса</w:t>
      </w:r>
      <w:r>
        <w:rPr/>
        <w:t>.</w:t>
      </w:r>
    </w:p>
    <w:p>
      <w:pPr>
        <w:pStyle w:val="ListParagraph"/>
        <w:numPr>
          <w:ilvl w:val="1"/>
          <w:numId w:val="25"/>
        </w:numPr>
        <w:shd w:val="clear" w:color="auto" w:fill="FFFFFF"/>
        <w:tabs>
          <w:tab w:val="clear" w:pos="709"/>
          <w:tab w:val="left" w:pos="1134" w:leader="none"/>
        </w:tabs>
        <w:ind w:left="0" w:firstLine="709"/>
        <w:jc w:val="both"/>
        <w:rPr>
          <w:bCs/>
        </w:rPr>
      </w:pPr>
      <w:r>
        <w:rPr>
          <w:bCs/>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25"/>
        </w:numPr>
        <w:shd w:val="clear" w:color="auto" w:fill="FFFFFF"/>
        <w:tabs>
          <w:tab w:val="clear" w:pos="709"/>
          <w:tab w:val="left" w:pos="1134" w:leader="none"/>
        </w:tabs>
        <w:ind w:left="0" w:firstLine="709"/>
        <w:jc w:val="both"/>
        <w:rPr>
          <w:bCs/>
        </w:rPr>
      </w:pPr>
      <w:r>
        <w:rPr>
          <w:bCs/>
        </w:rPr>
        <w:t xml:space="preserve">Положения пункта 3.5.1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Подрядчика составляет 5 000 000 (Пять миллионов) рублей и более без учета НДС. </w:t>
      </w:r>
    </w:p>
    <w:p>
      <w:pPr>
        <w:pStyle w:val="Normal"/>
        <w:numPr>
          <w:ilvl w:val="1"/>
          <w:numId w:val="25"/>
        </w:numPr>
        <w:tabs>
          <w:tab w:val="clear" w:pos="709"/>
          <w:tab w:val="left" w:pos="1134" w:leader="none"/>
        </w:tabs>
        <w:snapToGrid w:val="false"/>
        <w:spacing w:lineRule="auto" w:line="240" w:before="0" w:after="0"/>
        <w:ind w:left="0" w:firstLine="709"/>
        <w:contextualSpacing/>
        <w:rPr/>
      </w:pPr>
      <w:r>
        <w:rPr>
          <w:sz w:val="24"/>
          <w:szCs w:val="24"/>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25"/>
        </w:numPr>
        <w:shd w:val="clear" w:color="auto" w:fill="FFFFFF"/>
        <w:tabs>
          <w:tab w:val="clear" w:pos="709"/>
          <w:tab w:val="left" w:pos="284" w:leader="none"/>
        </w:tabs>
        <w:jc w:val="center"/>
        <w:rPr>
          <w:b/>
          <w:bCs/>
        </w:rPr>
      </w:pPr>
      <w:r>
        <w:rPr>
          <w:b/>
          <w:bCs/>
        </w:rPr>
        <w:t>Ответственность Сторон</w:t>
      </w:r>
    </w:p>
    <w:p>
      <w:pPr>
        <w:pStyle w:val="ListParagraph"/>
        <w:numPr>
          <w:ilvl w:val="1"/>
          <w:numId w:val="25"/>
        </w:numPr>
        <w:shd w:val="clear" w:color="auto" w:fill="FFFFFF"/>
        <w:tabs>
          <w:tab w:val="clear" w:pos="709"/>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Договором прямо не предусмотрено иное. </w:t>
      </w:r>
    </w:p>
    <w:p>
      <w:pPr>
        <w:pStyle w:val="Normal"/>
        <w:numPr>
          <w:ilvl w:val="1"/>
          <w:numId w:val="25"/>
        </w:numPr>
        <w:tabs>
          <w:tab w:val="clear" w:pos="709"/>
          <w:tab w:val="left" w:pos="1134" w:leader="none"/>
        </w:tabs>
        <w:spacing w:lineRule="auto" w:line="240"/>
        <w:ind w:left="0" w:firstLine="709"/>
        <w:rPr>
          <w:bCs/>
          <w:sz w:val="24"/>
          <w:szCs w:val="24"/>
        </w:rPr>
      </w:pPr>
      <w:r>
        <w:rPr>
          <w:bCs/>
          <w:sz w:val="24"/>
          <w:szCs w:val="24"/>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25"/>
        </w:numPr>
        <w:tabs>
          <w:tab w:val="clear" w:pos="709"/>
          <w:tab w:val="left" w:pos="1134" w:leader="none"/>
        </w:tabs>
        <w:spacing w:lineRule="auto" w:line="240"/>
        <w:ind w:left="0" w:firstLine="709"/>
        <w:rPr>
          <w:bCs/>
          <w:sz w:val="24"/>
          <w:szCs w:val="24"/>
        </w:rPr>
      </w:pPr>
      <w:r>
        <w:rPr>
          <w:bCs/>
          <w:sz w:val="24"/>
          <w:szCs w:val="24"/>
        </w:rPr>
        <w:t>В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r>
        <w:rPr>
          <w:sz w:val="24"/>
          <w:szCs w:val="24"/>
        </w:rPr>
        <w:t xml:space="preserve"> </w:t>
      </w:r>
      <w:r>
        <w:rPr>
          <w:bCs/>
          <w:sz w:val="24"/>
          <w:szCs w:val="24"/>
        </w:rPr>
        <w:t>.</w:t>
      </w:r>
    </w:p>
    <w:p>
      <w:pPr>
        <w:pStyle w:val="Normal"/>
        <w:numPr>
          <w:ilvl w:val="1"/>
          <w:numId w:val="25"/>
        </w:numPr>
        <w:tabs>
          <w:tab w:val="clear" w:pos="709"/>
          <w:tab w:val="left" w:pos="1134" w:leader="none"/>
        </w:tabs>
        <w:spacing w:lineRule="auto" w:line="240"/>
        <w:ind w:left="0" w:firstLine="709"/>
        <w:rPr>
          <w:bCs/>
          <w:sz w:val="24"/>
          <w:szCs w:val="24"/>
        </w:rPr>
      </w:pPr>
      <w:r>
        <w:rPr>
          <w:bCs/>
          <w:sz w:val="24"/>
          <w:szCs w:val="24"/>
        </w:rPr>
        <w:t>В случае нарушения Подрядчиком обязательств по выполнению Работ, в том числе сроков выполнения Работ, а также в случае несвоевременного устранения выявленных недостатков Результата работ, Заказчик вправе требовать уплаты Подрядчиком неустойки в размере 0,1 (ноль целых и одна десятая) процента от Цены Договора за каждый день просрочки.</w:t>
      </w:r>
    </w:p>
    <w:p>
      <w:pPr>
        <w:pStyle w:val="Normal"/>
        <w:tabs>
          <w:tab w:val="clear" w:pos="709"/>
          <w:tab w:val="left" w:pos="1701" w:leader="none"/>
        </w:tabs>
        <w:spacing w:lineRule="auto" w:line="240"/>
        <w:ind w:firstLine="709"/>
        <w:rPr>
          <w:sz w:val="24"/>
          <w:szCs w:val="24"/>
        </w:rPr>
      </w:pPr>
      <w:r>
        <w:rPr>
          <w:rFonts w:eastAsia="Calibri"/>
          <w:bCs/>
          <w:sz w:val="24"/>
          <w:szCs w:val="24"/>
        </w:rPr>
        <w:t>7.5. 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ListParagraph"/>
        <w:numPr>
          <w:ilvl w:val="1"/>
          <w:numId w:val="20"/>
        </w:numPr>
        <w:shd w:val="clear" w:color="auto" w:fill="FFFFFF"/>
        <w:tabs>
          <w:tab w:val="clear" w:pos="709"/>
          <w:tab w:val="left" w:pos="1134" w:leader="none"/>
        </w:tabs>
        <w:ind w:left="0" w:firstLine="709"/>
        <w:jc w:val="both"/>
        <w:rPr>
          <w:bCs/>
        </w:rPr>
      </w:pPr>
      <w:r>
        <w:rPr>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Подрядчиком штрафа в размерах, установленных Приложением № 4 к Договору. </w:t>
      </w:r>
    </w:p>
    <w:p>
      <w:pPr>
        <w:pStyle w:val="ListParagraph"/>
        <w:numPr>
          <w:ilvl w:val="1"/>
          <w:numId w:val="20"/>
        </w:numPr>
        <w:shd w:val="clear" w:color="auto" w:fill="FFFFFF"/>
        <w:tabs>
          <w:tab w:val="clear" w:pos="709"/>
          <w:tab w:val="left" w:pos="1134" w:leader="none"/>
        </w:tabs>
        <w:ind w:left="0" w:firstLine="709"/>
        <w:jc w:val="both"/>
        <w:rPr>
          <w:bCs/>
        </w:rPr>
      </w:pPr>
      <w:r>
        <w:rPr>
          <w:bCs/>
        </w:rPr>
        <w:t>Если в результате составления и выставления Подрядчиком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 установленных пунктом 4.7 Договора, Заказчик вправе требовать уплаты Подрядчиком штрафа в размере 50 000 (пятидесяти тысяч) рублей за каждый случай нарушения.</w:t>
      </w:r>
    </w:p>
    <w:p>
      <w:pPr>
        <w:pStyle w:val="ListParagraph"/>
        <w:numPr>
          <w:ilvl w:val="1"/>
          <w:numId w:val="20"/>
        </w:numPr>
        <w:shd w:val="clear" w:color="auto" w:fill="FFFFFF"/>
        <w:tabs>
          <w:tab w:val="clear" w:pos="709"/>
          <w:tab w:val="left" w:pos="1134" w:leader="none"/>
        </w:tabs>
        <w:ind w:left="0" w:firstLine="709"/>
        <w:jc w:val="both"/>
        <w:rPr>
          <w:bCs/>
        </w:rPr>
      </w:pPr>
      <w:r>
        <w:rPr>
          <w:bCs/>
        </w:rPr>
        <w:t>За непредоставление либо несвоевременное предоставление / переоформление Подрядчиком Банковской гарантии, предусмотренной Договором, в порядке и сроки, установленные разделом 6 Договора, Заказчик вправе требовать уплаты Подрядчиком неустойки в размере 0,03 (ноль целях и три сотых) процента от Цены Договора за каждый день просрочки.</w:t>
      </w:r>
    </w:p>
    <w:p>
      <w:pPr>
        <w:pStyle w:val="ListParagraph"/>
        <w:numPr>
          <w:ilvl w:val="1"/>
          <w:numId w:val="20"/>
        </w:numPr>
        <w:shd w:val="clear" w:color="auto" w:fill="FFFFFF"/>
        <w:tabs>
          <w:tab w:val="clear" w:pos="709"/>
          <w:tab w:val="left" w:pos="1134" w:leader="none"/>
        </w:tabs>
        <w:ind w:left="0" w:firstLine="709"/>
        <w:jc w:val="both"/>
        <w:rPr>
          <w:bCs/>
        </w:rPr>
      </w:pPr>
      <w:r>
        <w:rPr>
          <w:bCs/>
        </w:rPr>
        <w:t>Подрядчик несет ответственность перед Заказчиком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20"/>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20"/>
        </w:numPr>
        <w:shd w:val="clear" w:color="auto" w:fill="FFFFFF"/>
        <w:tabs>
          <w:tab w:val="clear" w:pos="709"/>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20"/>
        </w:numPr>
        <w:shd w:val="clear" w:color="auto" w:fill="FFFFFF"/>
        <w:tabs>
          <w:tab w:val="clear" w:pos="709"/>
          <w:tab w:val="left" w:pos="1134"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20"/>
        </w:numPr>
        <w:shd w:val="clear" w:color="auto" w:fill="FFFFFF"/>
        <w:tabs>
          <w:tab w:val="clear" w:pos="709"/>
          <w:tab w:val="left" w:pos="284" w:leader="none"/>
        </w:tabs>
        <w:jc w:val="center"/>
        <w:rPr>
          <w:b/>
          <w:bCs/>
        </w:rPr>
      </w:pPr>
      <w:r>
        <w:rPr>
          <w:b/>
          <w:bCs/>
        </w:rPr>
        <w:t>Гарантии качества Результата Работ</w:t>
      </w:r>
    </w:p>
    <w:p>
      <w:pPr>
        <w:pStyle w:val="Normal"/>
        <w:numPr>
          <w:ilvl w:val="1"/>
          <w:numId w:val="27"/>
        </w:numPr>
        <w:tabs>
          <w:tab w:val="clear" w:pos="709"/>
          <w:tab w:val="left" w:pos="1134" w:leader="none"/>
        </w:tabs>
        <w:spacing w:lineRule="auto" w:line="240"/>
        <w:ind w:left="0" w:firstLine="709"/>
        <w:rPr>
          <w:bCs/>
          <w:sz w:val="24"/>
          <w:szCs w:val="24"/>
        </w:rPr>
      </w:pPr>
      <w:bookmarkStart w:id="28" w:name="_Ref361337777"/>
      <w:r>
        <w:rPr>
          <w:sz w:val="24"/>
          <w:szCs w:val="24"/>
        </w:rPr>
        <w:t>Гарантийный</w:t>
      </w:r>
      <w:r>
        <w:rPr>
          <w:bCs/>
          <w:sz w:val="24"/>
          <w:szCs w:val="24"/>
        </w:rPr>
        <w:t xml:space="preserve"> срок по Договору составляет 36</w:t>
      </w:r>
      <w:r>
        <w:rPr>
          <w:sz w:val="24"/>
          <w:szCs w:val="24"/>
        </w:rPr>
        <w:t xml:space="preserve"> </w:t>
      </w:r>
      <w:r>
        <w:rPr>
          <w:bCs/>
          <w:sz w:val="24"/>
          <w:szCs w:val="24"/>
        </w:rPr>
        <w:t>(Тридцать шесть)</w:t>
      </w:r>
      <w:r>
        <w:rPr>
          <w:sz w:val="24"/>
          <w:szCs w:val="24"/>
        </w:rPr>
        <w:t xml:space="preserve"> месяцев</w:t>
      </w:r>
      <w:r>
        <w:rPr>
          <w:bCs/>
          <w:sz w:val="24"/>
          <w:szCs w:val="24"/>
        </w:rPr>
        <w:t xml:space="preserve"> и начинает течь с даты подписания Сторонами А</w:t>
      </w:r>
      <w:r>
        <w:rPr>
          <w:sz w:val="24"/>
          <w:szCs w:val="24"/>
        </w:rPr>
        <w:t>кта КС-2</w:t>
      </w:r>
      <w:r>
        <w:rPr>
          <w:bCs/>
          <w:sz w:val="24"/>
          <w:szCs w:val="24"/>
        </w:rPr>
        <w:t xml:space="preserve"> </w:t>
      </w:r>
      <w:bookmarkEnd w:id="28"/>
      <w:r>
        <w:rPr>
          <w:bCs/>
          <w:sz w:val="24"/>
          <w:szCs w:val="24"/>
        </w:rPr>
        <w:t xml:space="preserve">либо с даты прекращения (расторжения) Договора. Гарантийный срок может быть продлен в соответствии с условиями Договора. </w:t>
      </w:r>
    </w:p>
    <w:p>
      <w:pPr>
        <w:pStyle w:val="ListParagraph"/>
        <w:numPr>
          <w:ilvl w:val="1"/>
          <w:numId w:val="27"/>
        </w:numPr>
        <w:shd w:val="clear" w:color="auto" w:fill="FFFFFF"/>
        <w:tabs>
          <w:tab w:val="clear" w:pos="709"/>
          <w:tab w:val="left" w:pos="568" w:leader="none"/>
          <w:tab w:val="left" w:pos="1134" w:leader="none"/>
        </w:tabs>
        <w:ind w:left="0" w:firstLine="709"/>
        <w:jc w:val="both"/>
        <w:rPr>
          <w:bCs/>
        </w:rPr>
      </w:pPr>
      <w:r>
        <w:rPr>
          <w:bCs/>
        </w:rPr>
        <w:t>Гарантийные обязательства Подрядчика наступают с даты подписания Акта КС-2 либо даты прекращения (расторжения) Договора (подписания Сторонами соглашения о расторжении Договора, получения любой из Сторон уведомления об отказе от Договора или иного документа, свидетельствующего о воле Стороны, направленной на расторжение Договора), поскольку прекращение (расторжение) Договора не является основанием для прекращения гарантийных обязательств по выполненным Подрядчиком Работам.</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В течение Гарантийного срока Подрядчик гарантирует возможность эксплуатации Результата Работ в соответствии с его целевым назначением, а также несет безусловную ответственность за обнаруженные Заказчиком недостатки, несоответствия и / или дефекты Результата Работ, если не докажет, что они явились следствием несоблюдения Заказчиком требований по эксплуатации Результата Работ, прямо предусмотренных в инструкциях и иных документах, переданных Заказчику. </w:t>
      </w:r>
    </w:p>
    <w:p>
      <w:pPr>
        <w:pStyle w:val="ListParagraph"/>
        <w:numPr>
          <w:ilvl w:val="1"/>
          <w:numId w:val="27"/>
        </w:numPr>
        <w:shd w:val="clear" w:color="auto" w:fill="FFFFFF"/>
        <w:tabs>
          <w:tab w:val="clear" w:pos="709"/>
          <w:tab w:val="left" w:pos="1134" w:leader="none"/>
        </w:tabs>
        <w:ind w:left="0" w:firstLine="709"/>
        <w:jc w:val="both"/>
        <w:rPr>
          <w:bCs/>
        </w:rPr>
      </w:pPr>
      <w:bookmarkStart w:id="29" w:name="_Ref361337764"/>
      <w:r>
        <w:rPr>
          <w:bCs/>
        </w:rPr>
        <w:t>В случае обнаружения в период Гарантийного срока недостатков, несоответствий и / или дефектов Результата Работ, Заказчик направляет Подрядчику письменное уведомление с указанием выявленных недостатков. Подрядчик обязан незамедлительно обеспечить прибытие своего представителя, уполномоченного надлежащим образом оформленной доверенностью, для составления Акта о недостатках и согласования порядка и сроков их устранения.</w:t>
      </w:r>
      <w:bookmarkEnd w:id="29"/>
      <w:r>
        <w:rPr>
          <w:bCs/>
        </w:rPr>
        <w:t xml:space="preserve"> </w:t>
      </w:r>
    </w:p>
    <w:p>
      <w:pPr>
        <w:pStyle w:val="ListParagraph"/>
        <w:numPr>
          <w:ilvl w:val="1"/>
          <w:numId w:val="27"/>
        </w:numPr>
        <w:shd w:val="clear" w:color="auto" w:fill="FFFFFF"/>
        <w:tabs>
          <w:tab w:val="clear" w:pos="709"/>
          <w:tab w:val="left" w:pos="1134" w:leader="none"/>
        </w:tabs>
        <w:ind w:left="0" w:firstLine="709"/>
        <w:jc w:val="both"/>
        <w:rPr>
          <w:bCs/>
        </w:rPr>
      </w:pPr>
      <w:r>
        <w:rPr>
          <w:bCs/>
        </w:rPr>
        <w:t>Наличие и полный перечень недостатков,</w:t>
      </w:r>
      <w:r>
        <w:rPr/>
        <w:t xml:space="preserve"> </w:t>
      </w:r>
      <w:r>
        <w:rPr>
          <w:bCs/>
        </w:rPr>
        <w:t>несоответствий и / или дефектов Результата Работ, а также разумные сроки их устранения, оформляются Актом о недостатках, составляемым Сторонами, а при отказе или уклонении Подрядчика от составления данного акта – Заказчиком в одностороннем порядке. Подрядчик признается уклонившимся от составления Акта о недостатках в случае не подписания Подрядчиком данного акта в течение 5 (пяти) календарных дней с момента получения письменного уведомления Заказчика об обнаружении недостатков Результата Работ и при отсутствии мотивированных письменных возражений Подрядчика. Составленный Заказчиком в одностороннем порядке Акт о недостатках имеет для Подрядчика юридическую силу и является основанием для привлечения его к ответственности в порядке и размерах, установленных Договором.</w:t>
      </w:r>
    </w:p>
    <w:p>
      <w:pPr>
        <w:pStyle w:val="ListParagraph"/>
        <w:numPr>
          <w:ilvl w:val="1"/>
          <w:numId w:val="27"/>
        </w:numPr>
        <w:shd w:val="clear" w:color="auto" w:fill="FFFFFF"/>
        <w:tabs>
          <w:tab w:val="clear" w:pos="709"/>
          <w:tab w:val="left" w:pos="1134" w:leader="none"/>
        </w:tabs>
        <w:ind w:left="0" w:firstLine="709"/>
        <w:jc w:val="both"/>
        <w:rPr>
          <w:bCs/>
        </w:rPr>
      </w:pPr>
      <w:r>
        <w:rPr>
          <w:bCs/>
        </w:rPr>
        <w:t>Подрядчик обязан своими силами и за свой счет устранить недостатки,</w:t>
      </w:r>
      <w:r>
        <w:rPr/>
        <w:t xml:space="preserve"> </w:t>
      </w:r>
      <w:r>
        <w:rPr>
          <w:bCs/>
        </w:rPr>
        <w:t xml:space="preserve">несоответствия и / или дефекты, обнаруженные Заказчиком в течение Гарантийного срока, в срок, указанный в </w:t>
      </w:r>
      <w:bookmarkStart w:id="30" w:name="OLE_LINK5"/>
      <w:bookmarkStart w:id="31" w:name="OLE_LINK6"/>
      <w:r>
        <w:rPr>
          <w:bCs/>
        </w:rPr>
        <w:t>Акте о недостатках, составленном в порядке, установленном пунктом 8.5 Договора</w:t>
      </w:r>
      <w:bookmarkEnd w:id="30"/>
      <w:bookmarkEnd w:id="31"/>
      <w:r>
        <w:rPr>
          <w:bCs/>
        </w:rPr>
        <w:t>.</w:t>
      </w:r>
      <w:r>
        <w:rPr/>
        <w:t xml:space="preserve"> </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Если Подрядчик не устранит недостатки в установленный срок, Заказчик вправе собственными силами и / или силами третьих лиц выполнить необходимые работы по устранению недостатков Результата Работ, с отнесением на Подрядчика соответствующих расходов. Подрядчик обязан возместить стоимость расходов Заказчика на устранение недостатков, несоответствий и / или дефектов Результата Работ в течение 10 (десяти) рабочих дней с даты получения соответствующего письменного требования Заказчика. </w:t>
      </w:r>
    </w:p>
    <w:p>
      <w:pPr>
        <w:pStyle w:val="ListParagraph"/>
        <w:numPr>
          <w:ilvl w:val="1"/>
          <w:numId w:val="27"/>
        </w:numPr>
        <w:shd w:val="clear" w:color="auto" w:fill="FFFFFF"/>
        <w:tabs>
          <w:tab w:val="clear" w:pos="709"/>
          <w:tab w:val="left" w:pos="1134" w:leader="none"/>
        </w:tabs>
        <w:ind w:left="0" w:firstLine="709"/>
        <w:jc w:val="both"/>
        <w:rPr>
          <w:bCs/>
        </w:rPr>
      </w:pPr>
      <w:r>
        <w:rPr>
          <w:bCs/>
        </w:rPr>
        <w:t>Гарантийный срок на Результат Работ увеличивается на тот период времени, в течение которого Заказчик не мог эксплуатировать Результат Работ в целом или его часть вследствие указанных в настоящем разделе недостатков. Гарантийный срок на замененную или отремонтированную составную часть Результата Работ устанавливается продолжительностью, указанной в пункте 8.1 Договора, и начинает исчисляться заново с даты приемки Заказчиком работ по устранению недостатков.</w:t>
      </w:r>
    </w:p>
    <w:p>
      <w:pPr>
        <w:pStyle w:val="ListParagraph"/>
        <w:numPr>
          <w:ilvl w:val="1"/>
          <w:numId w:val="27"/>
        </w:numPr>
        <w:shd w:val="clear" w:color="auto" w:fill="FFFFFF"/>
        <w:tabs>
          <w:tab w:val="clear" w:pos="709"/>
          <w:tab w:val="left" w:pos="1134" w:leader="none"/>
        </w:tabs>
        <w:ind w:left="0" w:firstLine="709"/>
        <w:jc w:val="both"/>
        <w:rPr>
          <w:color w:val="000000"/>
        </w:rPr>
      </w:pPr>
      <w:r>
        <w:rPr>
          <w:bCs/>
        </w:rPr>
        <w:t xml:space="preserve">Устранение недостатков, несоответствий и / или дефектов Результата Работ, в том числе в рамках срока, установленного в соответствии с пунктом 8.5 Договора, не освобождает Подрядчика от обязанности возмещения убытков, причиненных Заказчику вследствие наличия таких недостатков. </w:t>
      </w:r>
    </w:p>
    <w:p>
      <w:pPr>
        <w:pStyle w:val="Normal"/>
        <w:shd w:val="clear" w:color="auto" w:fill="FFFFFF"/>
        <w:tabs>
          <w:tab w:val="clear" w:pos="709"/>
          <w:tab w:val="left" w:pos="566" w:leader="none"/>
        </w:tabs>
        <w:spacing w:lineRule="auto" w:line="240"/>
        <w:ind w:hanging="0"/>
        <w:rPr>
          <w:color w:val="000000"/>
          <w:sz w:val="24"/>
          <w:szCs w:val="24"/>
        </w:rPr>
      </w:pPr>
      <w:r>
        <w:rPr>
          <w:color w:val="000000"/>
          <w:sz w:val="24"/>
          <w:szCs w:val="24"/>
        </w:rPr>
      </w:r>
    </w:p>
    <w:p>
      <w:pPr>
        <w:pStyle w:val="ListParagraph"/>
        <w:numPr>
          <w:ilvl w:val="0"/>
          <w:numId w:val="27"/>
        </w:numPr>
        <w:shd w:val="clear" w:color="auto" w:fill="FFFFFF"/>
        <w:tabs>
          <w:tab w:val="clear" w:pos="709"/>
          <w:tab w:val="left" w:pos="426" w:leader="none"/>
        </w:tabs>
        <w:ind w:left="0" w:hanging="0"/>
        <w:jc w:val="center"/>
        <w:rPr>
          <w:b/>
          <w:bCs/>
        </w:rPr>
      </w:pPr>
      <w:r>
        <w:rPr>
          <w:b/>
          <w:bCs/>
        </w:rPr>
        <w:t>Исключительные права и патенты</w:t>
      </w:r>
    </w:p>
    <w:p>
      <w:pPr>
        <w:pStyle w:val="ListParagraph"/>
        <w:numPr>
          <w:ilvl w:val="1"/>
          <w:numId w:val="27"/>
        </w:numPr>
        <w:shd w:val="clear" w:color="auto" w:fill="FFFFFF"/>
        <w:tabs>
          <w:tab w:val="clear" w:pos="709"/>
          <w:tab w:val="left" w:pos="1134" w:leader="none"/>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эксплуатации Заказчиком Результата Работ в течение всего установленного срока эксплуатации, его технического обслуживания и ремонта, а также реконструкции и / или модернизации. </w:t>
      </w:r>
    </w:p>
    <w:p>
      <w:pPr>
        <w:pStyle w:val="ListParagraph"/>
        <w:numPr>
          <w:ilvl w:val="1"/>
          <w:numId w:val="27"/>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7"/>
        </w:numPr>
        <w:shd w:val="clear" w:color="auto" w:fill="FFFFFF"/>
        <w:tabs>
          <w:tab w:val="clear" w:pos="709"/>
          <w:tab w:val="left" w:pos="1134" w:leader="none"/>
        </w:tabs>
        <w:ind w:left="0" w:firstLine="709"/>
        <w:jc w:val="both"/>
        <w:rPr>
          <w:bCs/>
        </w:rPr>
      </w:pPr>
      <w:r>
        <w:rPr>
          <w:bCs/>
        </w:rPr>
        <w:t>Исключительные права (за исключением личны 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интеллектуальной деятельности на срок, не меньше срока эксплуатации Результата Работ, и в том объеме (пределах), который требуется для эксплуатации,</w:t>
      </w:r>
      <w:r>
        <w:rPr/>
        <w:t xml:space="preserve"> </w:t>
      </w:r>
      <w:r>
        <w:rPr>
          <w:bCs/>
        </w:rPr>
        <w:t xml:space="preserve">технического обслуживания и ремонта, а также реконструкции и / или модернизации Результата Работ.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7"/>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7"/>
        </w:numPr>
        <w:shd w:val="clear" w:color="auto" w:fill="FFFFFF"/>
        <w:tabs>
          <w:tab w:val="clear" w:pos="709"/>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КС-2.</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27"/>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27"/>
        </w:numPr>
        <w:shd w:val="clear" w:color="auto" w:fill="FFFFFF"/>
        <w:tabs>
          <w:tab w:val="clear" w:pos="709"/>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место производство Работ,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6"/>
        </w:numPr>
        <w:tabs>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6"/>
        </w:numPr>
        <w:tabs>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7"/>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7"/>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7"/>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бизнес-планы;</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27"/>
        </w:numPr>
        <w:shd w:val="clear" w:color="auto" w:fill="FFFFFF"/>
        <w:tabs>
          <w:tab w:val="clear" w:pos="709"/>
          <w:tab w:val="left" w:pos="1134" w:leader="none"/>
        </w:tabs>
        <w:ind w:left="0" w:firstLine="709"/>
        <w:jc w:val="both"/>
        <w:rPr>
          <w:bCs/>
        </w:rPr>
      </w:pPr>
      <w:bookmarkStart w:id="32"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32"/>
      <w:r>
        <w:rPr>
          <w:bCs/>
        </w:rPr>
        <w:t xml:space="preserve"> </w:t>
      </w:r>
    </w:p>
    <w:p>
      <w:pPr>
        <w:pStyle w:val="ListParagraph"/>
        <w:numPr>
          <w:ilvl w:val="2"/>
          <w:numId w:val="27"/>
        </w:numPr>
        <w:shd w:val="clear" w:color="auto" w:fill="FFFFFF"/>
        <w:tabs>
          <w:tab w:val="clear" w:pos="709"/>
          <w:tab w:val="left" w:pos="1701"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10.6.7 Договора;</w:t>
      </w:r>
    </w:p>
    <w:p>
      <w:pPr>
        <w:pStyle w:val="ListParagraph"/>
        <w:numPr>
          <w:ilvl w:val="2"/>
          <w:numId w:val="27"/>
        </w:numPr>
        <w:shd w:val="clear" w:color="auto" w:fill="FFFFFF"/>
        <w:tabs>
          <w:tab w:val="clear" w:pos="709"/>
          <w:tab w:val="left" w:pos="1701"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27"/>
        </w:numPr>
        <w:shd w:val="clear" w:color="auto" w:fill="FFFFFF"/>
        <w:tabs>
          <w:tab w:val="clear" w:pos="709"/>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7"/>
        </w:numPr>
        <w:shd w:val="clear" w:color="auto" w:fill="FFFFFF"/>
        <w:tabs>
          <w:tab w:val="clear" w:pos="709"/>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7"/>
        </w:numPr>
        <w:shd w:val="clear" w:color="auto" w:fill="FFFFFF"/>
        <w:tabs>
          <w:tab w:val="clear" w:pos="709"/>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7"/>
        </w:numPr>
        <w:shd w:val="clear" w:color="auto" w:fill="FFFFFF"/>
        <w:tabs>
          <w:tab w:val="clear" w:pos="709"/>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7"/>
        </w:numPr>
        <w:shd w:val="clear" w:color="auto" w:fill="FFFFFF"/>
        <w:tabs>
          <w:tab w:val="clear" w:pos="709"/>
          <w:tab w:val="left" w:pos="1701" w:leader="none"/>
        </w:tabs>
        <w:ind w:left="0" w:firstLine="709"/>
        <w:jc w:val="both"/>
        <w:rPr>
          <w:bCs/>
        </w:rPr>
      </w:pPr>
      <w:bookmarkStart w:id="33"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3"/>
    </w:p>
    <w:p>
      <w:pPr>
        <w:pStyle w:val="ListParagraph"/>
        <w:numPr>
          <w:ilvl w:val="2"/>
          <w:numId w:val="27"/>
        </w:numPr>
        <w:shd w:val="clear" w:color="auto" w:fill="FFFFFF"/>
        <w:tabs>
          <w:tab w:val="clear" w:pos="709"/>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7"/>
        </w:numPr>
        <w:shd w:val="clear" w:color="auto" w:fill="FFFFFF"/>
        <w:tabs>
          <w:tab w:val="clear" w:pos="709"/>
          <w:tab w:val="left" w:pos="1134" w:leader="none"/>
        </w:tabs>
        <w:ind w:left="0" w:firstLine="709"/>
        <w:jc w:val="both"/>
        <w:rPr>
          <w:bCs/>
        </w:rPr>
      </w:pPr>
      <w:bookmarkStart w:id="34" w:name="_Ref361337863"/>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34"/>
    </w:p>
    <w:p>
      <w:pPr>
        <w:pStyle w:val="ListParagraph"/>
        <w:numPr>
          <w:ilvl w:val="1"/>
          <w:numId w:val="27"/>
        </w:numPr>
        <w:shd w:val="clear" w:color="auto" w:fill="FFFFFF"/>
        <w:tabs>
          <w:tab w:val="clear" w:pos="709"/>
          <w:tab w:val="left" w:pos="1134" w:leader="none"/>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27"/>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27"/>
        </w:numPr>
        <w:shd w:val="clear" w:color="auto" w:fill="FFFFFF"/>
        <w:tabs>
          <w:tab w:val="clear" w:pos="709"/>
          <w:tab w:val="left" w:pos="426" w:leader="none"/>
        </w:tabs>
        <w:ind w:left="0" w:hanging="0"/>
        <w:jc w:val="center"/>
        <w:rPr>
          <w:bCs/>
        </w:rPr>
      </w:pPr>
      <w:r>
        <w:rPr>
          <w:b/>
          <w:bCs/>
        </w:rPr>
        <w:t>Разрешение споров</w:t>
      </w:r>
    </w:p>
    <w:p>
      <w:pPr>
        <w:pStyle w:val="ListParagraph"/>
        <w:numPr>
          <w:ilvl w:val="1"/>
          <w:numId w:val="26"/>
        </w:numPr>
        <w:shd w:val="clear" w:color="auto" w:fill="FFFFFF"/>
        <w:tabs>
          <w:tab w:val="clear" w:pos="709"/>
          <w:tab w:val="left" w:pos="1134" w:leader="none"/>
          <w:tab w:val="left" w:pos="1418" w:leader="none"/>
        </w:tabs>
        <w:ind w:left="0" w:firstLine="568"/>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6"/>
        </w:numPr>
        <w:shd w:val="clear" w:color="auto" w:fill="FFFFFF"/>
        <w:tabs>
          <w:tab w:val="clear" w:pos="709"/>
          <w:tab w:val="left" w:pos="1134" w:leader="none"/>
          <w:tab w:val="left" w:pos="1418" w:leader="none"/>
        </w:tabs>
        <w:ind w:left="0" w:firstLine="709"/>
        <w:jc w:val="both"/>
        <w:rPr>
          <w:bCs/>
        </w:rPr>
      </w:pPr>
      <w:r>
        <w:rPr>
          <w:bCs/>
        </w:rPr>
        <w:t>Споры, указанные в пункте 11.1 Договора, которые не были урегулированы Сторонами путем переговоров, подлежат разрешению в Арбитражном суде Карачаево-Черкесской Республики в соответствии с законодательством Российской Федерации, за исключением споров из Банковской гарантии, подсудность которых предусмотрена пунктом 6.1.9. Договора.</w:t>
      </w:r>
    </w:p>
    <w:p>
      <w:pPr>
        <w:pStyle w:val="ListParagraph"/>
        <w:numPr>
          <w:ilvl w:val="1"/>
          <w:numId w:val="26"/>
        </w:numPr>
        <w:shd w:val="clear" w:color="auto" w:fill="FFFFFF"/>
        <w:tabs>
          <w:tab w:val="clear" w:pos="709"/>
          <w:tab w:val="left" w:pos="1134" w:leader="none"/>
          <w:tab w:val="left" w:pos="1418"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17.8 Договора.</w:t>
      </w:r>
    </w:p>
    <w:p>
      <w:pPr>
        <w:pStyle w:val="ListParagraph"/>
        <w:numPr>
          <w:ilvl w:val="1"/>
          <w:numId w:val="26"/>
        </w:numPr>
        <w:shd w:val="clear" w:color="auto" w:fill="FFFFFF"/>
        <w:tabs>
          <w:tab w:val="clear" w:pos="709"/>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6"/>
        </w:numPr>
        <w:shd w:val="clear" w:color="auto" w:fill="FFFFFF"/>
        <w:tabs>
          <w:tab w:val="clear" w:pos="709"/>
          <w:tab w:val="left" w:pos="1134" w:leader="none"/>
          <w:tab w:val="left" w:pos="1418"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shd w:val="clear" w:color="auto" w:fill="FFFFFF"/>
        <w:tabs>
          <w:tab w:val="clear" w:pos="709"/>
          <w:tab w:val="left" w:pos="1134" w:leader="none"/>
          <w:tab w:val="left" w:pos="1418" w:leader="none"/>
        </w:tabs>
        <w:ind w:left="0" w:hanging="0"/>
        <w:jc w:val="both"/>
        <w:rPr>
          <w:bCs/>
        </w:rPr>
      </w:pPr>
      <w:r>
        <w:rPr>
          <w:bCs/>
        </w:rPr>
      </w:r>
    </w:p>
    <w:p>
      <w:pPr>
        <w:pStyle w:val="ListParagraph"/>
        <w:numPr>
          <w:ilvl w:val="0"/>
          <w:numId w:val="26"/>
        </w:numPr>
        <w:shd w:val="clear" w:color="auto" w:fill="FFFFFF"/>
        <w:tabs>
          <w:tab w:val="clear" w:pos="709"/>
          <w:tab w:val="left" w:pos="426" w:leader="none"/>
        </w:tabs>
        <w:ind w:left="0" w:hanging="0"/>
        <w:jc w:val="center"/>
        <w:rPr>
          <w:b/>
          <w:bCs/>
        </w:rPr>
      </w:pPr>
      <w:r>
        <w:rPr>
          <w:b/>
          <w:bCs/>
        </w:rPr>
        <w:t>Антикоррупционная оговорка</w:t>
      </w:r>
    </w:p>
    <w:p>
      <w:pPr>
        <w:pStyle w:val="ListParagraph"/>
        <w:numPr>
          <w:ilvl w:val="1"/>
          <w:numId w:val="26"/>
        </w:numPr>
        <w:shd w:val="clear" w:color="auto" w:fill="FFFFFF"/>
        <w:tabs>
          <w:tab w:val="clear" w:pos="709"/>
          <w:tab w:val="left" w:pos="1134"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ListParagraph"/>
        <w:numPr>
          <w:ilvl w:val="1"/>
          <w:numId w:val="26"/>
        </w:numPr>
        <w:shd w:val="clear" w:color="auto" w:fill="FFFFFF"/>
        <w:tabs>
          <w:tab w:val="clear" w:pos="709"/>
          <w:tab w:val="left" w:pos="1134" w:leader="none"/>
        </w:tabs>
        <w:ind w:left="0" w:firstLine="709"/>
        <w:jc w:val="both"/>
        <w:rPr>
          <w:bCs/>
          <w:color w:val="000000"/>
        </w:rPr>
      </w:pPr>
      <w:r>
        <w:rPr>
          <w:bCs/>
          <w:color w:val="000000"/>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numPr>
          <w:ilvl w:val="1"/>
          <w:numId w:val="26"/>
        </w:numPr>
        <w:shd w:val="clear" w:color="auto" w:fill="FFFFFF"/>
        <w:tabs>
          <w:tab w:val="clear" w:pos="709"/>
          <w:tab w:val="left" w:pos="1134" w:leader="none"/>
        </w:tabs>
        <w:ind w:left="0" w:firstLine="709"/>
        <w:jc w:val="both"/>
        <w:rPr>
          <w:bCs/>
          <w:color w:val="000000"/>
        </w:rPr>
      </w:pPr>
      <w:r>
        <w:rPr>
          <w:bCs/>
          <w:color w:val="000000"/>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numPr>
          <w:ilvl w:val="1"/>
          <w:numId w:val="26"/>
        </w:numPr>
        <w:shd w:val="clear" w:color="auto" w:fill="FFFFFF"/>
        <w:tabs>
          <w:tab w:val="clear" w:pos="709"/>
          <w:tab w:val="left" w:pos="1134" w:leader="none"/>
        </w:tabs>
        <w:ind w:left="0" w:firstLine="709"/>
        <w:jc w:val="both"/>
        <w:rPr>
          <w:bCs/>
          <w:color w:val="000000"/>
        </w:rPr>
      </w:pPr>
      <w:r>
        <w:rPr>
          <w:bCs/>
          <w:color w:val="000000"/>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numPr>
          <w:ilvl w:val="1"/>
          <w:numId w:val="26"/>
        </w:numPr>
        <w:shd w:val="clear" w:color="auto" w:fill="FFFFFF"/>
        <w:tabs>
          <w:tab w:val="clear" w:pos="709"/>
          <w:tab w:val="left" w:pos="1134" w:leader="none"/>
        </w:tabs>
        <w:ind w:left="0" w:firstLine="709"/>
        <w:jc w:val="both"/>
        <w:rPr>
          <w:bCs/>
          <w:color w:val="000000"/>
        </w:rPr>
      </w:pPr>
      <w:r>
        <w:rPr>
          <w:bCs/>
          <w:color w:val="000000"/>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ListParagraph"/>
        <w:numPr>
          <w:ilvl w:val="1"/>
          <w:numId w:val="26"/>
        </w:numPr>
        <w:shd w:val="clear" w:color="auto" w:fill="FFFFFF"/>
        <w:tabs>
          <w:tab w:val="clear" w:pos="709"/>
          <w:tab w:val="left" w:pos="1134" w:leader="none"/>
        </w:tabs>
        <w:ind w:left="0" w:firstLine="709"/>
        <w:jc w:val="both"/>
        <w:rPr>
          <w:bCs/>
          <w:color w:val="000000"/>
        </w:rPr>
      </w:pPr>
      <w:r>
        <w:rPr>
          <w:bCs/>
          <w:color w:val="000000"/>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ListParagraph"/>
        <w:widowControl w:val="false"/>
        <w:numPr>
          <w:ilvl w:val="1"/>
          <w:numId w:val="26"/>
        </w:numPr>
        <w:shd w:val="clear" w:color="auto" w:fill="FFFFFF"/>
        <w:tabs>
          <w:tab w:val="clear" w:pos="709"/>
          <w:tab w:val="left" w:pos="1134" w:leader="none"/>
        </w:tabs>
        <w:ind w:left="0" w:firstLine="709"/>
        <w:jc w:val="both"/>
        <w:rPr>
          <w:color w:val="000000"/>
        </w:rPr>
      </w:pPr>
      <w:r>
        <w:rPr>
          <w:color w:val="000000"/>
        </w:rPr>
        <w:t xml:space="preserve">Каналы связи Линия доверия Группы РусГидро: </w:t>
      </w:r>
    </w:p>
    <w:p>
      <w:pPr>
        <w:pStyle w:val="ListParagraph"/>
        <w:widowControl w:val="false"/>
        <w:numPr>
          <w:ilvl w:val="2"/>
          <w:numId w:val="26"/>
        </w:numPr>
        <w:shd w:val="clear" w:color="auto" w:fill="FFFFFF"/>
        <w:tabs>
          <w:tab w:val="clear" w:pos="709"/>
          <w:tab w:val="left" w:pos="1134" w:leader="none"/>
        </w:tabs>
        <w:ind w:left="0" w:firstLine="709"/>
        <w:jc w:val="both"/>
        <w:rPr/>
      </w:pPr>
      <w:r>
        <w:rPr/>
        <w:t xml:space="preserve">Электронная почта: </w:t>
      </w:r>
      <w:hyperlink r:id="rId2">
        <w:r>
          <w:rPr>
            <w:rStyle w:val="Hyperlink"/>
          </w:rPr>
          <w:t>ld@rushydro.ru</w:t>
        </w:r>
      </w:hyperlink>
      <w:r>
        <w:rPr/>
        <w:t xml:space="preserve">. </w:t>
      </w:r>
    </w:p>
    <w:p>
      <w:pPr>
        <w:pStyle w:val="ListParagraph"/>
        <w:widowControl w:val="false"/>
        <w:numPr>
          <w:ilvl w:val="2"/>
          <w:numId w:val="26"/>
        </w:numPr>
        <w:shd w:val="clear" w:color="auto" w:fill="FFFFFF"/>
        <w:tabs>
          <w:tab w:val="clear" w:pos="709"/>
          <w:tab w:val="left" w:pos="1134" w:leader="none"/>
        </w:tabs>
        <w:ind w:left="0" w:firstLine="709"/>
        <w:jc w:val="both"/>
        <w:rPr/>
      </w:pPr>
      <w:r>
        <w:rPr/>
        <w:t xml:space="preserve">Специальная форма «обратной связи», размещенная на официальном сайте Общества в сети интернет: </w:t>
      </w:r>
      <w:hyperlink r:id="rId3">
        <w:r>
          <w:rPr>
            <w:rStyle w:val="Hyperlink"/>
          </w:rPr>
          <w:t>http://www.rushydro.ru/</w:t>
        </w:r>
      </w:hyperlink>
      <w:r>
        <w:rPr/>
        <w:t xml:space="preserve">  (далее перейти по ссылке «Линия доверия» и заполнить поля специальной формы «обратной связи»);</w:t>
      </w:r>
    </w:p>
    <w:p>
      <w:pPr>
        <w:pStyle w:val="ListParagraph"/>
        <w:numPr>
          <w:ilvl w:val="2"/>
          <w:numId w:val="26"/>
        </w:numPr>
        <w:tabs>
          <w:tab w:val="clear" w:pos="709"/>
          <w:tab w:val="left" w:pos="1134" w:leader="none"/>
        </w:tabs>
        <w:ind w:left="0" w:firstLine="709"/>
        <w:jc w:val="both"/>
        <w:rPr/>
      </w:pPr>
      <w:r>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spacing w:lineRule="auto" w:line="240"/>
        <w:ind w:hanging="0"/>
        <w:rPr>
          <w:b/>
          <w:sz w:val="24"/>
          <w:szCs w:val="24"/>
        </w:rPr>
      </w:pPr>
      <w:r>
        <w:rPr>
          <w:b/>
          <w:sz w:val="24"/>
          <w:szCs w:val="24"/>
        </w:rPr>
      </w:r>
    </w:p>
    <w:p>
      <w:pPr>
        <w:pStyle w:val="ListParagraph"/>
        <w:numPr>
          <w:ilvl w:val="0"/>
          <w:numId w:val="26"/>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6"/>
        </w:numPr>
        <w:shd w:val="clear" w:color="auto" w:fill="FFFFFF"/>
        <w:tabs>
          <w:tab w:val="clear" w:pos="709"/>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6"/>
        </w:numPr>
        <w:shd w:val="clear" w:color="auto" w:fill="FFFFFF"/>
        <w:tabs>
          <w:tab w:val="clear" w:pos="709"/>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6"/>
        </w:numPr>
        <w:shd w:val="clear" w:color="auto" w:fill="FFFFFF"/>
        <w:tabs>
          <w:tab w:val="clear" w:pos="709"/>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6"/>
        </w:numPr>
        <w:shd w:val="clear" w:color="auto" w:fill="FFFFFF"/>
        <w:tabs>
          <w:tab w:val="clear" w:pos="709"/>
          <w:tab w:val="left" w:pos="142" w:leader="none"/>
          <w:tab w:val="left" w:pos="1134" w:leader="none"/>
          <w:tab w:val="left" w:pos="1418" w:leader="none"/>
        </w:tabs>
        <w:ind w:left="0" w:firstLine="709"/>
        <w:jc w:val="both"/>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6"/>
        </w:numPr>
        <w:shd w:val="clear" w:color="auto" w:fill="FFFFFF"/>
        <w:tabs>
          <w:tab w:val="clear" w:pos="709"/>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6"/>
        </w:numPr>
        <w:shd w:val="clear" w:color="auto" w:fill="FFFFFF"/>
        <w:tabs>
          <w:tab w:val="clear" w:pos="709"/>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26"/>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26"/>
        </w:numPr>
        <w:shd w:val="clear" w:color="auto" w:fill="FFFFFF"/>
        <w:tabs>
          <w:tab w:val="clear" w:pos="709"/>
          <w:tab w:val="left" w:pos="1134" w:leader="none"/>
        </w:tabs>
        <w:ind w:left="0" w:firstLine="709"/>
        <w:jc w:val="both"/>
        <w:rPr>
          <w:bCs/>
        </w:rPr>
      </w:pPr>
      <w:bookmarkStart w:id="35"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4">
        <w:r>
          <w:rPr>
            <w:bCs/>
          </w:rPr>
          <w:t>№ 18162/09</w:t>
        </w:r>
      </w:hyperlink>
      <w:r>
        <w:rPr>
          <w:bCs/>
        </w:rPr>
        <w:t xml:space="preserve"> и от 25.05.2010 </w:t>
      </w:r>
      <w:hyperlink r:id="rId5">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соответствующие </w:t>
      </w:r>
      <w:hyperlink r:id="rId6">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 .</w:t>
      </w:r>
      <w:bookmarkEnd w:id="35"/>
    </w:p>
    <w:p>
      <w:pPr>
        <w:pStyle w:val="ListParagraph"/>
        <w:numPr>
          <w:ilvl w:val="1"/>
          <w:numId w:val="26"/>
        </w:numPr>
        <w:shd w:val="clear" w:color="auto" w:fill="FFFFFF"/>
        <w:tabs>
          <w:tab w:val="clear" w:pos="709"/>
          <w:tab w:val="left" w:pos="1134" w:leader="none"/>
        </w:tabs>
        <w:ind w:left="0" w:firstLine="709"/>
        <w:jc w:val="both"/>
        <w:rPr>
          <w:bCs/>
        </w:rPr>
      </w:pPr>
      <w:bookmarkStart w:id="36" w:name="_Ref361337921"/>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14.1 Договора, а также обеспечить прекращение участия таких организаций в исполнении Договора.</w:t>
      </w:r>
      <w:bookmarkEnd w:id="36"/>
    </w:p>
    <w:p>
      <w:pPr>
        <w:pStyle w:val="ListParagraph"/>
        <w:numPr>
          <w:ilvl w:val="1"/>
          <w:numId w:val="26"/>
        </w:numPr>
        <w:shd w:val="clear" w:color="auto" w:fill="FFFFFF"/>
        <w:tabs>
          <w:tab w:val="clear" w:pos="709"/>
          <w:tab w:val="left" w:pos="1134" w:leader="none"/>
        </w:tabs>
        <w:ind w:left="0" w:firstLine="709"/>
        <w:jc w:val="both"/>
        <w:rPr>
          <w:bCs/>
        </w:rPr>
      </w:pPr>
      <w:bookmarkStart w:id="37" w:name="_Ref361337948"/>
      <w:r>
        <w:rPr>
          <w:bCs/>
        </w:rPr>
        <w:t>В случае нарушения Подрядчиком обязательств, установленных пунктами 14.1, 14.2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37"/>
    </w:p>
    <w:p>
      <w:pPr>
        <w:pStyle w:val="ListParagraph"/>
        <w:numPr>
          <w:ilvl w:val="1"/>
          <w:numId w:val="26"/>
        </w:numPr>
        <w:shd w:val="clear" w:color="auto" w:fill="FFFFFF"/>
        <w:tabs>
          <w:tab w:val="clear" w:pos="709"/>
          <w:tab w:val="left" w:pos="1134" w:leader="none"/>
        </w:tabs>
        <w:ind w:left="0" w:firstLine="709"/>
        <w:jc w:val="both"/>
        <w:rPr>
          <w:bCs/>
        </w:rPr>
      </w:pPr>
      <w:bookmarkStart w:id="38"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14.1, 14.2 Договора.</w:t>
      </w:r>
      <w:bookmarkEnd w:id="38"/>
    </w:p>
    <w:p>
      <w:pPr>
        <w:pStyle w:val="ListParagraph"/>
        <w:numPr>
          <w:ilvl w:val="1"/>
          <w:numId w:val="26"/>
        </w:numPr>
        <w:shd w:val="clear" w:color="auto" w:fill="FFFFFF"/>
        <w:tabs>
          <w:tab w:val="clear" w:pos="709"/>
          <w:tab w:val="left" w:pos="1134" w:leader="none"/>
        </w:tabs>
        <w:ind w:left="0" w:firstLine="709"/>
        <w:jc w:val="both"/>
        <w:rPr>
          <w:bCs/>
        </w:rPr>
      </w:pPr>
      <w:bookmarkStart w:id="39" w:name="_Ref373243071"/>
      <w:r>
        <w:rPr>
          <w:bCs/>
        </w:rPr>
        <w:t>Штраф, предусмотренный пунктом 14.4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14.3 Договора.</w:t>
      </w:r>
      <w:bookmarkEnd w:id="39"/>
    </w:p>
    <w:p>
      <w:pPr>
        <w:pStyle w:val="ListParagraph"/>
        <w:numPr>
          <w:ilvl w:val="1"/>
          <w:numId w:val="26"/>
        </w:numPr>
        <w:shd w:val="clear" w:color="auto" w:fill="FFFFFF"/>
        <w:tabs>
          <w:tab w:val="clear" w:pos="709"/>
          <w:tab w:val="left" w:pos="1134" w:leader="none"/>
        </w:tabs>
        <w:ind w:left="0" w:firstLine="709"/>
        <w:jc w:val="both"/>
        <w:rPr>
          <w:bCs/>
        </w:rPr>
      </w:pPr>
      <w:bookmarkStart w:id="40" w:name="_Ref361337992"/>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14.4. Договора. При этом Заказчик не будет считаться просрочившим и / или нарушившим свои обязательства по Договору.</w:t>
      </w:r>
      <w:bookmarkEnd w:id="40"/>
    </w:p>
    <w:p>
      <w:pPr>
        <w:pStyle w:val="ListParagraph"/>
        <w:numPr>
          <w:ilvl w:val="1"/>
          <w:numId w:val="26"/>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14.4, 14.5 Договора продолжают действовать в течение 4 (четырех) лет после его прекращения (расторжения) или исполнения.</w:t>
      </w:r>
    </w:p>
    <w:p>
      <w:pPr>
        <w:pStyle w:val="ListParagraph"/>
        <w:shd w:val="clear" w:color="auto" w:fill="FFFFFF"/>
        <w:tabs>
          <w:tab w:val="clear" w:pos="709"/>
          <w:tab w:val="left" w:pos="567" w:leader="none"/>
        </w:tabs>
        <w:ind w:left="0" w:hanging="0"/>
        <w:jc w:val="both"/>
        <w:rPr>
          <w:bCs/>
        </w:rPr>
      </w:pPr>
      <w:r>
        <w:rPr>
          <w:bCs/>
        </w:rPr>
      </w:r>
    </w:p>
    <w:p>
      <w:pPr>
        <w:pStyle w:val="ListParagraph"/>
        <w:numPr>
          <w:ilvl w:val="0"/>
          <w:numId w:val="26"/>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10"/>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10"/>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0"/>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0"/>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12"/>
        </w:numPr>
        <w:shd w:val="clear" w:color="auto" w:fill="FFFFFF"/>
        <w:tabs>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12"/>
        </w:numPr>
        <w:shd w:val="clear" w:color="auto" w:fill="FFFFFF"/>
        <w:tabs>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12"/>
        </w:numPr>
        <w:shd w:val="clear" w:color="auto" w:fill="FFFFFF"/>
        <w:tabs>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12"/>
        </w:numPr>
        <w:shd w:val="clear" w:color="auto" w:fill="FFFFFF"/>
        <w:tabs>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Договору или в связи с ним;</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состоит в СРО, основанной на членстве лиц, осуществляющих строительство;</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имеет в штате по основному месту работы не менее 2 (двух) специалистов по организации строительства, сведения о которых включены в Национальный реестр специалистов в области строительства;</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Normal"/>
        <w:numPr>
          <w:ilvl w:val="1"/>
          <w:numId w:val="26"/>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(пять процентов) от Цены Договора, указанной в пункте 3.1 Договора.</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b/>
        </w:rPr>
      </w:pPr>
      <w:r>
        <w:rPr>
          <w:b/>
        </w:rPr>
      </w:r>
    </w:p>
    <w:p>
      <w:pPr>
        <w:pStyle w:val="ListParagraph"/>
        <w:numPr>
          <w:ilvl w:val="0"/>
          <w:numId w:val="26"/>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26"/>
        </w:numPr>
        <w:shd w:val="clear" w:color="auto" w:fill="FFFFFF"/>
        <w:tabs>
          <w:tab w:val="clear" w:pos="709"/>
          <w:tab w:val="left" w:pos="1134"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17.8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6"/>
        </w:numPr>
        <w:shd w:val="clear" w:color="auto" w:fill="FFFFFF"/>
        <w:tabs>
          <w:tab w:val="clear" w:pos="709"/>
          <w:tab w:val="left" w:pos="1134" w:leader="none"/>
        </w:tabs>
        <w:ind w:left="0" w:firstLine="709"/>
        <w:jc w:val="both"/>
        <w:rPr/>
      </w:pPr>
      <w: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26"/>
        </w:numPr>
        <w:shd w:val="clear" w:color="auto" w:fill="FFFFFF"/>
        <w:tabs>
          <w:tab w:val="clear" w:pos="709"/>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6"/>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9"/>
        </w:numPr>
        <w:tabs>
          <w:tab w:val="clear" w:pos="709"/>
          <w:tab w:val="left" w:pos="1134" w:leader="none"/>
        </w:tabs>
        <w:ind w:left="0" w:right="23" w:firstLine="709"/>
        <w:jc w:val="both"/>
        <w:rPr/>
      </w:pPr>
      <w:r>
        <w:rPr/>
        <w:t>нарушение Подрядчиком начального и конечного сроков выполнения Работ по Договору более чем на 60 (шестьдесят) календарных дней по причинам, не зависящим от Заказчика;</w:t>
      </w:r>
    </w:p>
    <w:p>
      <w:pPr>
        <w:pStyle w:val="ListParagraph"/>
        <w:numPr>
          <w:ilvl w:val="0"/>
          <w:numId w:val="9"/>
        </w:numPr>
        <w:tabs>
          <w:tab w:val="clear" w:pos="709"/>
          <w:tab w:val="left" w:pos="1134" w:leader="none"/>
        </w:tabs>
        <w:ind w:left="0" w:right="23" w:firstLine="709"/>
        <w:jc w:val="both"/>
        <w:rPr/>
      </w:pPr>
      <w:r>
        <w:rPr/>
        <w:t>несоблюдение Подрядчиком требований к качеству Работ и / или используемых при выполнении Работ Материально-технических ресурсов, если исправление выявленных Заказчиком недостатков, несоответствий и / или дефектов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9"/>
        </w:numPr>
        <w:tabs>
          <w:tab w:val="clear" w:pos="709"/>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9"/>
        </w:numPr>
        <w:tabs>
          <w:tab w:val="clear" w:pos="709"/>
          <w:tab w:val="left" w:pos="1134" w:leader="none"/>
        </w:tabs>
        <w:ind w:left="0" w:right="23" w:firstLine="709"/>
        <w:jc w:val="both"/>
        <w:rPr/>
      </w:pPr>
      <w:r>
        <w:rPr/>
        <w:t>прекращение членства в СРО, основанной на членстве лиц, осуществляющих строительство, предоставляющих Подрядчику право на производство Работ по Договору;</w:t>
      </w:r>
    </w:p>
    <w:p>
      <w:pPr>
        <w:pStyle w:val="ListParagraph"/>
        <w:numPr>
          <w:ilvl w:val="0"/>
          <w:numId w:val="9"/>
        </w:numPr>
        <w:tabs>
          <w:tab w:val="clear" w:pos="709"/>
          <w:tab w:val="left" w:pos="1134" w:leader="none"/>
        </w:tabs>
        <w:ind w:left="0" w:right="23" w:firstLine="709"/>
        <w:jc w:val="both"/>
        <w:rPr/>
      </w:pPr>
      <w:r>
        <w:rPr/>
        <w:t>принятие актов государственных органов или организаций, лишающих Подрядчика в установленном порядке права на производство Работ по Договору;</w:t>
      </w:r>
    </w:p>
    <w:p>
      <w:pPr>
        <w:pStyle w:val="ListParagraph"/>
        <w:numPr>
          <w:ilvl w:val="0"/>
          <w:numId w:val="9"/>
        </w:numPr>
        <w:tabs>
          <w:tab w:val="clear" w:pos="709"/>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9"/>
        </w:numPr>
        <w:tabs>
          <w:tab w:val="clear" w:pos="709"/>
          <w:tab w:val="left" w:pos="1134" w:leader="none"/>
        </w:tabs>
        <w:ind w:left="0" w:right="23" w:firstLine="709"/>
        <w:jc w:val="both"/>
        <w:rPr/>
      </w:pPr>
      <w: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9"/>
        </w:numPr>
        <w:tabs>
          <w:tab w:val="clear" w:pos="709"/>
          <w:tab w:val="left" w:pos="1134" w:leader="none"/>
        </w:tabs>
        <w:ind w:left="0" w:right="23" w:firstLine="709"/>
        <w:jc w:val="both"/>
        <w:rPr/>
      </w:pPr>
      <w: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9"/>
        </w:numPr>
        <w:tabs>
          <w:tab w:val="clear" w:pos="709"/>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15 Договора, и имеющих существенное значение для его заключения и исполнения.</w:t>
      </w:r>
    </w:p>
    <w:p>
      <w:pPr>
        <w:pStyle w:val="ListParagraph"/>
        <w:numPr>
          <w:ilvl w:val="1"/>
          <w:numId w:val="26"/>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16.2, 16.3, 16.4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26"/>
        </w:numPr>
        <w:shd w:val="clear" w:color="auto" w:fill="FFFFFF"/>
        <w:tabs>
          <w:tab w:val="clear" w:pos="709"/>
          <w:tab w:val="left" w:pos="1134" w:leader="none"/>
        </w:tabs>
        <w:ind w:left="0" w:firstLine="709"/>
        <w:jc w:val="both"/>
        <w:rPr/>
      </w:pPr>
      <w:r>
        <w:rPr/>
        <w:t>С даты прекращения (расторжения) Договора Подрядчик обязан прекратить производство Работ (за исключением тех, которые необходимо завершить для обеспечения безопасности Объекта), и в согласованные Сторонами сроки:</w:t>
      </w:r>
    </w:p>
    <w:p>
      <w:pPr>
        <w:pStyle w:val="ListParagraph"/>
        <w:numPr>
          <w:ilvl w:val="0"/>
          <w:numId w:val="19"/>
        </w:numPr>
        <w:shd w:val="clear" w:color="auto" w:fill="FFFFFF"/>
        <w:tabs>
          <w:tab w:val="clear" w:pos="709"/>
          <w:tab w:val="left" w:pos="1418" w:leader="none"/>
        </w:tabs>
        <w:ind w:left="0" w:firstLine="709"/>
        <w:jc w:val="both"/>
        <w:rPr/>
      </w:pPr>
      <w:r>
        <w:rPr/>
        <w:t>передать Заказчику Результат Работ, техническую и иную полученную документацию, закупленные Материально-технические ресурсы;</w:t>
      </w:r>
    </w:p>
    <w:p>
      <w:pPr>
        <w:pStyle w:val="ListParagraph"/>
        <w:numPr>
          <w:ilvl w:val="0"/>
          <w:numId w:val="19"/>
        </w:numPr>
        <w:shd w:val="clear" w:color="auto" w:fill="FFFFFF"/>
        <w:tabs>
          <w:tab w:val="clear" w:pos="709"/>
          <w:tab w:val="left" w:pos="1418" w:leader="none"/>
        </w:tabs>
        <w:ind w:left="0" w:firstLine="709"/>
        <w:jc w:val="both"/>
        <w:rPr>
          <w:rFonts w:cs="Verdana"/>
        </w:rPr>
      </w:pPr>
      <w:r>
        <w:rPr/>
        <w:t>вывезти с места производства Работ собственную строительную технику</w:t>
      </w:r>
      <w:r>
        <w:rPr>
          <w:rFonts w:cs="Verdana"/>
        </w:rPr>
        <w:t xml:space="preserve"> и персонал Подрядчика; </w:t>
      </w:r>
    </w:p>
    <w:p>
      <w:pPr>
        <w:pStyle w:val="ListParagraph"/>
        <w:numPr>
          <w:ilvl w:val="0"/>
          <w:numId w:val="19"/>
        </w:numPr>
        <w:shd w:val="clear" w:color="auto" w:fill="FFFFFF"/>
        <w:tabs>
          <w:tab w:val="clear" w:pos="709"/>
          <w:tab w:val="left" w:pos="1418" w:leader="none"/>
        </w:tabs>
        <w:ind w:left="0" w:firstLine="709"/>
        <w:jc w:val="both"/>
        <w:rPr>
          <w:rFonts w:cs="Verdana"/>
        </w:rPr>
      </w:pPr>
      <w:r>
        <w:rPr>
          <w:rFonts w:cs="Verdana"/>
        </w:rPr>
        <w:t xml:space="preserve">удалить </w:t>
      </w:r>
      <w:r>
        <w:rP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pPr>
        <w:pStyle w:val="ListParagraph"/>
        <w:numPr>
          <w:ilvl w:val="1"/>
          <w:numId w:val="26"/>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гарантийных обязательств Подрядчика в соответствии с разделом 8 Договора,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418" w:leader="none"/>
        </w:tabs>
        <w:ind w:left="0" w:firstLine="567"/>
        <w:jc w:val="both"/>
        <w:rPr>
          <w:b/>
          <w:bCs/>
        </w:rPr>
      </w:pPr>
      <w:r>
        <w:rPr>
          <w:b/>
          <w:bCs/>
        </w:rPr>
      </w:r>
    </w:p>
    <w:p>
      <w:pPr>
        <w:pStyle w:val="ListParagraph"/>
        <w:numPr>
          <w:ilvl w:val="0"/>
          <w:numId w:val="26"/>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26"/>
        </w:numPr>
        <w:shd w:val="clear" w:color="auto" w:fill="FFFFFF"/>
        <w:tabs>
          <w:tab w:val="clear" w:pos="709"/>
          <w:tab w:val="left" w:pos="1134" w:leader="none"/>
        </w:tabs>
        <w:ind w:left="0" w:firstLine="709"/>
        <w:jc w:val="both"/>
        <w:rPr/>
      </w:pPr>
      <w:r>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numPr>
          <w:ilvl w:val="1"/>
          <w:numId w:val="26"/>
        </w:numPr>
        <w:snapToGrid w:val="false"/>
        <w:spacing w:lineRule="auto" w:line="240"/>
        <w:ind w:left="0" w:firstLine="709"/>
        <w:rPr/>
      </w:pPr>
      <w:r>
        <w:rPr>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pacing w:lineRule="auto" w:line="240"/>
        <w:ind w:firstLine="709"/>
        <w:rPr/>
      </w:pPr>
      <w:r>
        <w:rPr>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lang w:eastAsia="en-US"/>
        </w:rPr>
        <w:footnoteReference w:id="2"/>
      </w:r>
      <w:r>
        <w:rPr>
          <w:sz w:val="24"/>
          <w:szCs w:val="24"/>
          <w:lang w:eastAsia="en-US"/>
        </w:rPr>
        <w:t>.</w:t>
      </w:r>
    </w:p>
    <w:p>
      <w:pPr>
        <w:pStyle w:val="ListParagraph"/>
        <w:numPr>
          <w:ilvl w:val="1"/>
          <w:numId w:val="26"/>
        </w:numPr>
        <w:shd w:val="clear" w:color="auto" w:fill="FFFFFF"/>
        <w:tabs>
          <w:tab w:val="clear" w:pos="709"/>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17.7 Договора. </w:t>
      </w:r>
    </w:p>
    <w:p>
      <w:pPr>
        <w:pStyle w:val="ListParagraph"/>
        <w:numPr>
          <w:ilvl w:val="1"/>
          <w:numId w:val="26"/>
        </w:numPr>
        <w:shd w:val="clear" w:color="auto" w:fill="FFFFFF"/>
        <w:tabs>
          <w:tab w:val="clear" w:pos="709"/>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6"/>
        </w:numPr>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6"/>
        </w:numPr>
        <w:shd w:val="clear" w:color="auto" w:fill="FFFFFF"/>
        <w:tabs>
          <w:tab w:val="clear" w:pos="709"/>
          <w:tab w:val="left" w:pos="1134"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17.8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6"/>
        </w:numPr>
        <w:shd w:val="clear" w:color="auto" w:fill="FFFFFF"/>
        <w:tabs>
          <w:tab w:val="clear" w:pos="709"/>
          <w:tab w:val="left" w:pos="1134" w:leader="none"/>
        </w:tabs>
        <w:ind w:left="0" w:firstLine="709"/>
        <w:jc w:val="both"/>
        <w:rPr/>
      </w:pPr>
      <w:bookmarkStart w:id="41" w:name="_Ref361338004"/>
      <w:r>
        <w:rPr/>
        <w:t>Стороны обязуются уведомлять друг друга об изменении адреса и / или реквизитов, указанных в разделе 19 Договора, не позднее 3 (трех) рабочих дней после такого изменения в порядке, установленном пунктом 17.8 Договора.</w:t>
      </w:r>
      <w:bookmarkEnd w:id="41"/>
      <w:r>
        <w:rPr/>
        <w:t xml:space="preserve"> </w:t>
      </w:r>
    </w:p>
    <w:p>
      <w:pPr>
        <w:pStyle w:val="ListParagraph"/>
        <w:numPr>
          <w:ilvl w:val="1"/>
          <w:numId w:val="26"/>
        </w:numPr>
        <w:shd w:val="clear" w:color="auto" w:fill="FFFFFF"/>
        <w:tabs>
          <w:tab w:val="clear" w:pos="709"/>
          <w:tab w:val="left" w:pos="1134" w:leader="none"/>
          <w:tab w:val="left" w:pos="1418" w:leader="none"/>
        </w:tabs>
        <w:ind w:left="0" w:firstLine="709"/>
        <w:jc w:val="both"/>
        <w:rPr/>
      </w:pPr>
      <w:r>
        <w:rPr/>
        <w:t>Письма, уведомления и / или сообщения направляются Стороне</w:t>
      </w:r>
      <w:r>
        <w:rPr>
          <w:bCs/>
        </w:rPr>
        <w:t>-</w:t>
      </w:r>
      <w:r>
        <w:rPr/>
        <w:t>получателю по адресу ее места нахождения, указанному в разделе 19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rPr/>
        <w:t xml:space="preserve">: </w:t>
      </w:r>
    </w:p>
    <w:p>
      <w:pPr>
        <w:pStyle w:val="ListParagraph"/>
        <w:widowControl w:val="false"/>
        <w:numPr>
          <w:ilvl w:val="2"/>
          <w:numId w:val="26"/>
        </w:numPr>
        <w:ind w:left="0" w:firstLine="709"/>
        <w:jc w:val="both"/>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26"/>
        </w:numPr>
        <w:ind w:left="0" w:firstLine="709"/>
        <w:jc w:val="both"/>
        <w:rPr/>
      </w:pPr>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t xml:space="preserve">; </w:t>
      </w:r>
    </w:p>
    <w:p>
      <w:pPr>
        <w:pStyle w:val="ListParagraph"/>
        <w:widowControl w:val="false"/>
        <w:numPr>
          <w:ilvl w:val="2"/>
          <w:numId w:val="26"/>
        </w:numPr>
        <w:ind w:left="0" w:firstLine="709"/>
        <w:jc w:val="both"/>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426"/>
        <w:jc w:val="both"/>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17.8.1 – 17.8.2 Договора. </w:t>
      </w:r>
    </w:p>
    <w:p>
      <w:pPr>
        <w:pStyle w:val="Normal"/>
        <w:numPr>
          <w:ilvl w:val="1"/>
          <w:numId w:val="26"/>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6"/>
        </w:numPr>
        <w:shd w:val="clear" w:color="auto" w:fill="FFFFFF"/>
        <w:tabs>
          <w:tab w:val="clear" w:pos="709"/>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6"/>
        </w:numPr>
        <w:shd w:val="clear" w:color="auto" w:fill="FFFFFF"/>
        <w:tabs>
          <w:tab w:val="clear" w:pos="709"/>
          <w:tab w:val="left" w:pos="1134" w:leader="none"/>
        </w:tabs>
        <w:ind w:left="0" w:firstLine="709"/>
        <w:jc w:val="both"/>
        <w:rPr/>
      </w:pPr>
      <w:r>
        <w:rPr/>
        <w:t>Во всем остальном, что не урегулировано Договором, Стороны руководствуются законодательством Российской Федерации.</w:t>
      </w:r>
    </w:p>
    <w:p>
      <w:pPr>
        <w:pStyle w:val="ListParagraph"/>
        <w:numPr>
          <w:ilvl w:val="1"/>
          <w:numId w:val="26"/>
        </w:numPr>
        <w:shd w:val="clear" w:color="auto" w:fill="FFFFFF"/>
        <w:tabs>
          <w:tab w:val="clear" w:pos="709"/>
          <w:tab w:val="left" w:pos="1134" w:leader="none"/>
        </w:tabs>
        <w:ind w:left="0" w:firstLine="709"/>
        <w:jc w:val="both"/>
        <w:rPr/>
      </w:pPr>
      <w:r>
        <w:rPr/>
        <w:t xml:space="preserve"> </w:t>
      </w:r>
      <w:r>
        <w:rPr/>
        <w:t>Договор составлен в 2 (двух) оригинальных экземплярах, имеющих равную юридическую силу, по 1 (одному) для каждой из Сторон</w:t>
      </w:r>
      <w:r>
        <w:rPr>
          <w:rStyle w:val="FootnoteReference"/>
        </w:rPr>
        <w:footnoteReference w:id="3"/>
      </w:r>
    </w:p>
    <w:p>
      <w:pPr>
        <w:pStyle w:val="ListParagraph"/>
        <w:shd w:val="clear" w:color="auto" w:fill="FFFFFF"/>
        <w:tabs>
          <w:tab w:val="clear" w:pos="709"/>
          <w:tab w:val="left" w:pos="1134" w:leader="none"/>
        </w:tabs>
        <w:ind w:left="0" w:hanging="0"/>
        <w:jc w:val="both"/>
        <w:rPr>
          <w:highlight w:val="lightGray"/>
        </w:rPr>
      </w:pPr>
      <w:r>
        <w:rPr>
          <w:highlight w:val="lightGray"/>
        </w:rPr>
      </w:r>
    </w:p>
    <w:p>
      <w:pPr>
        <w:pStyle w:val="ListParagraph"/>
        <w:shd w:val="clear" w:color="auto" w:fill="FFFFFF"/>
        <w:ind w:left="0" w:firstLine="567"/>
        <w:rPr>
          <w:bCs/>
        </w:rPr>
      </w:pPr>
      <w:r>
        <w:rPr>
          <w:bCs/>
        </w:rPr>
      </w:r>
    </w:p>
    <w:p>
      <w:pPr>
        <w:pStyle w:val="ListParagraph"/>
        <w:numPr>
          <w:ilvl w:val="0"/>
          <w:numId w:val="26"/>
        </w:numPr>
        <w:shd w:val="clear" w:color="auto" w:fill="FFFFFF"/>
        <w:tabs>
          <w:tab w:val="clear" w:pos="709"/>
          <w:tab w:val="left" w:pos="426" w:leader="none"/>
        </w:tabs>
        <w:ind w:left="0" w:hanging="0"/>
        <w:jc w:val="center"/>
        <w:rPr>
          <w:b/>
          <w:bCs/>
        </w:rPr>
      </w:pPr>
      <w:r>
        <w:rPr>
          <w:b/>
          <w:bCs/>
        </w:rPr>
        <w:t>Список приложений</w:t>
      </w:r>
    </w:p>
    <w:p>
      <w:pPr>
        <w:pStyle w:val="ListParagraph"/>
        <w:shd w:val="clear" w:color="auto" w:fill="FFFFFF"/>
        <w:ind w:left="0" w:hanging="0"/>
        <w:jc w:val="both"/>
        <w:rPr>
          <w:bCs/>
        </w:rPr>
      </w:pPr>
      <w:r>
        <w:rPr/>
        <w:t xml:space="preserve">Приложение № </w:t>
      </w:r>
      <w:r>
        <w:rPr>
          <w:bCs/>
        </w:rPr>
        <w:t>1 – Техническое задание;</w:t>
      </w:r>
    </w:p>
    <w:p>
      <w:pPr>
        <w:pStyle w:val="ListParagraph"/>
        <w:shd w:val="clear" w:color="auto" w:fill="FFFFFF"/>
        <w:ind w:left="0" w:hanging="0"/>
        <w:jc w:val="both"/>
        <w:rPr>
          <w:bCs/>
        </w:rPr>
      </w:pPr>
      <w:r>
        <w:rPr>
          <w:bCs/>
        </w:rPr>
        <w:t>Приложение № 2 – Сводный сметный расчет с приложениями;</w:t>
      </w:r>
    </w:p>
    <w:p>
      <w:pPr>
        <w:pStyle w:val="ListParagraph"/>
        <w:shd w:val="clear" w:color="auto" w:fill="FFFFFF"/>
        <w:ind w:left="0" w:hanging="0"/>
        <w:jc w:val="both"/>
        <w:rPr>
          <w:bCs/>
        </w:rPr>
      </w:pPr>
      <w:r>
        <w:rPr>
          <w:bCs/>
        </w:rPr>
        <w:t>Приложение № 3 – Форма Акта сдачи-приемки места производства работ;</w:t>
      </w:r>
    </w:p>
    <w:p>
      <w:pPr>
        <w:pStyle w:val="ListParagraph"/>
        <w:shd w:val="clear" w:color="auto" w:fill="FFFFFF"/>
        <w:ind w:left="0" w:hanging="0"/>
        <w:jc w:val="both"/>
        <w:rPr>
          <w:bCs/>
        </w:rPr>
      </w:pPr>
      <w:r>
        <w:rPr>
          <w:bCs/>
        </w:rPr>
        <w:t>Приложение № 4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pPr>
      <w:r>
        <w:rPr>
          <w:bCs/>
        </w:rPr>
        <w:t xml:space="preserve">Приложение № 5 – </w:t>
      </w:r>
      <w:r>
        <w:rPr/>
        <w:t>Порядок предоставления ресурсов и оказания Заказчиком услуг, необходимых для исполнения Подрядчиком обязательств по Договору.</w:t>
      </w:r>
    </w:p>
    <w:p>
      <w:pPr>
        <w:pStyle w:val="ListParagraph"/>
        <w:shd w:val="clear" w:color="auto" w:fill="FFFFFF"/>
        <w:ind w:left="0" w:hanging="0"/>
        <w:jc w:val="both"/>
        <w:rPr/>
      </w:pPr>
      <w:r>
        <w:rPr>
          <w:bCs/>
        </w:rPr>
        <w:t>Приложение № 6  –  Критерии отбора Банков-Гарантов.</w:t>
      </w:r>
    </w:p>
    <w:p>
      <w:pPr>
        <w:pStyle w:val="Normal"/>
        <w:spacing w:lineRule="auto" w:line="240"/>
        <w:ind w:hanging="0"/>
        <w:rPr>
          <w:sz w:val="24"/>
          <w:szCs w:val="24"/>
        </w:rPr>
      </w:pPr>
      <w:r>
        <w:rPr>
          <w:sz w:val="24"/>
          <w:szCs w:val="24"/>
        </w:rPr>
      </w:r>
    </w:p>
    <w:p>
      <w:pPr>
        <w:pStyle w:val="ListParagraph"/>
        <w:numPr>
          <w:ilvl w:val="0"/>
          <w:numId w:val="26"/>
        </w:numPr>
        <w:shd w:val="clear" w:color="auto" w:fill="FFFFFF"/>
        <w:tabs>
          <w:tab w:val="clear" w:pos="709"/>
          <w:tab w:val="left" w:pos="426" w:leader="none"/>
        </w:tabs>
        <w:ind w:left="0" w:hanging="0"/>
        <w:jc w:val="center"/>
        <w:rPr>
          <w:b/>
          <w:bCs/>
        </w:rPr>
      </w:pPr>
      <w:r>
        <w:rPr>
          <w:b/>
          <w:bCs/>
        </w:rPr>
        <w:t>Адреса и платежные реквизиты Сторон</w:t>
      </w:r>
    </w:p>
    <w:p>
      <w:pPr>
        <w:pStyle w:val="ListParagraph"/>
        <w:shd w:val="clear" w:color="auto" w:fill="FFFFFF"/>
        <w:tabs>
          <w:tab w:val="clear" w:pos="709"/>
          <w:tab w:val="left" w:pos="426" w:leader="none"/>
        </w:tabs>
        <w:ind w:left="0" w:hanging="0"/>
        <w:rPr>
          <w:b/>
          <w:bCs/>
        </w:rPr>
      </w:pPr>
      <w:r>
        <w:rPr>
          <w:b/>
          <w:bCs/>
        </w:rPr>
      </w:r>
    </w:p>
    <w:tbl>
      <w:tblPr>
        <w:tblW w:w="9890" w:type="dxa"/>
        <w:jc w:val="left"/>
        <w:tblInd w:w="109" w:type="dxa"/>
        <w:tblLayout w:type="fixed"/>
        <w:tblCellMar>
          <w:top w:w="0" w:type="dxa"/>
          <w:left w:w="108" w:type="dxa"/>
          <w:bottom w:w="0" w:type="dxa"/>
          <w:right w:w="108" w:type="dxa"/>
        </w:tblCellMar>
        <w:tblLook w:val="01e0" w:noVBand="0" w:noHBand="0" w:lastColumn="1" w:firstColumn="1" w:lastRow="1" w:firstRow="1"/>
      </w:tblPr>
      <w:tblGrid>
        <w:gridCol w:w="4920"/>
        <w:gridCol w:w="8"/>
        <w:gridCol w:w="4961"/>
      </w:tblGrid>
      <w:tr>
        <w:trPr/>
        <w:tc>
          <w:tcPr>
            <w:tcW w:w="4928" w:type="dxa"/>
            <w:gridSpan w:val="2"/>
            <w:tcBorders/>
          </w:tcPr>
          <w:p>
            <w:pPr>
              <w:pStyle w:val="Normal"/>
              <w:widowControl w:val="false"/>
              <w:spacing w:lineRule="auto" w:line="240"/>
              <w:ind w:hanging="0"/>
              <w:rPr>
                <w:sz w:val="24"/>
                <w:szCs w:val="24"/>
              </w:rPr>
            </w:pPr>
            <w:r>
              <w:rPr>
                <w:sz w:val="24"/>
                <w:szCs w:val="24"/>
              </w:rPr>
              <w:t>ПОДРЯДЧИК:</w:t>
            </w:r>
          </w:p>
        </w:tc>
        <w:tc>
          <w:tcPr>
            <w:tcW w:w="4961" w:type="dxa"/>
            <w:tcBorders/>
          </w:tcPr>
          <w:p>
            <w:pPr>
              <w:pStyle w:val="Normal"/>
              <w:widowControl w:val="false"/>
              <w:spacing w:lineRule="auto" w:line="240"/>
              <w:ind w:hanging="0"/>
              <w:rPr>
                <w:sz w:val="24"/>
                <w:szCs w:val="24"/>
              </w:rPr>
            </w:pPr>
            <w:r>
              <w:rPr>
                <w:sz w:val="24"/>
                <w:szCs w:val="24"/>
              </w:rPr>
              <w:t>ЗАКАЗЧИК:</w:t>
            </w:r>
          </w:p>
        </w:tc>
      </w:tr>
      <w:tr>
        <w:trPr/>
        <w:tc>
          <w:tcPr>
            <w:tcW w:w="4928" w:type="dxa"/>
            <w:gridSpan w:val="2"/>
            <w:tcBorders/>
            <w:shd w:color="auto" w:fill="FFFFFF" w:val="clear"/>
          </w:tcPr>
          <w:p>
            <w:pPr>
              <w:pStyle w:val="Style29"/>
              <w:widowControl w:val="false"/>
              <w:spacing w:lineRule="auto" w:line="240" w:before="40" w:after="0"/>
              <w:rPr>
                <w:b/>
                <w:szCs w:val="24"/>
              </w:rPr>
            </w:pPr>
            <w:r>
              <w:rPr/>
            </w:r>
          </w:p>
          <w:p>
            <w:pPr>
              <w:pStyle w:val="Style29"/>
              <w:widowControl w:val="false"/>
              <w:spacing w:lineRule="auto" w:line="240" w:before="40" w:after="0"/>
              <w:rPr/>
            </w:pPr>
            <w:r>
              <w:rPr/>
            </w:r>
          </w:p>
        </w:tc>
        <w:tc>
          <w:tcPr>
            <w:tcW w:w="4961" w:type="dxa"/>
            <w:tcBorders/>
            <w:shd w:color="auto" w:fill="FFFFFF" w:val="clear"/>
          </w:tcPr>
          <w:p>
            <w:pPr>
              <w:pStyle w:val="Normal"/>
              <w:widowControl w:val="false"/>
              <w:spacing w:lineRule="auto" w:line="240"/>
              <w:ind w:hanging="0"/>
              <w:jc w:val="left"/>
              <w:rPr>
                <w:b/>
                <w:sz w:val="24"/>
                <w:szCs w:val="24"/>
              </w:rPr>
            </w:pPr>
            <w:r>
              <w:rPr>
                <w:b/>
                <w:sz w:val="24"/>
                <w:szCs w:val="24"/>
              </w:rPr>
              <w:t>Публичное акционерное общество</w:t>
            </w:r>
          </w:p>
          <w:p>
            <w:pPr>
              <w:pStyle w:val="Normal"/>
              <w:widowControl w:val="false"/>
              <w:spacing w:lineRule="auto" w:line="240"/>
              <w:ind w:hanging="0"/>
              <w:jc w:val="left"/>
              <w:rPr>
                <w:b/>
                <w:sz w:val="24"/>
                <w:szCs w:val="24"/>
              </w:rPr>
            </w:pPr>
            <w:r>
              <w:rPr>
                <w:b/>
                <w:sz w:val="24"/>
                <w:szCs w:val="24"/>
              </w:rPr>
              <w:t>«Федеральная гидрогенерирующая компания - РусГидро» (ПАО «РусГидро»)</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Место нахождения: 660049, Красноярский</w:t>
            </w:r>
          </w:p>
          <w:p>
            <w:pPr>
              <w:pStyle w:val="Normal"/>
              <w:widowControl w:val="false"/>
              <w:spacing w:lineRule="auto" w:line="240"/>
              <w:ind w:hanging="0"/>
              <w:jc w:val="left"/>
              <w:rPr>
                <w:sz w:val="24"/>
                <w:szCs w:val="24"/>
              </w:rPr>
            </w:pPr>
            <w:r>
              <w:rPr>
                <w:sz w:val="24"/>
                <w:szCs w:val="24"/>
              </w:rPr>
              <w:t>край, г. Красноярск, ул. Перенсона, зд. 2а,</w:t>
            </w:r>
          </w:p>
          <w:p>
            <w:pPr>
              <w:pStyle w:val="Normal"/>
              <w:widowControl w:val="false"/>
              <w:spacing w:lineRule="auto" w:line="240"/>
              <w:ind w:hanging="0"/>
              <w:jc w:val="left"/>
              <w:rPr>
                <w:sz w:val="24"/>
                <w:szCs w:val="24"/>
              </w:rPr>
            </w:pPr>
            <w:r>
              <w:rPr>
                <w:sz w:val="24"/>
                <w:szCs w:val="24"/>
              </w:rPr>
              <w:t>пом. 1.</w:t>
            </w:r>
          </w:p>
          <w:p>
            <w:pPr>
              <w:pStyle w:val="Normal"/>
              <w:widowControl w:val="false"/>
              <w:spacing w:lineRule="auto" w:line="240"/>
              <w:ind w:hanging="0"/>
              <w:jc w:val="left"/>
              <w:rPr>
                <w:sz w:val="24"/>
                <w:szCs w:val="24"/>
              </w:rPr>
            </w:pPr>
            <w:r>
              <w:rPr>
                <w:sz w:val="24"/>
                <w:szCs w:val="24"/>
              </w:rPr>
              <w:t>ИНН: 2460066195</w:t>
            </w:r>
          </w:p>
          <w:p>
            <w:pPr>
              <w:pStyle w:val="Normal"/>
              <w:widowControl w:val="false"/>
              <w:spacing w:lineRule="auto" w:line="240"/>
              <w:ind w:hanging="0"/>
              <w:jc w:val="left"/>
              <w:rPr>
                <w:sz w:val="24"/>
                <w:szCs w:val="24"/>
              </w:rPr>
            </w:pPr>
            <w:r>
              <w:rPr>
                <w:sz w:val="24"/>
                <w:szCs w:val="24"/>
              </w:rPr>
              <w:t xml:space="preserve"> </w:t>
            </w:r>
            <w:r>
              <w:rPr>
                <w:sz w:val="24"/>
                <w:szCs w:val="24"/>
              </w:rPr>
              <w:t>КПП 091902001</w:t>
            </w:r>
          </w:p>
          <w:p>
            <w:pPr>
              <w:pStyle w:val="Normal"/>
              <w:widowControl w:val="false"/>
              <w:spacing w:lineRule="auto" w:line="240"/>
              <w:ind w:hanging="0"/>
              <w:jc w:val="left"/>
              <w:rPr>
                <w:sz w:val="24"/>
                <w:szCs w:val="24"/>
              </w:rPr>
            </w:pPr>
            <w:r>
              <w:rPr>
                <w:sz w:val="24"/>
                <w:szCs w:val="24"/>
              </w:rPr>
              <w:t>Фактический адрес Филиала ПАО «РусГидро» – «Карачаево-Черкесский филиал»: 369244, КЧР, Карачаевский район, п. Правокубанский</w:t>
            </w:r>
          </w:p>
          <w:p>
            <w:pPr>
              <w:pStyle w:val="Normal"/>
              <w:widowControl w:val="false"/>
              <w:spacing w:lineRule="auto" w:line="240"/>
              <w:ind w:hanging="0"/>
              <w:jc w:val="left"/>
              <w:rPr>
                <w:sz w:val="24"/>
                <w:szCs w:val="24"/>
              </w:rPr>
            </w:pPr>
            <w:r>
              <w:rPr>
                <w:sz w:val="24"/>
                <w:szCs w:val="24"/>
              </w:rPr>
              <w:t>Почтовый адрес филиала: 369244, КЧР, Карачаевский район, п. Правокубанский</w:t>
            </w:r>
          </w:p>
          <w:p>
            <w:pPr>
              <w:pStyle w:val="Normal"/>
              <w:widowControl w:val="false"/>
              <w:spacing w:lineRule="auto" w:line="240"/>
              <w:ind w:hanging="0"/>
              <w:jc w:val="left"/>
              <w:rPr>
                <w:sz w:val="24"/>
                <w:szCs w:val="24"/>
              </w:rPr>
            </w:pPr>
            <w:r>
              <w:rPr>
                <w:sz w:val="24"/>
                <w:szCs w:val="24"/>
              </w:rPr>
              <w:t>ИНН 2460066195</w:t>
            </w:r>
          </w:p>
          <w:p>
            <w:pPr>
              <w:pStyle w:val="Normal"/>
              <w:widowControl w:val="false"/>
              <w:spacing w:lineRule="auto" w:line="240"/>
              <w:ind w:hanging="0"/>
              <w:jc w:val="left"/>
              <w:rPr>
                <w:sz w:val="24"/>
                <w:szCs w:val="24"/>
              </w:rPr>
            </w:pPr>
            <w:r>
              <w:rPr>
                <w:sz w:val="24"/>
                <w:szCs w:val="24"/>
              </w:rPr>
              <w:t>ОГРН 1042401810494</w:t>
            </w:r>
          </w:p>
          <w:p>
            <w:pPr>
              <w:pStyle w:val="Normal"/>
              <w:widowControl w:val="false"/>
              <w:spacing w:lineRule="auto" w:line="240"/>
              <w:ind w:hanging="0"/>
              <w:jc w:val="left"/>
              <w:rPr>
                <w:sz w:val="24"/>
                <w:szCs w:val="24"/>
              </w:rPr>
            </w:pPr>
            <w:r>
              <w:rPr>
                <w:sz w:val="24"/>
                <w:szCs w:val="24"/>
              </w:rPr>
              <w:t>Расчетный счет 40702810860310000066</w:t>
            </w:r>
          </w:p>
          <w:p>
            <w:pPr>
              <w:pStyle w:val="Normal"/>
              <w:widowControl w:val="false"/>
              <w:spacing w:lineRule="auto" w:line="240"/>
              <w:ind w:hanging="0"/>
              <w:jc w:val="left"/>
              <w:rPr>
                <w:sz w:val="24"/>
                <w:szCs w:val="24"/>
              </w:rPr>
            </w:pPr>
            <w:r>
              <w:rPr>
                <w:sz w:val="24"/>
                <w:szCs w:val="24"/>
              </w:rPr>
              <w:t>БИК 040702615</w:t>
            </w:r>
          </w:p>
          <w:p>
            <w:pPr>
              <w:pStyle w:val="Normal"/>
              <w:widowControl w:val="false"/>
              <w:spacing w:lineRule="auto" w:line="240"/>
              <w:ind w:hanging="0"/>
              <w:jc w:val="left"/>
              <w:rPr>
                <w:sz w:val="24"/>
                <w:szCs w:val="24"/>
              </w:rPr>
            </w:pPr>
            <w:r>
              <w:rPr>
                <w:sz w:val="24"/>
                <w:szCs w:val="24"/>
              </w:rPr>
              <w:t>Кор.счет 30101810907020000615 Ставропольское отделение № 5230</w:t>
            </w:r>
          </w:p>
          <w:p>
            <w:pPr>
              <w:pStyle w:val="Normal"/>
              <w:widowControl w:val="false"/>
              <w:spacing w:lineRule="auto" w:line="240"/>
              <w:ind w:hanging="0"/>
              <w:jc w:val="left"/>
              <w:rPr>
                <w:sz w:val="24"/>
                <w:szCs w:val="24"/>
              </w:rPr>
            </w:pPr>
            <w:r>
              <w:rPr>
                <w:sz w:val="24"/>
                <w:szCs w:val="24"/>
              </w:rPr>
              <w:t>ПАО «Сбербанк» г. Ставрополь</w:t>
            </w:r>
          </w:p>
          <w:p>
            <w:pPr>
              <w:pStyle w:val="Normal"/>
              <w:widowControl w:val="false"/>
              <w:spacing w:lineRule="auto" w:line="240"/>
              <w:ind w:hanging="0"/>
              <w:rPr>
                <w:sz w:val="24"/>
                <w:szCs w:val="24"/>
              </w:rPr>
            </w:pPr>
            <w:r>
              <w:rPr>
                <w:sz w:val="24"/>
                <w:szCs w:val="24"/>
              </w:rPr>
              <w:t>Тел.(8782)267040 Факс: (8782)26-60-98</w:t>
            </w:r>
          </w:p>
        </w:tc>
      </w:tr>
      <w:tr>
        <w:trPr/>
        <w:tc>
          <w:tcPr>
            <w:tcW w:w="4920" w:type="dxa"/>
            <w:tcBorders/>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_________________</w:t>
            </w:r>
          </w:p>
        </w:tc>
        <w:tc>
          <w:tcPr>
            <w:tcW w:w="4969" w:type="dxa"/>
            <w:gridSpan w:val="2"/>
            <w:tcBorders/>
          </w:tcPr>
          <w:p>
            <w:pPr>
              <w:pStyle w:val="Normal"/>
              <w:widowControl w:val="false"/>
              <w:spacing w:lineRule="auto" w:line="240"/>
              <w:ind w:hanging="0"/>
              <w:jc w:val="left"/>
              <w:rPr>
                <w:color w:val="000000"/>
                <w:spacing w:val="1"/>
                <w:sz w:val="24"/>
                <w:szCs w:val="24"/>
              </w:rPr>
            </w:pPr>
            <w:r>
              <w:rPr>
                <w:color w:val="000000"/>
                <w:spacing w:val="1"/>
                <w:sz w:val="24"/>
                <w:szCs w:val="24"/>
              </w:rPr>
            </w:r>
          </w:p>
          <w:p>
            <w:pPr>
              <w:pStyle w:val="Normal"/>
              <w:widowControl w:val="false"/>
              <w:spacing w:lineRule="auto" w:line="240"/>
              <w:ind w:hanging="0"/>
              <w:jc w:val="left"/>
              <w:rPr>
                <w:color w:val="000000"/>
                <w:spacing w:val="1"/>
                <w:sz w:val="24"/>
                <w:szCs w:val="24"/>
              </w:rPr>
            </w:pPr>
            <w:r>
              <w:rPr>
                <w:color w:val="000000"/>
                <w:spacing w:val="1"/>
                <w:sz w:val="24"/>
                <w:szCs w:val="24"/>
              </w:rPr>
            </w:r>
          </w:p>
          <w:p>
            <w:pPr>
              <w:pStyle w:val="Normal"/>
              <w:widowControl w:val="false"/>
              <w:spacing w:lineRule="auto" w:line="240"/>
              <w:ind w:hanging="0"/>
              <w:jc w:val="left"/>
              <w:rPr>
                <w:sz w:val="24"/>
                <w:szCs w:val="24"/>
              </w:rPr>
            </w:pPr>
            <w:r>
              <w:rPr>
                <w:color w:val="000000"/>
                <w:spacing w:val="1"/>
                <w:sz w:val="24"/>
                <w:szCs w:val="24"/>
              </w:rPr>
              <w:t>Директор Филиала ПАО «РусГидро» – «Карачаево-Черкесский филиал»</w:t>
            </w:r>
          </w:p>
          <w:p>
            <w:pPr>
              <w:pStyle w:val="Normal"/>
              <w:widowControl w:val="false"/>
              <w:spacing w:lineRule="auto" w:line="240"/>
              <w:jc w:val="center"/>
              <w:rPr>
                <w:color w:val="000000"/>
                <w:spacing w:val="1"/>
                <w:sz w:val="24"/>
                <w:szCs w:val="24"/>
              </w:rPr>
            </w:pPr>
            <w:r>
              <w:rPr>
                <w:color w:val="000000"/>
                <w:spacing w:val="1"/>
                <w:sz w:val="24"/>
                <w:szCs w:val="24"/>
              </w:rPr>
            </w:r>
          </w:p>
          <w:p>
            <w:pPr>
              <w:pStyle w:val="Normal"/>
              <w:widowControl w:val="false"/>
              <w:spacing w:lineRule="auto" w:line="240"/>
              <w:ind w:hanging="0"/>
              <w:jc w:val="left"/>
              <w:rPr>
                <w:sz w:val="24"/>
                <w:szCs w:val="24"/>
              </w:rPr>
            </w:pPr>
            <w:r>
              <w:rPr>
                <w:color w:val="000000"/>
                <w:spacing w:val="1"/>
                <w:sz w:val="24"/>
                <w:szCs w:val="24"/>
              </w:rPr>
              <w:t>_____________В.И. Шульженко</w:t>
            </w:r>
          </w:p>
        </w:tc>
      </w:tr>
    </w:tbl>
    <w:p>
      <w:pPr>
        <w:sectPr>
          <w:headerReference w:type="default" r:id="rId7"/>
          <w:headerReference w:type="first" r:id="rId8"/>
          <w:footerReference w:type="default" r:id="rId9"/>
          <w:footnotePr>
            <w:numFmt w:val="decimal"/>
          </w:footnotePr>
          <w:type w:val="nextPage"/>
          <w:pgSz w:w="11906" w:h="16838"/>
          <w:pgMar w:left="1418" w:right="851" w:gutter="0" w:header="709" w:top="993" w:footer="709" w:bottom="1134"/>
          <w:pgNumType w:fmt="decimal"/>
          <w:formProt w:val="false"/>
          <w:titlePg/>
          <w:textDirection w:val="lrTb"/>
          <w:docGrid w:type="default" w:linePitch="381" w:charSpace="0"/>
        </w:sectPr>
      </w:pPr>
    </w:p>
    <w:p>
      <w:pPr>
        <w:pStyle w:val="Normal"/>
        <w:spacing w:lineRule="auto" w:line="240"/>
        <w:ind w:left="5103" w:hanging="0"/>
        <w:rPr>
          <w:sz w:val="22"/>
          <w:szCs w:val="22"/>
        </w:rPr>
      </w:pPr>
      <w:r>
        <w:rPr>
          <w:sz w:val="22"/>
          <w:szCs w:val="22"/>
        </w:rPr>
        <w:t>Приложение № 3</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2026 г. № </w:t>
      </w:r>
    </w:p>
    <w:p>
      <w:pPr>
        <w:pStyle w:val="13"/>
        <w:rPr>
          <w:sz w:val="24"/>
          <w:szCs w:val="24"/>
        </w:rPr>
      </w:pPr>
      <w:r>
        <w:rPr>
          <w:sz w:val="24"/>
          <w:szCs w:val="24"/>
        </w:rPr>
      </w:r>
    </w:p>
    <w:p>
      <w:pPr>
        <w:pStyle w:val="13"/>
        <w:rPr>
          <w:sz w:val="24"/>
          <w:szCs w:val="24"/>
        </w:rPr>
      </w:pPr>
      <w:r>
        <w:rPr>
          <w:iCs/>
          <w:sz w:val="24"/>
          <w:szCs w:val="24"/>
        </w:rPr>
        <w:t>ФОРМА</w:t>
      </w:r>
    </w:p>
    <w:p>
      <w:pPr>
        <w:pStyle w:val="13"/>
        <w:rPr>
          <w:i/>
          <w:i/>
          <w:iCs/>
          <w:sz w:val="24"/>
          <w:szCs w:val="24"/>
        </w:rPr>
      </w:pPr>
      <w:r>
        <w:rPr>
          <w:sz w:val="24"/>
          <w:szCs w:val="24"/>
        </w:rPr>
        <w:t xml:space="preserve">Акта сдачи-приемки места производства Работ </w:t>
      </w:r>
    </w:p>
    <w:p>
      <w:pPr>
        <w:pStyle w:val="Normal"/>
        <w:spacing w:lineRule="auto" w:line="240"/>
        <w:ind w:hanging="0"/>
        <w:rPr>
          <w:sz w:val="24"/>
          <w:szCs w:val="24"/>
        </w:rPr>
      </w:pPr>
      <w:r>
        <w:rPr>
          <w:sz w:val="24"/>
          <w:szCs w:val="24"/>
        </w:rPr>
      </w:r>
    </w:p>
    <w:tbl>
      <w:tblPr>
        <w:tblW w:w="4800" w:type="pct"/>
        <w:jc w:val="left"/>
        <w:tblInd w:w="113" w:type="dxa"/>
        <w:tblLayout w:type="fixed"/>
        <w:tblCellMar>
          <w:top w:w="0" w:type="dxa"/>
          <w:left w:w="108" w:type="dxa"/>
          <w:bottom w:w="0" w:type="dxa"/>
          <w:right w:w="108" w:type="dxa"/>
        </w:tblCellMar>
        <w:tblLook w:val="04a0" w:noVBand="1" w:noHBand="0" w:lastColumn="0" w:firstColumn="1" w:lastRow="0" w:firstRow="1"/>
      </w:tblPr>
      <w:tblGrid>
        <w:gridCol w:w="9251"/>
      </w:tblGrid>
      <w:tr>
        <w:trPr/>
        <w:tc>
          <w:tcPr>
            <w:tcW w:w="9251"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b w:val="false"/>
              </w:rPr>
            </w:pPr>
            <w:r>
              <w:rPr>
                <w:b w:val="false"/>
              </w:rPr>
              <w:t>Акт</w:t>
            </w:r>
          </w:p>
          <w:p>
            <w:pPr>
              <w:pStyle w:val="13"/>
              <w:widowControl w:val="false"/>
              <w:rPr>
                <w:b w:val="false"/>
                <w:i/>
                <w:i/>
                <w:iCs/>
              </w:rPr>
            </w:pPr>
            <w:r>
              <w:rPr>
                <w:b w:val="false"/>
              </w:rPr>
              <w:t>сдачи-приемки места производства Работ</w:t>
            </w:r>
          </w:p>
          <w:p>
            <w:pPr>
              <w:pStyle w:val="Normal"/>
              <w:widowControl w:val="false"/>
              <w:rPr>
                <w:sz w:val="22"/>
              </w:rPr>
            </w:pPr>
            <w:r>
              <w:rPr>
                <w:sz w:val="22"/>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____________________, именуемое далее «Подрядчик», в лице ________________, действующего на основании ______________,</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место производства Работ _____________________________ (указываются идентифицирующие признаки)  </w:t>
            </w:r>
            <w:r>
              <w:rPr>
                <w:sz w:val="22"/>
                <w:szCs w:val="22"/>
              </w:rPr>
              <w:t>по Договору по</w:t>
            </w:r>
            <w:r>
              <w:rPr>
                <w:bCs/>
                <w:sz w:val="22"/>
                <w:szCs w:val="22"/>
              </w:rPr>
              <w:t>дряда №______ от _____________.</w:t>
            </w:r>
          </w:p>
          <w:p>
            <w:pPr>
              <w:pStyle w:val="Normal"/>
              <w:widowControl w:val="false"/>
              <w:ind w:hanging="0"/>
              <w:rPr>
                <w:bCs/>
                <w:sz w:val="22"/>
                <w:szCs w:val="22"/>
              </w:rPr>
            </w:pPr>
            <w:r>
              <w:rPr>
                <w:bCs/>
                <w:sz w:val="22"/>
                <w:szCs w:val="22"/>
              </w:rPr>
              <w:t xml:space="preserve">Место для производства Работ  </w:t>
            </w:r>
            <w:r>
              <w:rPr>
                <w:sz w:val="22"/>
                <w:szCs w:val="22"/>
              </w:rPr>
              <w:t>Подрядчику</w:t>
            </w:r>
            <w:r>
              <w:rPr>
                <w:bCs/>
                <w:sz w:val="22"/>
                <w:szCs w:val="22"/>
              </w:rPr>
              <w:t xml:space="preserve"> в установленный Договором срок.</w:t>
            </w:r>
          </w:p>
          <w:p>
            <w:pPr>
              <w:pStyle w:val="Normal"/>
              <w:widowControl w:val="false"/>
              <w:ind w:hanging="0"/>
              <w:rPr>
                <w:bCs/>
                <w:sz w:val="22"/>
                <w:szCs w:val="22"/>
              </w:rPr>
            </w:pPr>
            <w:r>
              <w:rPr>
                <w:bCs/>
                <w:sz w:val="22"/>
                <w:szCs w:val="22"/>
              </w:rPr>
              <w:t xml:space="preserve">Претензии </w:t>
            </w:r>
            <w:r>
              <w:rPr>
                <w:sz w:val="22"/>
                <w:szCs w:val="22"/>
              </w:rPr>
              <w:t>Подрядчика</w:t>
            </w:r>
            <w:r>
              <w:rPr>
                <w:bCs/>
                <w:sz w:val="22"/>
                <w:szCs w:val="22"/>
              </w:rPr>
              <w:t xml:space="preserve"> (замечания и недостатки) к месту производства Работ: ____________________________________________________________________________</w:t>
            </w:r>
          </w:p>
          <w:p>
            <w:pPr>
              <w:pStyle w:val="Normal"/>
              <w:widowControl w:val="false"/>
              <w:ind w:hanging="0"/>
              <w:rPr>
                <w:sz w:val="22"/>
                <w:szCs w:val="22"/>
              </w:rPr>
            </w:pPr>
            <w:r>
              <w:rPr>
                <w:i/>
                <w:sz w:val="22"/>
                <w:szCs w:val="22"/>
              </w:rPr>
              <w:t>(указать конкретные претензии или указать «не имеются»)</w:t>
            </w:r>
            <w:r>
              <w:rPr>
                <w:sz w:val="22"/>
                <w:szCs w:val="22"/>
              </w:rPr>
              <w:t>.</w:t>
            </w:r>
          </w:p>
          <w:p>
            <w:pPr>
              <w:pStyle w:val="Normal"/>
              <w:widowControl w:val="false"/>
              <w:ind w:hanging="0"/>
              <w:rPr>
                <w:bCs/>
                <w:sz w:val="22"/>
                <w:szCs w:val="22"/>
                <w:highlight w:val="lightGray"/>
              </w:rPr>
            </w:pPr>
            <w:r>
              <w:rPr>
                <w:bCs/>
                <w:sz w:val="22"/>
                <w:szCs w:val="22"/>
                <w:highlight w:val="lightGray"/>
              </w:rPr>
            </w:r>
          </w:p>
          <w:p>
            <w:pPr>
              <w:pStyle w:val="Normal"/>
              <w:widowControl w:val="false"/>
              <w:rPr>
                <w:sz w:val="22"/>
                <w:szCs w:val="22"/>
              </w:rPr>
            </w:pPr>
            <w:r>
              <w:rPr>
                <w:sz w:val="22"/>
                <w:szCs w:val="22"/>
              </w:rPr>
            </w:r>
          </w:p>
          <w:tbl>
            <w:tblPr>
              <w:tblW w:w="904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520"/>
              <w:gridCol w:w="4520"/>
            </w:tblGrid>
            <w:tr>
              <w:trPr/>
              <w:tc>
                <w:tcPr>
                  <w:tcW w:w="4520" w:type="dxa"/>
                  <w:tcBorders/>
                </w:tcPr>
                <w:p>
                  <w:pPr>
                    <w:pStyle w:val="Normal"/>
                    <w:widowControl w:val="false"/>
                    <w:spacing w:lineRule="auto" w:line="240"/>
                    <w:ind w:hanging="0"/>
                    <w:rPr>
                      <w:sz w:val="22"/>
                    </w:rPr>
                  </w:pPr>
                  <w:r>
                    <w:rPr>
                      <w:sz w:val="22"/>
                    </w:rPr>
                    <w:t>Заказчик:</w:t>
                  </w:r>
                </w:p>
              </w:tc>
              <w:tc>
                <w:tcPr>
                  <w:tcW w:w="4520" w:type="dxa"/>
                  <w:tcBorders/>
                </w:tcPr>
                <w:p>
                  <w:pPr>
                    <w:pStyle w:val="Normal"/>
                    <w:widowControl w:val="false"/>
                    <w:spacing w:lineRule="auto" w:line="240"/>
                    <w:ind w:hanging="0"/>
                    <w:rPr>
                      <w:sz w:val="22"/>
                    </w:rPr>
                  </w:pPr>
                  <w:r>
                    <w:rPr>
                      <w:sz w:val="22"/>
                    </w:rPr>
                    <w:t>Подрядчик:</w:t>
                  </w:r>
                </w:p>
              </w:tc>
            </w:tr>
            <w:tr>
              <w:trPr/>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c>
                <w:tcPr>
                  <w:tcW w:w="4520"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_______________ / _______________</w:t>
                  </w:r>
                </w:p>
                <w:p>
                  <w:pPr>
                    <w:pStyle w:val="Normal"/>
                    <w:widowControl w:val="false"/>
                    <w:spacing w:lineRule="auto" w:line="240"/>
                    <w:ind w:hanging="0"/>
                    <w:rPr>
                      <w:sz w:val="22"/>
                      <w:szCs w:val="22"/>
                    </w:rPr>
                  </w:pPr>
                  <w:r>
                    <w:rPr>
                      <w:sz w:val="22"/>
                      <w:szCs w:val="22"/>
                    </w:rPr>
                  </w:r>
                </w:p>
              </w:tc>
            </w:tr>
          </w:tbl>
          <w:p>
            <w:pPr>
              <w:pStyle w:val="13"/>
              <w:widowControl w:val="false"/>
              <w:spacing w:before="0" w:after="120"/>
              <w:jc w:val="left"/>
              <w:rPr>
                <w:i/>
                <w:i/>
                <w:iCs/>
              </w:rPr>
            </w:pPr>
            <w:r>
              <w:rPr>
                <w:i/>
                <w:iCs/>
              </w:rPr>
            </w:r>
          </w:p>
        </w:tc>
      </w:tr>
    </w:tbl>
    <w:p>
      <w:pPr>
        <w:pStyle w:val="13"/>
        <w:jc w:val="left"/>
        <w:rPr>
          <w:i/>
          <w:i/>
          <w:iCs/>
        </w:rPr>
      </w:pPr>
      <w:r>
        <w:rPr>
          <w:i/>
          <w:iCs/>
        </w:rPr>
      </w:r>
    </w:p>
    <w:tbl>
      <w:tblPr>
        <w:tblW w:w="957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Подрядчик:</w:t>
            </w:r>
          </w:p>
        </w:tc>
        <w:tc>
          <w:tcPr>
            <w:tcW w:w="4785" w:type="dxa"/>
            <w:tcBorders/>
          </w:tcPr>
          <w:p>
            <w:pPr>
              <w:pStyle w:val="Normal"/>
              <w:widowControl w:val="false"/>
              <w:spacing w:lineRule="auto" w:line="240"/>
              <w:ind w:hanging="0"/>
              <w:rPr>
                <w:b/>
                <w:sz w:val="24"/>
              </w:rPr>
            </w:pPr>
            <w:r>
              <w:rPr>
                <w:b/>
                <w:sz w:val="24"/>
              </w:rPr>
              <w:t>Заказчик:</w:t>
            </w:r>
          </w:p>
        </w:tc>
      </w:tr>
      <w:tr>
        <w:trPr/>
        <w:tc>
          <w:tcPr>
            <w:tcW w:w="4785" w:type="dxa"/>
            <w:tcBorders/>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_________________</w:t>
            </w:r>
          </w:p>
        </w:tc>
        <w:tc>
          <w:tcPr>
            <w:tcW w:w="4785" w:type="dxa"/>
            <w:tcBorders/>
          </w:tcPr>
          <w:p>
            <w:pPr>
              <w:pStyle w:val="Normal"/>
              <w:widowControl w:val="false"/>
              <w:spacing w:lineRule="auto" w:line="240"/>
              <w:ind w:hanging="0"/>
              <w:jc w:val="left"/>
              <w:rPr>
                <w:color w:val="000000"/>
                <w:spacing w:val="1"/>
                <w:sz w:val="24"/>
                <w:szCs w:val="24"/>
              </w:rPr>
            </w:pPr>
            <w:r>
              <w:rPr>
                <w:color w:val="000000"/>
                <w:spacing w:val="1"/>
                <w:sz w:val="24"/>
                <w:szCs w:val="24"/>
              </w:rPr>
            </w:r>
          </w:p>
          <w:p>
            <w:pPr>
              <w:pStyle w:val="Normal"/>
              <w:widowControl w:val="false"/>
              <w:spacing w:lineRule="auto" w:line="240"/>
              <w:ind w:hanging="0"/>
              <w:jc w:val="left"/>
              <w:rPr>
                <w:sz w:val="24"/>
                <w:szCs w:val="24"/>
              </w:rPr>
            </w:pPr>
            <w:r>
              <w:rPr>
                <w:color w:val="000000"/>
                <w:spacing w:val="1"/>
                <w:sz w:val="24"/>
                <w:szCs w:val="24"/>
              </w:rPr>
              <w:t>Директор Филиала ПАО «РусГидро» – «Карачаево-Черкесский филиал»</w:t>
            </w:r>
          </w:p>
          <w:p>
            <w:pPr>
              <w:pStyle w:val="Normal"/>
              <w:widowControl w:val="false"/>
              <w:spacing w:lineRule="auto" w:line="240"/>
              <w:jc w:val="center"/>
              <w:rPr>
                <w:color w:val="000000"/>
                <w:spacing w:val="1"/>
                <w:sz w:val="24"/>
                <w:szCs w:val="24"/>
              </w:rPr>
            </w:pPr>
            <w:r>
              <w:rPr>
                <w:color w:val="000000"/>
                <w:spacing w:val="1"/>
                <w:sz w:val="24"/>
                <w:szCs w:val="24"/>
              </w:rPr>
            </w:r>
          </w:p>
          <w:p>
            <w:pPr>
              <w:pStyle w:val="Normal"/>
              <w:widowControl w:val="false"/>
              <w:spacing w:lineRule="auto" w:line="240"/>
              <w:ind w:hanging="0"/>
              <w:jc w:val="left"/>
              <w:rPr>
                <w:sz w:val="24"/>
                <w:szCs w:val="24"/>
              </w:rPr>
            </w:pPr>
            <w:r>
              <w:rPr>
                <w:color w:val="000000"/>
                <w:spacing w:val="1"/>
                <w:sz w:val="24"/>
                <w:szCs w:val="24"/>
              </w:rPr>
              <w:t>_____________В.И. Шульженко</w:t>
            </w:r>
          </w:p>
        </w:tc>
      </w:tr>
    </w:tbl>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r>
        <w:br w:type="page"/>
      </w:r>
    </w:p>
    <w:p>
      <w:pPr>
        <w:pStyle w:val="Normal"/>
        <w:spacing w:lineRule="auto" w:line="240"/>
        <w:ind w:hanging="0"/>
        <w:jc w:val="center"/>
        <w:rPr>
          <w:sz w:val="22"/>
          <w:szCs w:val="22"/>
        </w:rPr>
      </w:pPr>
      <w:r>
        <w:rPr>
          <w:sz w:val="22"/>
          <w:szCs w:val="22"/>
        </w:rPr>
        <w:t xml:space="preserve">                                       </w:t>
      </w:r>
      <w:r>
        <w:rPr>
          <w:sz w:val="22"/>
          <w:szCs w:val="22"/>
        </w:rPr>
        <w:t>Приложение № 4</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2026 г. № </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5000" w:type="pct"/>
        <w:jc w:val="left"/>
        <w:tblInd w:w="113" w:type="dxa"/>
        <w:tblLayout w:type="fixed"/>
        <w:tblCellMar>
          <w:top w:w="0" w:type="dxa"/>
          <w:left w:w="108" w:type="dxa"/>
          <w:bottom w:w="0" w:type="dxa"/>
          <w:right w:w="108" w:type="dxa"/>
        </w:tblCellMar>
        <w:tblLook w:val="01e0" w:noVBand="0" w:noHBand="0" w:lastColumn="1" w:firstColumn="1" w:lastRow="1" w:firstRow="1"/>
      </w:tblPr>
      <w:tblGrid>
        <w:gridCol w:w="3667"/>
        <w:gridCol w:w="5969"/>
      </w:tblGrid>
      <w:tr>
        <w:trPr/>
        <w:tc>
          <w:tcPr>
            <w:tcW w:w="3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Виды нарушений</w:t>
            </w:r>
          </w:p>
        </w:tc>
        <w:tc>
          <w:tcPr>
            <w:tcW w:w="5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Штрафные санкции</w:t>
            </w:r>
          </w:p>
        </w:tc>
      </w:tr>
      <w:tr>
        <w:trPr/>
        <w:tc>
          <w:tcPr>
            <w:tcW w:w="3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1. Нарушение правил пожарной безопасности (ППБ):</w:t>
            </w:r>
          </w:p>
        </w:tc>
        <w:tc>
          <w:tcPr>
            <w:tcW w:w="5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r>
      <w:tr>
        <w:trPr/>
        <w:tc>
          <w:tcPr>
            <w:tcW w:w="3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5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25 000 (двадцать пять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50 (пятьдесят) % по отношению к предыдущему случаю за каждое следующее нарушение.</w:t>
            </w:r>
          </w:p>
        </w:tc>
      </w:tr>
      <w:tr>
        <w:trPr/>
        <w:tc>
          <w:tcPr>
            <w:tcW w:w="3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5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 по отношению к предыдущему случаю за каждое следующее нарушение.</w:t>
            </w:r>
          </w:p>
        </w:tc>
      </w:tr>
      <w:tr>
        <w:trPr/>
        <w:tc>
          <w:tcPr>
            <w:tcW w:w="3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5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366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 санитарно-эпидемиологических правил и норм.</w:t>
            </w:r>
          </w:p>
        </w:tc>
        <w:tc>
          <w:tcPr>
            <w:tcW w:w="59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- 500 (пятьсот) рублей в случае утраты или приведения в негодность электронного пропуска, выданного Заказчиком.</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Подрядчик:</w:t>
            </w:r>
          </w:p>
        </w:tc>
        <w:tc>
          <w:tcPr>
            <w:tcW w:w="4785" w:type="dxa"/>
            <w:tcBorders/>
          </w:tcPr>
          <w:p>
            <w:pPr>
              <w:pStyle w:val="Normal"/>
              <w:widowControl w:val="false"/>
              <w:spacing w:lineRule="auto" w:line="240"/>
              <w:ind w:hanging="0"/>
              <w:rPr>
                <w:b/>
                <w:sz w:val="24"/>
              </w:rPr>
            </w:pPr>
            <w:r>
              <w:rPr>
                <w:b/>
                <w:sz w:val="24"/>
              </w:rPr>
              <w:t>Заказчик:</w:t>
            </w:r>
          </w:p>
        </w:tc>
      </w:tr>
      <w:tr>
        <w:trPr/>
        <w:tc>
          <w:tcPr>
            <w:tcW w:w="4785" w:type="dxa"/>
            <w:tcBorders/>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_________________</w:t>
            </w:r>
          </w:p>
        </w:tc>
        <w:tc>
          <w:tcPr>
            <w:tcW w:w="4785" w:type="dxa"/>
            <w:tcBorders/>
          </w:tcPr>
          <w:p>
            <w:pPr>
              <w:pStyle w:val="Normal"/>
              <w:widowControl w:val="false"/>
              <w:spacing w:lineRule="auto" w:line="240"/>
              <w:ind w:hanging="0"/>
              <w:jc w:val="left"/>
              <w:rPr>
                <w:color w:val="000000"/>
                <w:spacing w:val="1"/>
                <w:sz w:val="24"/>
                <w:szCs w:val="24"/>
              </w:rPr>
            </w:pPr>
            <w:r>
              <w:rPr>
                <w:color w:val="000000"/>
                <w:spacing w:val="1"/>
                <w:sz w:val="24"/>
                <w:szCs w:val="24"/>
              </w:rPr>
            </w:r>
          </w:p>
          <w:p>
            <w:pPr>
              <w:pStyle w:val="Normal"/>
              <w:widowControl w:val="false"/>
              <w:spacing w:lineRule="auto" w:line="240"/>
              <w:ind w:hanging="0"/>
              <w:jc w:val="left"/>
              <w:rPr>
                <w:sz w:val="24"/>
                <w:szCs w:val="24"/>
              </w:rPr>
            </w:pPr>
            <w:r>
              <w:rPr>
                <w:color w:val="000000"/>
                <w:spacing w:val="1"/>
                <w:sz w:val="24"/>
                <w:szCs w:val="24"/>
              </w:rPr>
              <w:t>Директор Филиала ПАО «РусГидро» – «Карачаево-Черкесский филиал»</w:t>
            </w:r>
          </w:p>
          <w:p>
            <w:pPr>
              <w:pStyle w:val="Normal"/>
              <w:widowControl w:val="false"/>
              <w:spacing w:lineRule="auto" w:line="240"/>
              <w:jc w:val="center"/>
              <w:rPr>
                <w:color w:val="000000"/>
                <w:spacing w:val="1"/>
                <w:sz w:val="24"/>
                <w:szCs w:val="24"/>
              </w:rPr>
            </w:pPr>
            <w:r>
              <w:rPr>
                <w:color w:val="000000"/>
                <w:spacing w:val="1"/>
                <w:sz w:val="24"/>
                <w:szCs w:val="24"/>
              </w:rPr>
            </w:r>
          </w:p>
          <w:p>
            <w:pPr>
              <w:pStyle w:val="Normal"/>
              <w:widowControl w:val="false"/>
              <w:spacing w:lineRule="auto" w:line="240"/>
              <w:ind w:hanging="0"/>
              <w:jc w:val="left"/>
              <w:rPr>
                <w:sz w:val="24"/>
                <w:szCs w:val="24"/>
              </w:rPr>
            </w:pPr>
            <w:r>
              <w:rPr>
                <w:color w:val="000000"/>
                <w:spacing w:val="1"/>
                <w:sz w:val="24"/>
                <w:szCs w:val="24"/>
              </w:rPr>
              <w:t>_____________В.И. Шульженко</w:t>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r>
        <w:br w:type="page"/>
      </w:r>
    </w:p>
    <w:p>
      <w:pPr>
        <w:pStyle w:val="Normal"/>
        <w:snapToGrid w:val="false"/>
        <w:spacing w:lineRule="auto" w:line="240"/>
        <w:ind w:firstLine="5103"/>
        <w:rPr>
          <w:sz w:val="22"/>
          <w:szCs w:val="22"/>
        </w:rPr>
      </w:pPr>
      <w:r>
        <w:rPr>
          <w:sz w:val="22"/>
          <w:szCs w:val="22"/>
        </w:rPr>
        <w:t>Приложение № 5</w:t>
      </w:r>
    </w:p>
    <w:p>
      <w:pPr>
        <w:pStyle w:val="Normal"/>
        <w:snapToGrid w:val="false"/>
        <w:spacing w:lineRule="auto" w:line="240"/>
        <w:ind w:firstLine="5103"/>
        <w:rPr>
          <w:sz w:val="22"/>
          <w:szCs w:val="22"/>
        </w:rPr>
      </w:pPr>
      <w:r>
        <w:rPr>
          <w:sz w:val="22"/>
          <w:szCs w:val="22"/>
        </w:rPr>
        <w:t>к Договору подряда</w:t>
      </w:r>
    </w:p>
    <w:p>
      <w:pPr>
        <w:pStyle w:val="Normal"/>
        <w:snapToGrid w:val="false"/>
        <w:spacing w:lineRule="auto" w:line="240"/>
        <w:ind w:firstLine="5103"/>
        <w:rPr>
          <w:sz w:val="22"/>
          <w:szCs w:val="22"/>
        </w:rPr>
      </w:pPr>
      <w:r>
        <w:rPr>
          <w:sz w:val="22"/>
          <w:szCs w:val="22"/>
        </w:rPr>
        <w:t>от «____» __________ 2026 г. №</w:t>
      </w:r>
    </w:p>
    <w:p>
      <w:pPr>
        <w:pStyle w:val="Normal"/>
        <w:snapToGrid w:val="false"/>
        <w:spacing w:lineRule="auto" w:line="240"/>
        <w:ind w:firstLine="5103"/>
        <w:rPr>
          <w:b/>
          <w:sz w:val="24"/>
          <w:szCs w:val="24"/>
        </w:rPr>
      </w:pPr>
      <w:r>
        <w:rPr>
          <w:b/>
          <w:sz w:val="24"/>
          <w:szCs w:val="24"/>
        </w:rPr>
      </w:r>
    </w:p>
    <w:p>
      <w:pPr>
        <w:pStyle w:val="Normal"/>
        <w:spacing w:lineRule="auto" w:line="240"/>
        <w:jc w:val="center"/>
        <w:rPr>
          <w:b/>
          <w:sz w:val="24"/>
          <w:szCs w:val="24"/>
        </w:rPr>
      </w:pPr>
      <w:r>
        <w:rPr>
          <w:b/>
          <w:sz w:val="24"/>
          <w:szCs w:val="24"/>
        </w:rPr>
        <w:t xml:space="preserve">Порядок предоставления ресурсов и оказания Заказчиком услуг, </w:t>
      </w:r>
    </w:p>
    <w:p>
      <w:pPr>
        <w:pStyle w:val="Normal"/>
        <w:spacing w:lineRule="auto" w:line="240"/>
        <w:jc w:val="center"/>
        <w:rPr>
          <w:b/>
          <w:sz w:val="24"/>
          <w:szCs w:val="24"/>
        </w:rPr>
      </w:pPr>
      <w:r>
        <w:rPr>
          <w:b/>
          <w:sz w:val="24"/>
          <w:szCs w:val="24"/>
        </w:rPr>
        <w:t>необходимых для исполнения Подрядчиком обязательств по Договору</w:t>
      </w:r>
    </w:p>
    <w:p>
      <w:pPr>
        <w:pStyle w:val="Normal"/>
        <w:spacing w:lineRule="auto" w:line="240"/>
        <w:jc w:val="center"/>
        <w:rPr>
          <w:b/>
          <w:sz w:val="24"/>
          <w:szCs w:val="24"/>
        </w:rPr>
      </w:pPr>
      <w:r>
        <w:rPr>
          <w:b/>
          <w:sz w:val="24"/>
          <w:szCs w:val="24"/>
        </w:rPr>
      </w:r>
    </w:p>
    <w:p>
      <w:pPr>
        <w:pStyle w:val="ListParagraph"/>
        <w:numPr>
          <w:ilvl w:val="0"/>
          <w:numId w:val="21"/>
        </w:numPr>
        <w:tabs>
          <w:tab w:val="clear" w:pos="709"/>
          <w:tab w:val="left" w:pos="284" w:leader="none"/>
        </w:tabs>
        <w:ind w:left="0" w:hanging="0"/>
        <w:jc w:val="center"/>
        <w:rPr>
          <w:b/>
        </w:rPr>
      </w:pPr>
      <w:r>
        <w:rPr>
          <w:b/>
        </w:rPr>
        <w:t>Общие положения</w:t>
      </w:r>
    </w:p>
    <w:p>
      <w:pPr>
        <w:pStyle w:val="Normal"/>
        <w:spacing w:lineRule="auto" w:line="240"/>
        <w:ind w:firstLine="709"/>
        <w:rPr>
          <w:sz w:val="24"/>
          <w:szCs w:val="24"/>
        </w:rPr>
      </w:pPr>
      <w:r>
        <w:rPr>
          <w:sz w:val="24"/>
          <w:szCs w:val="24"/>
        </w:rPr>
        <w:t>В целях оказания содействия Подрядчику в выполнении работ по Договору Заказчик обеспечивает Подрядчика коммунальными ресурсами, а также предоставляет Подрядчику услуги, указанные в разделе «Иные условия поставки товара, выполнения работ, оказания услуг» Технического задания (Приложение № 1 к Договору).</w:t>
      </w:r>
    </w:p>
    <w:p>
      <w:pPr>
        <w:pStyle w:val="Normal"/>
        <w:spacing w:lineRule="auto" w:line="240"/>
        <w:ind w:firstLine="709"/>
        <w:rPr>
          <w:sz w:val="24"/>
          <w:szCs w:val="24"/>
        </w:rPr>
      </w:pPr>
      <w:r>
        <w:rPr>
          <w:sz w:val="24"/>
          <w:szCs w:val="24"/>
        </w:rPr>
        <w:t xml:space="preserve">Техническое задание содержит полный перечень услуг (количественные, качественные и иные характеристики, время и место их предоставления, ограничения). </w:t>
      </w:r>
    </w:p>
    <w:p>
      <w:pPr>
        <w:pStyle w:val="Normal"/>
        <w:spacing w:lineRule="auto" w:line="240"/>
        <w:ind w:firstLine="709"/>
        <w:rPr>
          <w:sz w:val="24"/>
          <w:szCs w:val="24"/>
        </w:rPr>
      </w:pPr>
      <w:r>
        <w:rPr>
          <w:sz w:val="24"/>
          <w:szCs w:val="24"/>
        </w:rPr>
        <w:t>Предоставление Заказчиком ресурсов и услуг, указанных в Техническом задании (Приложение № 1 к Договору) осуществляется без дополнительной оплаты со стороны Подрядчика. В сметной документации затраты Заказчика на ресурсы и услуги не учитываются.</w:t>
      </w:r>
    </w:p>
    <w:p>
      <w:pPr>
        <w:pStyle w:val="Normal"/>
        <w:spacing w:lineRule="auto" w:line="240"/>
        <w:ind w:firstLine="709"/>
        <w:rPr>
          <w:sz w:val="24"/>
          <w:szCs w:val="24"/>
        </w:rPr>
      </w:pPr>
      <w:r>
        <w:rPr>
          <w:sz w:val="24"/>
          <w:szCs w:val="24"/>
        </w:rPr>
        <w:t>Заказчик в зависимости от объема и состава работ, выполняемых Подрядчиком по Договору, может предоставлять / оказывать Подрядчику следующие ресурсы и / или услуги:</w:t>
      </w:r>
    </w:p>
    <w:p>
      <w:pPr>
        <w:pStyle w:val="Normal"/>
        <w:numPr>
          <w:ilvl w:val="0"/>
          <w:numId w:val="42"/>
        </w:numPr>
        <w:spacing w:lineRule="auto" w:line="240"/>
        <w:ind w:left="0" w:firstLine="709"/>
        <w:rPr>
          <w:sz w:val="24"/>
          <w:szCs w:val="24"/>
        </w:rPr>
      </w:pPr>
      <w:r>
        <w:rPr>
          <w:sz w:val="24"/>
          <w:szCs w:val="24"/>
        </w:rPr>
        <w:t>Перемещение грузов грузоподъемными механизмами Заказчика.</w:t>
      </w:r>
    </w:p>
    <w:p>
      <w:pPr>
        <w:pStyle w:val="Normal"/>
        <w:numPr>
          <w:ilvl w:val="0"/>
          <w:numId w:val="43"/>
        </w:numPr>
        <w:spacing w:lineRule="auto" w:line="240"/>
        <w:ind w:left="0" w:firstLine="709"/>
        <w:rPr>
          <w:sz w:val="24"/>
          <w:szCs w:val="24"/>
        </w:rPr>
      </w:pPr>
      <w:r>
        <w:rPr>
          <w:sz w:val="24"/>
          <w:szCs w:val="24"/>
        </w:rPr>
        <w:t>Коммунальные ресурсы:</w:t>
      </w:r>
    </w:p>
    <w:p>
      <w:pPr>
        <w:pStyle w:val="Normal"/>
        <w:numPr>
          <w:ilvl w:val="1"/>
          <w:numId w:val="44"/>
        </w:numPr>
        <w:spacing w:lineRule="auto" w:line="240"/>
        <w:ind w:left="0" w:firstLine="709"/>
        <w:rPr>
          <w:sz w:val="24"/>
          <w:szCs w:val="24"/>
        </w:rPr>
      </w:pPr>
      <w:r>
        <w:rPr>
          <w:sz w:val="24"/>
          <w:szCs w:val="24"/>
        </w:rPr>
        <w:t>Электроэнергия.</w:t>
      </w:r>
    </w:p>
    <w:p>
      <w:pPr>
        <w:pStyle w:val="Normal"/>
        <w:numPr>
          <w:ilvl w:val="1"/>
          <w:numId w:val="45"/>
        </w:numPr>
        <w:spacing w:lineRule="auto" w:line="240"/>
        <w:ind w:left="0" w:firstLine="709"/>
        <w:rPr>
          <w:sz w:val="24"/>
          <w:szCs w:val="24"/>
        </w:rPr>
      </w:pPr>
      <w:r>
        <w:rPr>
          <w:sz w:val="24"/>
          <w:szCs w:val="24"/>
        </w:rPr>
        <w:t>Водоснабжение и водоотведение.</w:t>
      </w:r>
    </w:p>
    <w:p>
      <w:pPr>
        <w:pStyle w:val="Normal"/>
        <w:numPr>
          <w:ilvl w:val="1"/>
          <w:numId w:val="46"/>
        </w:numPr>
        <w:spacing w:lineRule="auto" w:line="240"/>
        <w:ind w:left="0" w:firstLine="709"/>
        <w:rPr>
          <w:sz w:val="24"/>
          <w:szCs w:val="24"/>
        </w:rPr>
      </w:pPr>
      <w:r>
        <w:rPr>
          <w:sz w:val="24"/>
          <w:szCs w:val="24"/>
        </w:rPr>
        <w:t>Сжатый воздух.</w:t>
      </w:r>
    </w:p>
    <w:p>
      <w:pPr>
        <w:pStyle w:val="Normal"/>
        <w:numPr>
          <w:ilvl w:val="0"/>
          <w:numId w:val="47"/>
        </w:numPr>
        <w:spacing w:lineRule="auto" w:line="240"/>
        <w:ind w:left="0" w:firstLine="709"/>
        <w:rPr>
          <w:sz w:val="24"/>
          <w:szCs w:val="24"/>
        </w:rPr>
      </w:pPr>
      <w:r>
        <w:rPr>
          <w:sz w:val="24"/>
          <w:szCs w:val="24"/>
        </w:rPr>
        <w:t>Обеспечение санитарно-гигиенических и бытовых условий.</w:t>
      </w:r>
    </w:p>
    <w:p>
      <w:pPr>
        <w:pStyle w:val="Normal"/>
        <w:numPr>
          <w:ilvl w:val="0"/>
          <w:numId w:val="48"/>
        </w:numPr>
        <w:spacing w:lineRule="auto" w:line="240"/>
        <w:ind w:left="0" w:firstLine="709"/>
        <w:rPr>
          <w:sz w:val="24"/>
          <w:szCs w:val="24"/>
        </w:rPr>
      </w:pPr>
      <w:r>
        <w:rPr>
          <w:sz w:val="24"/>
          <w:szCs w:val="24"/>
        </w:rPr>
        <w:t>Содержание пожарной и сторожевой охраны.</w:t>
      </w:r>
    </w:p>
    <w:p>
      <w:pPr>
        <w:pStyle w:val="Normal"/>
        <w:numPr>
          <w:ilvl w:val="0"/>
          <w:numId w:val="49"/>
        </w:numPr>
        <w:spacing w:lineRule="auto" w:line="240"/>
        <w:ind w:left="0" w:firstLine="709"/>
        <w:rPr>
          <w:sz w:val="24"/>
          <w:szCs w:val="24"/>
        </w:rPr>
      </w:pPr>
      <w:r>
        <w:rPr>
          <w:sz w:val="24"/>
          <w:szCs w:val="24"/>
        </w:rPr>
        <w:t>Благоустройство и содержание строительных площадок.</w:t>
      </w:r>
    </w:p>
    <w:p>
      <w:pPr>
        <w:pStyle w:val="Normal"/>
        <w:numPr>
          <w:ilvl w:val="0"/>
          <w:numId w:val="50"/>
        </w:numPr>
        <w:spacing w:lineRule="auto" w:line="240"/>
        <w:ind w:left="0" w:firstLine="709"/>
        <w:rPr>
          <w:sz w:val="24"/>
          <w:szCs w:val="24"/>
        </w:rPr>
      </w:pPr>
      <w:r>
        <w:rPr>
          <w:sz w:val="24"/>
          <w:szCs w:val="24"/>
        </w:rPr>
        <w:t>Проведение химического анализа масел.</w:t>
      </w:r>
    </w:p>
    <w:p>
      <w:pPr>
        <w:pStyle w:val="Normal"/>
        <w:numPr>
          <w:ilvl w:val="0"/>
          <w:numId w:val="51"/>
        </w:numPr>
        <w:spacing w:lineRule="auto" w:line="240"/>
        <w:ind w:left="0" w:firstLine="709"/>
        <w:rPr>
          <w:sz w:val="24"/>
          <w:szCs w:val="24"/>
        </w:rPr>
      </w:pPr>
      <w:r>
        <w:rPr>
          <w:sz w:val="24"/>
          <w:szCs w:val="24"/>
        </w:rPr>
        <w:t>Осушение оборудования (проточная часть гидроагрегата).</w:t>
      </w:r>
    </w:p>
    <w:p>
      <w:pPr>
        <w:pStyle w:val="Normal"/>
        <w:numPr>
          <w:ilvl w:val="0"/>
          <w:numId w:val="52"/>
        </w:numPr>
        <w:spacing w:lineRule="auto" w:line="240"/>
        <w:ind w:left="0" w:firstLine="709"/>
        <w:rPr>
          <w:sz w:val="24"/>
          <w:szCs w:val="24"/>
        </w:rPr>
      </w:pPr>
      <w:r>
        <w:rPr>
          <w:sz w:val="24"/>
          <w:szCs w:val="24"/>
        </w:rPr>
        <w:t xml:space="preserve">Предоставление доступа к корпоративной сети </w:t>
      </w:r>
      <w:r>
        <w:rPr>
          <w:sz w:val="24"/>
          <w:szCs w:val="24"/>
          <w:lang w:val="en-US"/>
        </w:rPr>
        <w:t>IntraNet</w:t>
      </w:r>
      <w:r>
        <w:rPr>
          <w:sz w:val="24"/>
          <w:szCs w:val="24"/>
        </w:rPr>
        <w:t>.</w:t>
      </w:r>
    </w:p>
    <w:p>
      <w:pPr>
        <w:pStyle w:val="Normal"/>
        <w:numPr>
          <w:ilvl w:val="0"/>
          <w:numId w:val="53"/>
        </w:numPr>
        <w:spacing w:lineRule="auto" w:line="240"/>
        <w:ind w:left="0" w:firstLine="709"/>
        <w:rPr>
          <w:sz w:val="24"/>
          <w:szCs w:val="24"/>
        </w:rPr>
      </w:pPr>
      <w:r>
        <w:rPr>
          <w:sz w:val="24"/>
          <w:szCs w:val="24"/>
        </w:rPr>
        <w:t>Предоставление помещений:</w:t>
      </w:r>
    </w:p>
    <w:p>
      <w:pPr>
        <w:pStyle w:val="Normal"/>
        <w:numPr>
          <w:ilvl w:val="1"/>
          <w:numId w:val="54"/>
        </w:numPr>
        <w:spacing w:lineRule="auto" w:line="240"/>
        <w:ind w:left="0" w:firstLine="709"/>
        <w:rPr>
          <w:bCs/>
          <w:sz w:val="24"/>
          <w:szCs w:val="24"/>
        </w:rPr>
      </w:pPr>
      <w:r>
        <w:rPr>
          <w:bCs/>
          <w:sz w:val="24"/>
          <w:szCs w:val="24"/>
        </w:rPr>
        <w:t xml:space="preserve">Помещений / площадок для размещения персонала Подрядчика; </w:t>
      </w:r>
    </w:p>
    <w:p>
      <w:pPr>
        <w:pStyle w:val="Normal"/>
        <w:numPr>
          <w:ilvl w:val="1"/>
          <w:numId w:val="55"/>
        </w:numPr>
        <w:spacing w:lineRule="auto" w:line="240"/>
        <w:ind w:left="0" w:firstLine="709"/>
        <w:rPr>
          <w:sz w:val="24"/>
          <w:szCs w:val="24"/>
        </w:rPr>
      </w:pPr>
      <w:r>
        <w:rPr>
          <w:bCs/>
          <w:sz w:val="24"/>
          <w:szCs w:val="24"/>
        </w:rPr>
        <w:t>Складских помещений и / или площадок для погрузки / разгрузки / складирования / хранения материально-технических ресурсов, оборудования Подрядчика.</w:t>
      </w:r>
    </w:p>
    <w:p>
      <w:pPr>
        <w:pStyle w:val="Normal"/>
        <w:spacing w:lineRule="auto" w:line="240"/>
        <w:rPr>
          <w:sz w:val="24"/>
          <w:szCs w:val="24"/>
        </w:rPr>
      </w:pPr>
      <w:r>
        <w:rPr>
          <w:sz w:val="24"/>
          <w:szCs w:val="24"/>
        </w:rPr>
      </w:r>
    </w:p>
    <w:p>
      <w:pPr>
        <w:pStyle w:val="ListParagraph"/>
        <w:numPr>
          <w:ilvl w:val="0"/>
          <w:numId w:val="21"/>
        </w:numPr>
        <w:tabs>
          <w:tab w:val="clear" w:pos="709"/>
          <w:tab w:val="left" w:pos="284" w:leader="none"/>
          <w:tab w:val="left" w:pos="1418" w:leader="none"/>
        </w:tabs>
        <w:ind w:left="0" w:hanging="0"/>
        <w:jc w:val="center"/>
        <w:rPr>
          <w:b/>
        </w:rPr>
      </w:pPr>
      <w:r>
        <w:rPr>
          <w:b/>
        </w:rPr>
        <w:t>Порядок предоставления ресурсов и услуг</w:t>
      </w:r>
    </w:p>
    <w:p>
      <w:pPr>
        <w:pStyle w:val="ListParagraph"/>
        <w:numPr>
          <w:ilvl w:val="0"/>
          <w:numId w:val="22"/>
        </w:numPr>
        <w:tabs>
          <w:tab w:val="clear" w:pos="709"/>
          <w:tab w:val="left" w:pos="1134" w:leader="none"/>
          <w:tab w:val="left" w:pos="1418" w:leader="none"/>
        </w:tabs>
        <w:spacing w:before="0" w:after="120"/>
        <w:ind w:left="0" w:firstLine="709"/>
        <w:contextualSpacing/>
        <w:jc w:val="both"/>
        <w:rPr>
          <w:b/>
          <w:u w:val="single"/>
        </w:rPr>
      </w:pPr>
      <w:r>
        <w:rPr>
          <w:u w:val="single"/>
        </w:rPr>
        <w:t>Перемещение грузов грузоподъемными механизмами (далее – ГПМ) Заказчика</w:t>
      </w:r>
    </w:p>
    <w:p>
      <w:pPr>
        <w:pStyle w:val="Normal"/>
        <w:spacing w:lineRule="auto" w:line="240"/>
        <w:ind w:firstLine="709"/>
        <w:rPr>
          <w:sz w:val="24"/>
          <w:szCs w:val="24"/>
        </w:rPr>
      </w:pPr>
      <w:r>
        <w:rPr>
          <w:sz w:val="24"/>
          <w:szCs w:val="24"/>
        </w:rPr>
        <w:t>Услуги по перемещению грузов ГПМ Заказчика предоставляются по предварительным заявкам Подрядчика. Вид ГПМ, используемых для оказания услуг, определяются Заказчиком самостоятельно.</w:t>
      </w:r>
    </w:p>
    <w:p>
      <w:pPr>
        <w:pStyle w:val="Normal"/>
        <w:tabs>
          <w:tab w:val="clear" w:pos="709"/>
          <w:tab w:val="left" w:pos="1134" w:leader="none"/>
        </w:tabs>
        <w:spacing w:lineRule="auto" w:line="240"/>
        <w:ind w:firstLine="709"/>
        <w:rPr>
          <w:sz w:val="24"/>
          <w:szCs w:val="24"/>
        </w:rPr>
      </w:pPr>
      <w:r>
        <w:rPr>
          <w:sz w:val="24"/>
          <w:szCs w:val="24"/>
        </w:rPr>
        <w:t>Управление ГПМ осуществляют работники Заказчика, имеющие специальную квалификацию (прошедшие обучение и аттестацию) и опыт работы, или работники специализированной эксплуатирующей организации, привлечённой Заказчиком для оказания услуг.</w:t>
      </w:r>
    </w:p>
    <w:p>
      <w:pPr>
        <w:pStyle w:val="Normal"/>
        <w:spacing w:lineRule="auto" w:line="240"/>
        <w:ind w:firstLine="709"/>
        <w:rPr>
          <w:sz w:val="24"/>
          <w:szCs w:val="24"/>
        </w:rPr>
      </w:pPr>
      <w:r>
        <w:rPr>
          <w:sz w:val="24"/>
          <w:szCs w:val="24"/>
        </w:rPr>
        <w:t>Заказчик обеспечивает содержание ГПМ в работоспособном состоянии, в том числе путем организации и планирования технического освидетельствования, технического обслуживания и ремонтов, а также соблюдение технологического процесса транспортировки грузов.</w:t>
      </w:r>
    </w:p>
    <w:p>
      <w:pPr>
        <w:pStyle w:val="ListParagraph"/>
        <w:numPr>
          <w:ilvl w:val="0"/>
          <w:numId w:val="22"/>
        </w:numPr>
        <w:tabs>
          <w:tab w:val="clear" w:pos="709"/>
          <w:tab w:val="left" w:pos="1134" w:leader="none"/>
        </w:tabs>
        <w:spacing w:before="0" w:after="120"/>
        <w:ind w:left="0" w:firstLine="709"/>
        <w:contextualSpacing/>
        <w:rPr>
          <w:u w:val="single"/>
        </w:rPr>
      </w:pPr>
      <w:r>
        <w:rPr>
          <w:u w:val="single"/>
        </w:rPr>
        <w:t>Предоставление ресурсов</w:t>
      </w:r>
    </w:p>
    <w:p>
      <w:pPr>
        <w:pStyle w:val="Normal"/>
        <w:tabs>
          <w:tab w:val="clear" w:pos="709"/>
          <w:tab w:val="left" w:pos="1134" w:leader="none"/>
        </w:tabs>
        <w:spacing w:lineRule="auto" w:line="240" w:before="0" w:after="120"/>
        <w:ind w:firstLine="709"/>
        <w:rPr>
          <w:sz w:val="24"/>
          <w:szCs w:val="24"/>
        </w:rPr>
      </w:pPr>
      <w:r>
        <w:rPr>
          <w:sz w:val="24"/>
          <w:szCs w:val="24"/>
        </w:rPr>
        <w:t xml:space="preserve">Заказчик обеспечивает Подрядчика ресурсами (электроэнергией, водой, сжатым воздухом), необходимыми для бытовых и производственных нужд по потребности Подрядчика. </w:t>
      </w:r>
    </w:p>
    <w:p>
      <w:pPr>
        <w:pStyle w:val="ListParagraph"/>
        <w:numPr>
          <w:ilvl w:val="0"/>
          <w:numId w:val="22"/>
        </w:numPr>
        <w:tabs>
          <w:tab w:val="clear" w:pos="709"/>
          <w:tab w:val="left" w:pos="1134" w:leader="none"/>
        </w:tabs>
        <w:spacing w:before="0" w:after="120"/>
        <w:ind w:left="0" w:firstLine="709"/>
        <w:contextualSpacing/>
        <w:jc w:val="both"/>
        <w:rPr>
          <w:u w:val="single"/>
        </w:rPr>
      </w:pPr>
      <w:r>
        <w:rPr>
          <w:u w:val="single"/>
        </w:rPr>
        <w:t>Обеспечение санитарно-гигиенических и бытовых условий</w:t>
      </w:r>
    </w:p>
    <w:p>
      <w:pPr>
        <w:pStyle w:val="Normal"/>
        <w:tabs>
          <w:tab w:val="clear" w:pos="709"/>
          <w:tab w:val="left" w:pos="1134" w:leader="none"/>
        </w:tabs>
        <w:spacing w:lineRule="auto" w:line="240" w:before="0" w:after="120"/>
        <w:ind w:firstLine="709"/>
        <w:rPr>
          <w:bCs/>
          <w:sz w:val="24"/>
          <w:szCs w:val="24"/>
        </w:rPr>
      </w:pPr>
      <w:r>
        <w:rPr>
          <w:bCs/>
          <w:sz w:val="24"/>
          <w:szCs w:val="24"/>
        </w:rPr>
        <w:t xml:space="preserve">Заказчик по установленным нормам оборудует санитарно-бытовые помещения, помещения для приема пищи, помещения для оказания медицинской помощи; организует посты для оказания первой медицинской помощи, укомплектованные аптечками, предоставляет душевые и уборные при их наличии в местах производства работ, и другое </w:t>
      </w:r>
      <w:r>
        <w:rPr>
          <w:sz w:val="24"/>
          <w:szCs w:val="24"/>
        </w:rPr>
        <w:t xml:space="preserve">обеспечение санитарно-гигиенических и бытовых </w:t>
      </w:r>
      <w:r>
        <w:rPr>
          <w:bCs/>
          <w:sz w:val="24"/>
          <w:szCs w:val="24"/>
        </w:rPr>
        <w:t xml:space="preserve">условий. </w:t>
      </w:r>
    </w:p>
    <w:p>
      <w:pPr>
        <w:pStyle w:val="Normal"/>
        <w:numPr>
          <w:ilvl w:val="0"/>
          <w:numId w:val="22"/>
        </w:numPr>
        <w:tabs>
          <w:tab w:val="clear" w:pos="709"/>
          <w:tab w:val="left" w:pos="1134" w:leader="none"/>
        </w:tabs>
        <w:spacing w:lineRule="auto" w:line="240" w:before="0" w:after="120"/>
        <w:ind w:left="0" w:firstLine="709"/>
        <w:rPr>
          <w:sz w:val="24"/>
          <w:szCs w:val="24"/>
          <w:u w:val="single"/>
        </w:rPr>
      </w:pPr>
      <w:r>
        <w:rPr>
          <w:sz w:val="24"/>
          <w:szCs w:val="24"/>
          <w:u w:val="single"/>
        </w:rPr>
        <w:t>Содержание пожарной и сторожевой охраны</w:t>
      </w:r>
    </w:p>
    <w:p>
      <w:pPr>
        <w:pStyle w:val="Normal"/>
        <w:tabs>
          <w:tab w:val="clear" w:pos="709"/>
          <w:tab w:val="left" w:pos="1134" w:leader="none"/>
        </w:tabs>
        <w:spacing w:lineRule="auto" w:line="240" w:before="0" w:after="120"/>
        <w:ind w:firstLine="709"/>
        <w:rPr>
          <w:sz w:val="24"/>
          <w:szCs w:val="24"/>
        </w:rPr>
      </w:pPr>
      <w:r>
        <w:rPr>
          <w:sz w:val="24"/>
          <w:szCs w:val="24"/>
        </w:rPr>
        <w:t xml:space="preserve">Обеспечение пожарной и сторожевой охраны места производства Работ, осуществляет Заказчик в соответствии с установленными им правилами. </w:t>
      </w:r>
    </w:p>
    <w:p>
      <w:pPr>
        <w:pStyle w:val="Normal"/>
        <w:numPr>
          <w:ilvl w:val="0"/>
          <w:numId w:val="22"/>
        </w:numPr>
        <w:tabs>
          <w:tab w:val="clear" w:pos="709"/>
          <w:tab w:val="left" w:pos="1134" w:leader="none"/>
        </w:tabs>
        <w:spacing w:lineRule="auto" w:line="240" w:before="0" w:after="120"/>
        <w:ind w:left="0" w:firstLine="709"/>
        <w:rPr>
          <w:sz w:val="24"/>
          <w:szCs w:val="24"/>
          <w:u w:val="single"/>
        </w:rPr>
      </w:pPr>
      <w:r>
        <w:rPr>
          <w:sz w:val="24"/>
          <w:szCs w:val="24"/>
          <w:u w:val="single"/>
        </w:rPr>
        <w:t>Благоустройство и содержание строительных площадок</w:t>
      </w:r>
    </w:p>
    <w:p>
      <w:pPr>
        <w:pStyle w:val="Normal"/>
        <w:shd w:val="clear" w:color="auto" w:fill="FFFFFF"/>
        <w:tabs>
          <w:tab w:val="clear" w:pos="709"/>
          <w:tab w:val="left" w:pos="1134" w:leader="none"/>
        </w:tabs>
        <w:spacing w:lineRule="auto" w:line="240"/>
        <w:ind w:firstLine="709"/>
        <w:rPr>
          <w:sz w:val="24"/>
          <w:szCs w:val="24"/>
        </w:rPr>
      </w:pPr>
      <w:r>
        <w:rPr>
          <w:sz w:val="24"/>
          <w:szCs w:val="24"/>
        </w:rPr>
        <w:t>Уборку места производства Работ, вывоз строительного мусора и отходов Подрядчика, образовавшихся в ходе выполнения Работ, в места, отведенные Заказчиком, обеспечивает Подрядчик.</w:t>
      </w:r>
    </w:p>
    <w:p>
      <w:pPr>
        <w:pStyle w:val="Normal"/>
        <w:shd w:val="clear" w:color="auto" w:fill="FFFFFF"/>
        <w:tabs>
          <w:tab w:val="clear" w:pos="709"/>
          <w:tab w:val="left" w:pos="1134" w:leader="none"/>
        </w:tabs>
        <w:spacing w:lineRule="auto" w:line="240"/>
        <w:ind w:firstLine="709"/>
        <w:rPr>
          <w:sz w:val="24"/>
          <w:szCs w:val="24"/>
        </w:rPr>
      </w:pPr>
      <w:r>
        <w:rPr>
          <w:sz w:val="24"/>
          <w:szCs w:val="24"/>
        </w:rPr>
        <w:t xml:space="preserve">Заказчик несет расходы, связанные с освещением места производства Работ: на электроэнергию, электролампочки, оплату труда (с отчислениями на социальные нужды) дежурных электромонтеров и другие расходы в соответствии с установленными Заказчиком правилами. При этом, дополнительное освещение мест производства Работ, при необходимости, обеспечивает Подрядчик (кроме затрат на ресурсы, предоставляемые Заказчиком в соответствии с пунктом 2 настоящего Порядка «Предоставление ресурсов»). </w:t>
      </w:r>
    </w:p>
    <w:p>
      <w:pPr>
        <w:pStyle w:val="Normal"/>
        <w:numPr>
          <w:ilvl w:val="0"/>
          <w:numId w:val="22"/>
        </w:numPr>
        <w:tabs>
          <w:tab w:val="clear" w:pos="709"/>
          <w:tab w:val="left" w:pos="1134" w:leader="none"/>
          <w:tab w:val="left" w:pos="1418" w:leader="none"/>
        </w:tabs>
        <w:spacing w:lineRule="auto" w:line="240" w:before="0" w:after="120"/>
        <w:ind w:left="0" w:firstLine="709"/>
        <w:rPr>
          <w:sz w:val="24"/>
          <w:szCs w:val="24"/>
          <w:u w:val="single"/>
        </w:rPr>
      </w:pPr>
      <w:r>
        <w:rPr>
          <w:sz w:val="24"/>
          <w:szCs w:val="24"/>
          <w:u w:val="single"/>
        </w:rPr>
        <w:t>Проведение химического анализа масел</w:t>
      </w:r>
    </w:p>
    <w:p>
      <w:pPr>
        <w:pStyle w:val="Normal"/>
        <w:tabs>
          <w:tab w:val="clear" w:pos="709"/>
          <w:tab w:val="left" w:pos="1134" w:leader="none"/>
          <w:tab w:val="left" w:pos="1418" w:leader="none"/>
        </w:tabs>
        <w:spacing w:lineRule="auto" w:line="240" w:before="0" w:after="120"/>
        <w:ind w:firstLine="709"/>
        <w:rPr>
          <w:sz w:val="24"/>
          <w:szCs w:val="24"/>
        </w:rPr>
      </w:pPr>
      <w:r>
        <w:rPr>
          <w:sz w:val="24"/>
          <w:szCs w:val="24"/>
        </w:rPr>
        <w:t>Заказчик по письменной заявке Подрядчика обеспечивает проведение химического анализа отобранного Подрядчиком турбинного и трансформаторного масла и передает Подрядчику копию протокола результатов химического анализа.</w:t>
      </w:r>
    </w:p>
    <w:p>
      <w:pPr>
        <w:pStyle w:val="Normal"/>
        <w:numPr>
          <w:ilvl w:val="0"/>
          <w:numId w:val="22"/>
        </w:numPr>
        <w:tabs>
          <w:tab w:val="clear" w:pos="709"/>
          <w:tab w:val="left" w:pos="1134" w:leader="none"/>
          <w:tab w:val="left" w:pos="1418" w:leader="none"/>
        </w:tabs>
        <w:spacing w:lineRule="auto" w:line="240" w:before="0" w:after="120"/>
        <w:ind w:left="0" w:firstLine="709"/>
        <w:rPr>
          <w:sz w:val="24"/>
          <w:szCs w:val="24"/>
          <w:u w:val="single"/>
        </w:rPr>
      </w:pPr>
      <w:r>
        <w:rPr>
          <w:sz w:val="24"/>
          <w:szCs w:val="24"/>
          <w:u w:val="single"/>
        </w:rPr>
        <w:t>Осушение оборудования (проточная часть гидроагрегата)</w:t>
      </w:r>
    </w:p>
    <w:p>
      <w:pPr>
        <w:pStyle w:val="Normal"/>
        <w:tabs>
          <w:tab w:val="clear" w:pos="709"/>
          <w:tab w:val="left" w:pos="1134" w:leader="none"/>
        </w:tabs>
        <w:spacing w:lineRule="auto" w:line="240" w:before="0" w:after="120"/>
        <w:ind w:firstLine="709"/>
        <w:rPr>
          <w:sz w:val="24"/>
          <w:szCs w:val="24"/>
        </w:rPr>
      </w:pPr>
      <w:r>
        <w:rPr>
          <w:sz w:val="24"/>
          <w:szCs w:val="24"/>
        </w:rPr>
        <w:t>Заказчик по письменной заявке Подрядчика осуществляет осушение проточной части гидроагрегата в соответствии с утвержденным графиком.</w:t>
      </w:r>
    </w:p>
    <w:p>
      <w:pPr>
        <w:pStyle w:val="Normal"/>
        <w:numPr>
          <w:ilvl w:val="0"/>
          <w:numId w:val="22"/>
        </w:numPr>
        <w:tabs>
          <w:tab w:val="clear" w:pos="709"/>
          <w:tab w:val="left" w:pos="1134" w:leader="none"/>
        </w:tabs>
        <w:spacing w:lineRule="auto" w:line="240" w:before="0" w:after="120"/>
        <w:ind w:left="0" w:firstLine="709"/>
        <w:rPr>
          <w:sz w:val="24"/>
          <w:szCs w:val="24"/>
          <w:u w:val="single"/>
        </w:rPr>
      </w:pPr>
      <w:r>
        <w:rPr>
          <w:sz w:val="24"/>
          <w:szCs w:val="24"/>
          <w:u w:val="single"/>
        </w:rPr>
        <w:t>Порядок предоставления помещений</w:t>
      </w:r>
    </w:p>
    <w:p>
      <w:pPr>
        <w:pStyle w:val="Normal"/>
        <w:tabs>
          <w:tab w:val="clear" w:pos="709"/>
          <w:tab w:val="left" w:pos="1134" w:leader="none"/>
        </w:tabs>
        <w:spacing w:lineRule="auto" w:line="240"/>
        <w:ind w:firstLine="709"/>
        <w:rPr>
          <w:sz w:val="24"/>
          <w:szCs w:val="24"/>
        </w:rPr>
      </w:pPr>
      <w:r>
        <w:rPr>
          <w:sz w:val="24"/>
          <w:szCs w:val="24"/>
        </w:rPr>
        <w:t>Заказчик обеспечивает</w:t>
      </w:r>
      <w:r>
        <w:rPr>
          <w:bCs/>
          <w:sz w:val="24"/>
          <w:szCs w:val="24"/>
        </w:rPr>
        <w:t xml:space="preserve"> Подрядчика помещениями (помещения/ площадки для размещения персонала подрядчика; складские помещения и / или площадки для погрузки / разгрузки/ складирования / хранения материально-технических ресурсов, оборудования подрядчика)</w:t>
      </w:r>
      <w:r>
        <w:rPr>
          <w:sz w:val="24"/>
          <w:szCs w:val="24"/>
        </w:rPr>
        <w:t>, необходимыми для размещения персонала и хранения материально-технических ресурсов и оборудования, выполнения Работ по Договору.</w:t>
      </w:r>
    </w:p>
    <w:p>
      <w:pPr>
        <w:pStyle w:val="Normal"/>
        <w:tabs>
          <w:tab w:val="clear" w:pos="709"/>
          <w:tab w:val="left" w:pos="1134" w:leader="none"/>
        </w:tabs>
        <w:spacing w:lineRule="auto" w:line="240"/>
        <w:ind w:firstLine="709"/>
        <w:rPr>
          <w:sz w:val="24"/>
          <w:szCs w:val="24"/>
        </w:rPr>
      </w:pPr>
      <w:r>
        <w:rPr>
          <w:sz w:val="24"/>
          <w:szCs w:val="24"/>
        </w:rPr>
        <w:t>Передача помещений осуществляется на основании акта сдачи-приемки по форме, согласованной Сторонами.</w:t>
      </w:r>
    </w:p>
    <w:p>
      <w:pPr>
        <w:pStyle w:val="Normal"/>
        <w:tabs>
          <w:tab w:val="clear" w:pos="709"/>
          <w:tab w:val="left" w:pos="1134" w:leader="none"/>
        </w:tabs>
        <w:spacing w:lineRule="auto" w:line="240"/>
        <w:ind w:firstLine="709"/>
        <w:rPr>
          <w:sz w:val="24"/>
          <w:szCs w:val="24"/>
        </w:rPr>
      </w:pPr>
      <w:r>
        <w:rPr>
          <w:sz w:val="24"/>
          <w:szCs w:val="24"/>
        </w:rPr>
        <w:t xml:space="preserve">Заказчик несет расходы по капитальному и текущему ремонту предоставленных в пользование </w:t>
      </w:r>
      <w:r>
        <w:rPr>
          <w:bCs/>
          <w:sz w:val="24"/>
          <w:szCs w:val="24"/>
        </w:rPr>
        <w:t>помещений</w:t>
      </w:r>
      <w:r>
        <w:rPr>
          <w:sz w:val="24"/>
          <w:szCs w:val="24"/>
        </w:rPr>
        <w:t xml:space="preserve">. Подрядчик </w:t>
      </w:r>
      <w:r>
        <w:rPr>
          <w:bCs/>
          <w:sz w:val="24"/>
          <w:szCs w:val="24"/>
        </w:rPr>
        <w:t xml:space="preserve">обеспечивает уборку и сохранность переданных Заказчиком по соответствующим актам сдачи-приемки помещений, а также возврат их Заказчику в первоначальном состоянии с учетом естественного износа не позднее даты окончания выполнения Работ, либо, в случаях прекращения (расторжения) Договора, – не позднее 3 (трех) рабочих дней с даты получения соответствующего требования Заказчика. </w:t>
      </w:r>
    </w:p>
    <w:tbl>
      <w:tblPr>
        <w:tblW w:w="9639"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643"/>
        <w:gridCol w:w="4995"/>
      </w:tblGrid>
      <w:tr>
        <w:trPr/>
        <w:tc>
          <w:tcPr>
            <w:tcW w:w="4643" w:type="dxa"/>
            <w:tcBorders/>
            <w:shd w:color="auto" w:fill="auto" w:val="clear"/>
          </w:tcPr>
          <w:p>
            <w:pPr>
              <w:pStyle w:val="Normal"/>
              <w:widowControl w:val="false"/>
              <w:spacing w:lineRule="auto" w:line="240"/>
              <w:ind w:hanging="0"/>
              <w:jc w:val="left"/>
              <w:rPr>
                <w:b/>
                <w:sz w:val="24"/>
                <w:szCs w:val="24"/>
              </w:rPr>
            </w:pPr>
            <w:r>
              <w:rPr>
                <w:b/>
                <w:sz w:val="24"/>
                <w:szCs w:val="24"/>
              </w:rPr>
            </w:r>
          </w:p>
          <w:p>
            <w:pPr>
              <w:pStyle w:val="Normal"/>
              <w:widowControl w:val="false"/>
              <w:spacing w:lineRule="auto" w:line="240"/>
              <w:ind w:hanging="0"/>
              <w:jc w:val="left"/>
              <w:rPr>
                <w:b/>
                <w:sz w:val="24"/>
                <w:szCs w:val="24"/>
              </w:rPr>
            </w:pPr>
            <w:r>
              <w:rPr>
                <w:b/>
                <w:sz w:val="24"/>
                <w:szCs w:val="24"/>
              </w:rPr>
              <w:t>Подрядчик:</w:t>
            </w:r>
          </w:p>
        </w:tc>
        <w:tc>
          <w:tcPr>
            <w:tcW w:w="4995" w:type="dxa"/>
            <w:tcBorders/>
            <w:shd w:color="auto" w:fill="auto" w:val="clear"/>
          </w:tcPr>
          <w:p>
            <w:pPr>
              <w:pStyle w:val="Normal"/>
              <w:widowControl w:val="false"/>
              <w:spacing w:lineRule="auto" w:line="240"/>
              <w:ind w:hanging="0"/>
              <w:jc w:val="left"/>
              <w:rPr>
                <w:b/>
                <w:sz w:val="24"/>
                <w:szCs w:val="24"/>
              </w:rPr>
            </w:pPr>
            <w:r>
              <w:rPr>
                <w:b/>
                <w:sz w:val="24"/>
                <w:szCs w:val="24"/>
              </w:rPr>
            </w:r>
          </w:p>
          <w:p>
            <w:pPr>
              <w:pStyle w:val="Normal"/>
              <w:widowControl w:val="false"/>
              <w:spacing w:lineRule="auto" w:line="240"/>
              <w:ind w:hanging="0"/>
              <w:jc w:val="left"/>
              <w:rPr>
                <w:b/>
                <w:sz w:val="24"/>
                <w:szCs w:val="24"/>
              </w:rPr>
            </w:pPr>
            <w:r>
              <w:rPr>
                <w:b/>
                <w:sz w:val="24"/>
                <w:szCs w:val="24"/>
              </w:rPr>
              <w:t>Заказчик:</w:t>
            </w:r>
          </w:p>
        </w:tc>
      </w:tr>
      <w:tr>
        <w:trPr/>
        <w:tc>
          <w:tcPr>
            <w:tcW w:w="4643"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_________________</w:t>
            </w:r>
          </w:p>
        </w:tc>
        <w:tc>
          <w:tcPr>
            <w:tcW w:w="4995" w:type="dxa"/>
            <w:tcBorders/>
            <w:shd w:color="auto" w:fill="auto" w:val="clear"/>
          </w:tcPr>
          <w:p>
            <w:pPr>
              <w:pStyle w:val="Normal"/>
              <w:widowControl w:val="false"/>
              <w:spacing w:lineRule="auto" w:line="240"/>
              <w:ind w:hanging="0"/>
              <w:jc w:val="left"/>
              <w:rPr>
                <w:color w:val="000000"/>
                <w:spacing w:val="1"/>
                <w:sz w:val="24"/>
                <w:szCs w:val="24"/>
              </w:rPr>
            </w:pPr>
            <w:r>
              <w:rPr>
                <w:color w:val="000000"/>
                <w:spacing w:val="1"/>
                <w:sz w:val="24"/>
                <w:szCs w:val="24"/>
              </w:rPr>
            </w:r>
          </w:p>
          <w:p>
            <w:pPr>
              <w:pStyle w:val="Normal"/>
              <w:widowControl w:val="false"/>
              <w:spacing w:lineRule="auto" w:line="240"/>
              <w:ind w:hanging="0"/>
              <w:jc w:val="left"/>
              <w:rPr>
                <w:sz w:val="24"/>
                <w:szCs w:val="24"/>
              </w:rPr>
            </w:pPr>
            <w:r>
              <w:rPr>
                <w:color w:val="000000"/>
                <w:spacing w:val="1"/>
                <w:sz w:val="24"/>
                <w:szCs w:val="24"/>
              </w:rPr>
              <w:t>Директор Филиала ПАО «РусГидро» – «Карачаево-Черкесский филиал»</w:t>
            </w:r>
          </w:p>
          <w:p>
            <w:pPr>
              <w:pStyle w:val="Normal"/>
              <w:widowControl w:val="false"/>
              <w:spacing w:lineRule="auto" w:line="240"/>
              <w:jc w:val="center"/>
              <w:rPr>
                <w:color w:val="000000"/>
                <w:spacing w:val="1"/>
                <w:sz w:val="24"/>
                <w:szCs w:val="24"/>
              </w:rPr>
            </w:pPr>
            <w:r>
              <w:rPr>
                <w:color w:val="000000"/>
                <w:spacing w:val="1"/>
                <w:sz w:val="24"/>
                <w:szCs w:val="24"/>
              </w:rPr>
            </w:r>
          </w:p>
          <w:p>
            <w:pPr>
              <w:pStyle w:val="Normal"/>
              <w:widowControl w:val="false"/>
              <w:spacing w:lineRule="auto" w:line="240"/>
              <w:ind w:hanging="0"/>
              <w:jc w:val="left"/>
              <w:rPr>
                <w:sz w:val="24"/>
                <w:szCs w:val="24"/>
              </w:rPr>
            </w:pPr>
            <w:r>
              <w:rPr>
                <w:color w:val="000000"/>
                <w:spacing w:val="1"/>
                <w:sz w:val="24"/>
                <w:szCs w:val="24"/>
              </w:rPr>
              <w:t>_____________В.И. Шульженко</w:t>
            </w:r>
          </w:p>
        </w:tc>
      </w:tr>
    </w:tbl>
    <w:p>
      <w:pPr>
        <w:sectPr>
          <w:headerReference w:type="default" r:id="rId10"/>
          <w:headerReference w:type="first" r:id="rId11"/>
          <w:footerReference w:type="default" r:id="rId12"/>
          <w:footerReference w:type="first" r:id="rId13"/>
          <w:footnotePr>
            <w:numFmt w:val="decimal"/>
          </w:footnotePr>
          <w:type w:val="nextPage"/>
          <w:pgSz w:w="11906" w:h="16838"/>
          <w:pgMar w:left="1418" w:right="851" w:gutter="0" w:header="284" w:top="851" w:footer="284" w:bottom="851"/>
          <w:pgNumType w:fmt="decimal"/>
          <w:formProt w:val="false"/>
          <w:textDirection w:val="lrTb"/>
          <w:docGrid w:type="default" w:linePitch="381" w:charSpace="0"/>
        </w:sectPr>
      </w:pPr>
      <w:r>
        <w:br w:type="page"/>
      </w:r>
    </w:p>
    <w:p>
      <w:pPr>
        <w:pStyle w:val="Normal"/>
        <w:shd w:val="clear" w:color="auto" w:fill="FFFFFF"/>
        <w:spacing w:lineRule="auto" w:line="240"/>
        <w:ind w:left="4820" w:hanging="0"/>
        <w:rPr>
          <w:bCs/>
          <w:sz w:val="22"/>
          <w:szCs w:val="22"/>
        </w:rPr>
      </w:pPr>
      <w:bookmarkStart w:id="42" w:name="RANGE!A1%2525252525252525252525252525252"/>
      <w:bookmarkEnd w:id="42"/>
      <w:r>
        <w:rPr>
          <w:bCs/>
          <w:sz w:val="22"/>
          <w:szCs w:val="22"/>
        </w:rPr>
        <w:t>Приложение № 6</w:t>
      </w:r>
    </w:p>
    <w:p>
      <w:pPr>
        <w:pStyle w:val="Normal"/>
        <w:shd w:val="clear" w:color="auto" w:fill="FFFFFF"/>
        <w:spacing w:lineRule="auto" w:line="240"/>
        <w:ind w:left="4820" w:hanging="0"/>
        <w:rPr>
          <w:bCs/>
          <w:sz w:val="22"/>
          <w:szCs w:val="22"/>
        </w:rPr>
      </w:pPr>
      <w:r>
        <w:rPr>
          <w:bCs/>
          <w:sz w:val="22"/>
          <w:szCs w:val="22"/>
        </w:rPr>
        <w:t xml:space="preserve">к Договору подряда </w:t>
      </w:r>
    </w:p>
    <w:p>
      <w:pPr>
        <w:pStyle w:val="Normal"/>
        <w:shd w:val="clear" w:color="auto" w:fill="FFFFFF"/>
        <w:spacing w:lineRule="auto" w:line="240"/>
        <w:ind w:left="4820" w:hanging="0"/>
        <w:rPr>
          <w:bCs/>
          <w:color w:val="000000"/>
          <w:sz w:val="24"/>
          <w:szCs w:val="24"/>
        </w:rPr>
      </w:pPr>
      <w:r>
        <w:rPr>
          <w:bCs/>
          <w:sz w:val="22"/>
          <w:szCs w:val="22"/>
        </w:rPr>
        <w:t xml:space="preserve">от «___» ________2026 г. № </w:t>
      </w:r>
      <w:r>
        <w:rPr>
          <w:bCs/>
          <w:color w:val="000000"/>
          <w:sz w:val="22"/>
          <w:szCs w:val="22"/>
        </w:rPr>
        <w:t>1</w:t>
      </w:r>
    </w:p>
    <w:p>
      <w:pPr>
        <w:pStyle w:val="Normal"/>
        <w:shd w:val="clear" w:color="auto" w:fill="FFFFFF"/>
        <w:spacing w:lineRule="auto" w:line="240"/>
        <w:ind w:left="4820" w:hanging="0"/>
        <w:rPr>
          <w:sz w:val="24"/>
          <w:szCs w:val="24"/>
        </w:rPr>
      </w:pPr>
      <w:r>
        <w:rPr>
          <w:sz w:val="24"/>
          <w:szCs w:val="24"/>
        </w:rPr>
      </w:r>
    </w:p>
    <w:p>
      <w:pPr>
        <w:pStyle w:val="Normal"/>
        <w:spacing w:lineRule="auto" w:line="240"/>
        <w:jc w:val="center"/>
        <w:rPr>
          <w:b/>
          <w:sz w:val="24"/>
          <w:szCs w:val="24"/>
        </w:rPr>
      </w:pPr>
      <w:r>
        <w:rPr>
          <w:b/>
          <w:sz w:val="24"/>
          <w:szCs w:val="24"/>
        </w:rPr>
        <w:t>Критерии отбора Банков-Гарантов</w:t>
      </w:r>
    </w:p>
    <w:p>
      <w:pPr>
        <w:pStyle w:val="Normal"/>
        <w:tabs>
          <w:tab w:val="clear" w:pos="709"/>
          <w:tab w:val="left" w:pos="1134" w:leader="none"/>
        </w:tabs>
        <w:spacing w:lineRule="auto" w:line="240"/>
        <w:ind w:firstLine="709"/>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rPr>
        <w:footnoteReference w:id="4"/>
      </w:r>
      <w:r>
        <w:rPr>
          <w:sz w:val="24"/>
          <w:szCs w:val="24"/>
        </w:rPr>
        <w:t>, а также соответствовать следующим критериям:</w:t>
      </w:r>
    </w:p>
    <w:p>
      <w:pPr>
        <w:pStyle w:val="Normal"/>
        <w:numPr>
          <w:ilvl w:val="1"/>
          <w:numId w:val="19"/>
        </w:numPr>
        <w:tabs>
          <w:tab w:val="clear" w:pos="709"/>
          <w:tab w:val="left" w:pos="1134" w:leader="none"/>
        </w:tabs>
        <w:spacing w:lineRule="auto" w:line="240"/>
        <w:ind w:left="142" w:firstLine="709"/>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19"/>
        </w:numPr>
        <w:tabs>
          <w:tab w:val="clear" w:pos="709"/>
          <w:tab w:val="left" w:pos="1134" w:leader="none"/>
        </w:tabs>
        <w:spacing w:lineRule="auto" w:line="240"/>
        <w:ind w:left="0" w:firstLine="710"/>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19"/>
        </w:numPr>
        <w:tabs>
          <w:tab w:val="clear" w:pos="709"/>
          <w:tab w:val="left" w:pos="1134" w:leader="none"/>
        </w:tabs>
        <w:spacing w:lineRule="auto" w:line="240"/>
        <w:ind w:left="0" w:firstLine="710"/>
        <w:rPr>
          <w:sz w:val="24"/>
          <w:szCs w:val="24"/>
        </w:rPr>
      </w:pPr>
      <w:r>
        <w:rPr>
          <w:sz w:val="24"/>
          <w:szCs w:val="24"/>
        </w:rPr>
        <w:t>Иметь собственные средства (капитал) в размере не менее 25 млрд. рублей на 1 января текущего календарного года по данным отчетности (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4">
        <w:r>
          <w:rPr>
            <w:rStyle w:val="Hyperlink"/>
            <w:sz w:val="24"/>
            <w:szCs w:val="24"/>
          </w:rPr>
          <w:t>www.cbr.ru</w:t>
        </w:r>
      </w:hyperlink>
      <w:r>
        <w:rPr>
          <w:sz w:val="24"/>
          <w:szCs w:val="24"/>
        </w:rPr>
        <w:t>) на официальных сайтах ЦБ РФ и/ или кредитной организации либо представленной кредитной организации Обществу.</w:t>
      </w:r>
    </w:p>
    <w:p>
      <w:pPr>
        <w:pStyle w:val="Normal"/>
        <w:numPr>
          <w:ilvl w:val="1"/>
          <w:numId w:val="19"/>
        </w:numPr>
        <w:tabs>
          <w:tab w:val="clear" w:pos="709"/>
          <w:tab w:val="left" w:pos="1134" w:leader="none"/>
        </w:tabs>
        <w:spacing w:lineRule="auto" w:line="240"/>
        <w:ind w:left="0" w:firstLine="710"/>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rPr>
        <w:footnoteReference w:id="5"/>
      </w:r>
      <w:r>
        <w:rPr>
          <w:sz w:val="24"/>
          <w:szCs w:val="24"/>
        </w:rPr>
        <w:t xml:space="preserve">. </w:t>
      </w:r>
    </w:p>
    <w:p>
      <w:pPr>
        <w:pStyle w:val="Normal"/>
        <w:numPr>
          <w:ilvl w:val="1"/>
          <w:numId w:val="19"/>
        </w:numPr>
        <w:tabs>
          <w:tab w:val="clear" w:pos="709"/>
          <w:tab w:val="left" w:pos="1134" w:leader="none"/>
        </w:tabs>
        <w:spacing w:lineRule="auto" w:line="240"/>
        <w:ind w:left="142" w:firstLine="992"/>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rPr>
        <w:footnoteReference w:id="6"/>
      </w:r>
      <w:r>
        <w:rPr>
          <w:sz w:val="24"/>
          <w:szCs w:val="24"/>
        </w:rPr>
        <w:t>.</w:t>
      </w:r>
    </w:p>
    <w:p>
      <w:pPr>
        <w:pStyle w:val="Normal"/>
        <w:numPr>
          <w:ilvl w:val="1"/>
          <w:numId w:val="19"/>
        </w:numPr>
        <w:tabs>
          <w:tab w:val="clear" w:pos="709"/>
          <w:tab w:val="left" w:pos="1134" w:leader="none"/>
        </w:tabs>
        <w:spacing w:lineRule="auto" w:line="240"/>
        <w:ind w:left="0" w:firstLine="710"/>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(санации) (опубликован на сайте  Государственной корпорации «Агентство по страхованию вкладов» (http://www.asv.org.ru))».</w:t>
      </w:r>
    </w:p>
    <w:p>
      <w:pPr>
        <w:pStyle w:val="Normal"/>
        <w:numPr>
          <w:ilvl w:val="1"/>
          <w:numId w:val="19"/>
        </w:numPr>
        <w:tabs>
          <w:tab w:val="clear" w:pos="709"/>
          <w:tab w:val="left" w:pos="1134" w:leader="none"/>
        </w:tabs>
        <w:spacing w:lineRule="auto" w:line="240"/>
        <w:ind w:left="0" w:firstLine="710"/>
        <w:rPr>
          <w:sz w:val="24"/>
          <w:szCs w:val="24"/>
        </w:rPr>
      </w:pPr>
      <w:r>
        <w:rPr>
          <w:sz w:val="24"/>
          <w:szCs w:val="24"/>
        </w:rPr>
        <w:t>Не иметь просроченную задолженность перед  компаниями Группы РусГидро.</w:t>
      </w:r>
    </w:p>
    <w:p>
      <w:pPr>
        <w:pStyle w:val="Normal"/>
        <w:numPr>
          <w:ilvl w:val="1"/>
          <w:numId w:val="19"/>
        </w:numPr>
        <w:tabs>
          <w:tab w:val="clear" w:pos="709"/>
          <w:tab w:val="left" w:pos="1134" w:leader="none"/>
        </w:tabs>
        <w:spacing w:lineRule="auto" w:line="240"/>
        <w:ind w:left="0" w:firstLine="710"/>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sz w:val="24"/>
          <w:szCs w:val="24"/>
        </w:rPr>
        <w:t>.</w:t>
      </w:r>
    </w:p>
    <w:p>
      <w:pPr>
        <w:pStyle w:val="Normal"/>
        <w:numPr>
          <w:ilvl w:val="1"/>
          <w:numId w:val="19"/>
        </w:numPr>
        <w:tabs>
          <w:tab w:val="clear" w:pos="709"/>
          <w:tab w:val="left" w:pos="1134" w:leader="none"/>
        </w:tabs>
        <w:spacing w:lineRule="auto" w:line="240"/>
        <w:ind w:left="0" w:firstLine="710"/>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tabs>
          <w:tab w:val="clear" w:pos="709"/>
          <w:tab w:val="left" w:pos="1134" w:leader="none"/>
        </w:tabs>
        <w:spacing w:lineRule="auto" w:line="240"/>
        <w:rPr>
          <w:sz w:val="24"/>
          <w:szCs w:val="24"/>
        </w:rPr>
      </w:pPr>
      <w:r>
        <w:rPr>
          <w:sz w:val="24"/>
          <w:szCs w:val="24"/>
        </w:rPr>
        <w:t>9.1. 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tabs>
          <w:tab w:val="clear" w:pos="709"/>
          <w:tab w:val="left" w:pos="1134" w:leader="none"/>
        </w:tabs>
        <w:spacing w:lineRule="auto" w:line="240"/>
        <w:ind w:left="142" w:hanging="0"/>
        <w:rPr>
          <w:sz w:val="24"/>
          <w:szCs w:val="24"/>
        </w:rPr>
      </w:pPr>
      <w:r>
        <w:rPr>
          <w:sz w:val="24"/>
          <w:szCs w:val="24"/>
        </w:rPr>
        <w:t>9.2. Основной целью деятельности которых является реализация программ поддержки малого и среднего предпринимательства в соответствии с Указом Президента Российской Федерации от 05.06.2015 № 287 «О мерах по дальнейшему развитию малого и среднего предпринимательства» и Федеральным законом от 24.07.2007 №209-ФЗ «О развитии малого и среднего предпринимательства в Российской Федерации».</w:t>
      </w:r>
    </w:p>
    <w:p>
      <w:pPr>
        <w:pStyle w:val="Normal"/>
        <w:tabs>
          <w:tab w:val="clear" w:pos="709"/>
          <w:tab w:val="left" w:pos="1134" w:leader="none"/>
        </w:tabs>
        <w:spacing w:lineRule="auto" w:line="240"/>
        <w:ind w:left="142" w:firstLine="567"/>
        <w:rPr>
          <w:sz w:val="24"/>
          <w:szCs w:val="24"/>
        </w:rPr>
      </w:pPr>
      <w:r>
        <w:rPr>
          <w:sz w:val="24"/>
          <w:szCs w:val="24"/>
        </w:rPr>
        <w:t>9.3. Утвержденную Наблюдательным советом Ассоциации «НП  «Совет рынка»  в качестве уполномоченной кредитной организации, ответственной за проведение расчетов между субъектами ОРЭМ.</w:t>
      </w:r>
    </w:p>
    <w:p>
      <w:pPr>
        <w:pStyle w:val="Normal"/>
        <w:tabs>
          <w:tab w:val="clear" w:pos="709"/>
          <w:tab w:val="left" w:pos="1134" w:leader="none"/>
        </w:tabs>
        <w:spacing w:lineRule="auto" w:line="240"/>
        <w:ind w:left="709" w:hanging="0"/>
        <w:rPr>
          <w:sz w:val="24"/>
          <w:szCs w:val="24"/>
        </w:rPr>
      </w:pPr>
      <w:r>
        <w:rPr>
          <w:sz w:val="24"/>
          <w:szCs w:val="24"/>
        </w:rPr>
        <w:t>9.4. ВЭБ.РФ.</w:t>
      </w:r>
    </w:p>
    <w:p>
      <w:pPr>
        <w:pStyle w:val="Normal"/>
        <w:tabs>
          <w:tab w:val="clear" w:pos="709"/>
          <w:tab w:val="left" w:pos="1134" w:leader="none"/>
        </w:tabs>
        <w:spacing w:lineRule="auto" w:line="240"/>
        <w:ind w:left="709" w:hanging="0"/>
        <w:rPr>
          <w:sz w:val="24"/>
          <w:szCs w:val="24"/>
        </w:rPr>
      </w:pPr>
      <w:r>
        <w:rPr>
          <w:sz w:val="24"/>
          <w:szCs w:val="24"/>
        </w:rPr>
        <w:t>9.5. Нерезидентов Российской Федерации.</w:t>
      </w:r>
    </w:p>
    <w:p>
      <w:pPr>
        <w:pStyle w:val="Normal"/>
        <w:numPr>
          <w:ilvl w:val="1"/>
          <w:numId w:val="19"/>
        </w:numPr>
        <w:tabs>
          <w:tab w:val="clear" w:pos="709"/>
          <w:tab w:val="left" w:pos="1134" w:leader="none"/>
        </w:tabs>
        <w:spacing w:lineRule="auto" w:line="240"/>
        <w:ind w:left="0" w:firstLine="710"/>
        <w:rPr>
          <w:sz w:val="24"/>
          <w:szCs w:val="24"/>
        </w:rPr>
      </w:pPr>
      <w:r>
        <w:rPr>
          <w:sz w:val="24"/>
          <w:szCs w:val="24"/>
        </w:rPr>
        <w:t xml:space="preserve">Максимальная сумма всех одновременно действующих банковских гарантий, выданных одной кредитной организацией, обеспечивающих обязательства Подрядчика </w:t>
      </w:r>
      <w:r>
        <w:rPr>
          <w:sz w:val="24"/>
          <w:szCs w:val="24"/>
        </w:rPr>
        <w:t xml:space="preserve"> перед Группой РусГидро, не должна превышать размер лимита риска, определяемого по ф</w:t>
      </w:r>
      <w:bookmarkStart w:id="43" w:name="_GoBack"/>
      <w:bookmarkEnd w:id="43"/>
      <w:r>
        <w:rPr>
          <w:sz w:val="24"/>
          <w:szCs w:val="24"/>
        </w:rPr>
        <w:t>ормуле:</w:t>
      </w:r>
    </w:p>
    <w:p>
      <w:pPr>
        <w:pStyle w:val="Normal"/>
        <w:tabs>
          <w:tab w:val="clear" w:pos="709"/>
          <w:tab w:val="left" w:pos="1134" w:leader="none"/>
        </w:tabs>
        <w:spacing w:lineRule="auto" w:line="240"/>
        <w:ind w:firstLine="709"/>
        <w:jc w:val="center"/>
        <w:rPr>
          <w:sz w:val="24"/>
          <w:szCs w:val="24"/>
        </w:rPr>
      </w:pPr>
      <w:r>
        <w:rPr>
          <w:b/>
          <w:i/>
          <w:sz w:val="24"/>
          <w:szCs w:val="24"/>
        </w:rPr>
        <w:t>Lim</w:t>
      </w:r>
      <w:r>
        <w:rPr>
          <w:b/>
          <w:i/>
          <w:sz w:val="24"/>
          <w:szCs w:val="24"/>
          <w:vertAlign w:val="subscript"/>
        </w:rPr>
        <w:t>Ai</w:t>
      </w:r>
      <w:r>
        <w:rPr>
          <w:b/>
          <w:i/>
          <w:sz w:val="24"/>
          <w:szCs w:val="24"/>
        </w:rPr>
        <w:t xml:space="preserve">  = r</w:t>
      </w:r>
      <w:r>
        <w:rPr>
          <w:b/>
          <w:i/>
          <w:sz w:val="24"/>
          <w:szCs w:val="24"/>
          <w:vertAlign w:val="subscript"/>
        </w:rPr>
        <w:t>i</w:t>
      </w:r>
      <w:r>
        <w:rPr>
          <w:b/>
          <w:i/>
          <w:sz w:val="24"/>
          <w:szCs w:val="24"/>
        </w:rPr>
        <w:t xml:space="preserve"> × СK</w:t>
      </w:r>
      <w:r>
        <w:rPr>
          <w:b/>
          <w:i/>
          <w:sz w:val="24"/>
          <w:szCs w:val="24"/>
          <w:vertAlign w:val="subscript"/>
        </w:rPr>
        <w:t>i</w:t>
      </w:r>
      <w:r>
        <w:rPr>
          <w:sz w:val="24"/>
          <w:szCs w:val="24"/>
        </w:rPr>
        <w:t>, где</w:t>
      </w:r>
    </w:p>
    <w:tbl>
      <w:tblPr>
        <w:tblW w:w="9606" w:type="dxa"/>
        <w:jc w:val="left"/>
        <w:tblInd w:w="109" w:type="dxa"/>
        <w:tblLayout w:type="fixed"/>
        <w:tblCellMar>
          <w:top w:w="0" w:type="dxa"/>
          <w:left w:w="108" w:type="dxa"/>
          <w:bottom w:w="0" w:type="dxa"/>
          <w:right w:w="108" w:type="dxa"/>
        </w:tblCellMar>
        <w:tblLook w:val="01e0" w:noVBand="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right="-108" w:firstLine="567"/>
              <w:rPr>
                <w:sz w:val="22"/>
                <w:szCs w:val="22"/>
              </w:rPr>
            </w:pPr>
            <w:r>
              <w:rPr>
                <w:b/>
                <w:i/>
                <w:color w:val="000000"/>
                <w:sz w:val="22"/>
                <w:szCs w:val="22"/>
              </w:rPr>
              <w:t>Lim</w:t>
            </w:r>
            <w:r>
              <w:rPr>
                <w:b/>
                <w:i/>
                <w:color w:val="000000"/>
                <w:sz w:val="22"/>
                <w:szCs w:val="22"/>
                <w:vertAlign w:val="subscript"/>
                <w:lang w:val="en-US"/>
              </w:rPr>
              <w:t>Ai</w:t>
            </w:r>
          </w:p>
        </w:tc>
        <w:tc>
          <w:tcPr>
            <w:tcW w:w="280" w:type="dxa"/>
            <w:tcBorders/>
            <w:shd w:color="auto" w:fill="auto" w:val="clear"/>
          </w:tcPr>
          <w:p>
            <w:pPr>
              <w:pStyle w:val="Normal"/>
              <w:widowControl w:val="false"/>
              <w:spacing w:lineRule="auto" w:line="240"/>
              <w:ind w:left="317" w:right="-108" w:hanging="317"/>
              <w:rPr>
                <w:sz w:val="22"/>
                <w:szCs w:val="22"/>
              </w:rPr>
            </w:pPr>
            <w:r>
              <w:rPr>
                <w:sz w:val="22"/>
                <w:szCs w:val="22"/>
              </w:rPr>
              <w:t>-</w:t>
            </w:r>
          </w:p>
        </w:tc>
        <w:tc>
          <w:tcPr>
            <w:tcW w:w="8509" w:type="dxa"/>
            <w:tcBorders/>
            <w:shd w:color="auto" w:fill="auto" w:val="clear"/>
          </w:tcPr>
          <w:p>
            <w:pPr>
              <w:pStyle w:val="Normal"/>
              <w:widowControl w:val="false"/>
              <w:spacing w:lineRule="auto" w:line="240"/>
              <w:ind w:left="-75" w:right="-108" w:firstLine="567"/>
              <w:rPr>
                <w:sz w:val="22"/>
                <w:szCs w:val="22"/>
              </w:rPr>
            </w:pPr>
            <w:r>
              <w:rPr>
                <w:sz w:val="22"/>
                <w:szCs w:val="22"/>
              </w:rPr>
              <w:t>Лимит риска для i-ой кредитной организации</w:t>
            </w:r>
            <w:r>
              <w:rPr>
                <w:rStyle w:val="FootnoteReference"/>
                <w:sz w:val="22"/>
                <w:szCs w:val="22"/>
              </w:rPr>
              <w:footnoteReference w:id="7"/>
            </w:r>
            <w:r>
              <w:rPr>
                <w:sz w:val="22"/>
                <w:szCs w:val="22"/>
                <w:vertAlign w:val="superscript"/>
              </w:rPr>
              <w:t>.</w:t>
            </w:r>
          </w:p>
        </w:tc>
      </w:tr>
      <w:tr>
        <w:trPr>
          <w:trHeight w:val="280" w:hRule="atLeast"/>
        </w:trPr>
        <w:tc>
          <w:tcPr>
            <w:tcW w:w="817" w:type="dxa"/>
            <w:tcBorders/>
            <w:shd w:color="auto" w:fill="auto" w:val="clear"/>
          </w:tcPr>
          <w:p>
            <w:pPr>
              <w:pStyle w:val="Normal"/>
              <w:widowControl w:val="false"/>
              <w:spacing w:lineRule="auto" w:line="240"/>
              <w:ind w:right="-108" w:firstLine="567"/>
              <w:rPr>
                <w:sz w:val="22"/>
                <w:szCs w:val="22"/>
              </w:rPr>
            </w:pPr>
            <w:r>
              <w:rPr>
                <w:b/>
                <w:i/>
                <w:color w:val="000000"/>
                <w:sz w:val="22"/>
                <w:szCs w:val="22"/>
              </w:rPr>
              <w:t>С</w:t>
            </w:r>
            <w:r>
              <w:rPr>
                <w:b/>
                <w:i/>
                <w:color w:val="000000"/>
                <w:sz w:val="22"/>
                <w:szCs w:val="22"/>
                <w:lang w:val="en-US"/>
              </w:rPr>
              <w:t>K</w:t>
            </w:r>
            <w:r>
              <w:rPr>
                <w:b/>
                <w:i/>
                <w:color w:val="000000"/>
                <w:sz w:val="22"/>
                <w:szCs w:val="22"/>
                <w:vertAlign w:val="subscript"/>
                <w:lang w:val="en-US"/>
              </w:rPr>
              <w:t>i</w:t>
            </w:r>
          </w:p>
          <w:p>
            <w:pPr>
              <w:pStyle w:val="Normal"/>
              <w:widowControl w:val="false"/>
              <w:spacing w:lineRule="auto" w:line="240"/>
              <w:ind w:right="-108" w:firstLine="567"/>
              <w:rPr>
                <w:color w:val="000000"/>
                <w:sz w:val="22"/>
                <w:szCs w:val="22"/>
              </w:rPr>
            </w:pPr>
            <w:r>
              <w:rPr>
                <w:color w:val="000000"/>
                <w:sz w:val="22"/>
                <w:szCs w:val="22"/>
              </w:rPr>
            </w:r>
          </w:p>
        </w:tc>
        <w:tc>
          <w:tcPr>
            <w:tcW w:w="280" w:type="dxa"/>
            <w:tcBorders/>
            <w:shd w:color="auto" w:fill="auto" w:val="clear"/>
          </w:tcPr>
          <w:p>
            <w:pPr>
              <w:pStyle w:val="Normal"/>
              <w:widowControl w:val="false"/>
              <w:spacing w:lineRule="auto" w:line="240"/>
              <w:ind w:right="-108" w:firstLine="567"/>
              <w:rPr>
                <w:sz w:val="22"/>
                <w:szCs w:val="22"/>
              </w:rPr>
            </w:pPr>
            <w:r>
              <w:rPr>
                <w:sz w:val="22"/>
                <w:szCs w:val="22"/>
              </w:rPr>
              <w:t>-</w:t>
            </w:r>
          </w:p>
        </w:tc>
        <w:tc>
          <w:tcPr>
            <w:tcW w:w="8509" w:type="dxa"/>
            <w:tcBorders/>
            <w:shd w:color="auto" w:fill="auto" w:val="clear"/>
          </w:tcPr>
          <w:p>
            <w:pPr>
              <w:pStyle w:val="Normal"/>
              <w:widowControl w:val="false"/>
              <w:spacing w:lineRule="auto" w:line="240"/>
              <w:ind w:left="-75" w:right="-108" w:firstLine="567"/>
              <w:rPr/>
            </w:pPr>
            <w:r>
              <w:rPr>
                <w:sz w:val="22"/>
                <w:szCs w:val="22"/>
              </w:rPr>
              <w:t xml:space="preserve">размер собственных средств (капитала) i-ой кредитной организации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r>
              <w:rPr>
                <w:sz w:val="24"/>
                <w:szCs w:val="24"/>
              </w:rPr>
              <w:t>(</w:t>
            </w:r>
            <w:hyperlink r:id="rId15">
              <w:r>
                <w:rPr>
                  <w:rStyle w:val="Hyperlink"/>
                  <w:color w:val="auto"/>
                  <w:sz w:val="24"/>
                  <w:szCs w:val="24"/>
                </w:rPr>
                <w:t>www.cbr.ru</w:t>
              </w:r>
            </w:hyperlink>
            <w:r>
              <w:rPr>
                <w:sz w:val="24"/>
                <w:szCs w:val="24"/>
              </w:rPr>
              <w:t>)</w:t>
            </w:r>
            <w:r>
              <w:rPr>
                <w:sz w:val="22"/>
                <w:szCs w:val="22"/>
              </w:rPr>
              <w:t xml:space="preserve"> на официальном сайте ЦБ РФ  и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spacing w:lineRule="auto" w:line="240"/>
              <w:ind w:right="-108" w:firstLine="567"/>
              <w:rPr>
                <w:sz w:val="22"/>
                <w:szCs w:val="22"/>
              </w:rPr>
            </w:pPr>
            <w:r>
              <w:rPr>
                <w:b/>
                <w:i/>
                <w:color w:val="000000"/>
                <w:sz w:val="22"/>
                <w:szCs w:val="22"/>
              </w:rPr>
              <w:t>r</w:t>
            </w:r>
            <w:r>
              <w:rPr>
                <w:b/>
                <w:i/>
                <w:color w:val="000000"/>
                <w:sz w:val="22"/>
                <w:szCs w:val="22"/>
                <w:vertAlign w:val="subscript"/>
              </w:rPr>
              <w:t>i</w:t>
            </w:r>
          </w:p>
        </w:tc>
        <w:tc>
          <w:tcPr>
            <w:tcW w:w="280" w:type="dxa"/>
            <w:tcBorders/>
          </w:tcPr>
          <w:p>
            <w:pPr>
              <w:pStyle w:val="Normal"/>
              <w:widowControl w:val="false"/>
              <w:spacing w:lineRule="auto" w:line="240"/>
              <w:ind w:right="-108" w:firstLine="567"/>
              <w:rPr>
                <w:sz w:val="22"/>
                <w:szCs w:val="22"/>
              </w:rPr>
            </w:pPr>
            <w:r>
              <w:rPr>
                <w:sz w:val="22"/>
                <w:szCs w:val="22"/>
              </w:rPr>
              <w:t>-</w:t>
            </w:r>
          </w:p>
        </w:tc>
        <w:tc>
          <w:tcPr>
            <w:tcW w:w="8509" w:type="dxa"/>
            <w:tcBorders/>
          </w:tcPr>
          <w:p>
            <w:pPr>
              <w:pStyle w:val="Normal"/>
              <w:widowControl w:val="false"/>
              <w:tabs>
                <w:tab w:val="clear" w:pos="709"/>
                <w:tab w:val="left" w:pos="7130" w:leader="none"/>
              </w:tabs>
              <w:spacing w:lineRule="auto" w:line="240"/>
              <w:ind w:right="-108" w:firstLine="567"/>
              <w:rPr>
                <w:sz w:val="22"/>
                <w:szCs w:val="22"/>
              </w:rPr>
            </w:pPr>
            <w:r>
              <w:rPr>
                <w:sz w:val="22"/>
                <w:szCs w:val="22"/>
              </w:rPr>
              <w:t>рейтинговый коэффициент</w:t>
            </w:r>
            <w:r>
              <w:rPr>
                <w:rStyle w:val="FootnoteReference"/>
                <w:sz w:val="22"/>
                <w:szCs w:val="22"/>
              </w:rPr>
              <w:footnoteReference w:id="8"/>
            </w:r>
            <w:r>
              <w:rPr>
                <w:sz w:val="22"/>
                <w:szCs w:val="22"/>
              </w:rPr>
              <w:t xml:space="preserve"> для i-ой кредитной организации, равный:</w:t>
            </w:r>
          </w:p>
          <w:p>
            <w:pPr>
              <w:pStyle w:val="Normal"/>
              <w:widowControl w:val="false"/>
              <w:spacing w:lineRule="auto" w:line="240"/>
              <w:ind w:firstLine="492"/>
              <w:rPr>
                <w:sz w:val="22"/>
                <w:szCs w:val="22"/>
              </w:rPr>
            </w:pPr>
            <w:r>
              <w:rPr>
                <w:b/>
                <w:sz w:val="22"/>
                <w:szCs w:val="22"/>
              </w:rPr>
              <w:t>0,075</w:t>
            </w:r>
            <w:r>
              <w:rPr>
                <w:sz w:val="22"/>
                <w:szCs w:val="22"/>
              </w:rPr>
              <w:t xml:space="preserve"> - если i-ая кредитная организация имеет национальный рейтинг кредитоспособности не ниже уровня </w:t>
            </w:r>
            <w:r>
              <w:rPr>
                <w:b/>
                <w:sz w:val="22"/>
                <w:szCs w:val="22"/>
              </w:rPr>
              <w:t>«АА-»</w:t>
            </w:r>
            <w:r>
              <w:rPr>
                <w:sz w:val="22"/>
                <w:szCs w:val="22"/>
              </w:rPr>
              <w:t xml:space="preserve"> по классификации рейтингового агентства АКРА или не ниже уровня </w:t>
            </w:r>
            <w:r>
              <w:rPr>
                <w:b/>
                <w:sz w:val="22"/>
                <w:szCs w:val="22"/>
              </w:rPr>
              <w:t>«</w:t>
            </w:r>
            <w:r>
              <w:rPr>
                <w:b/>
                <w:sz w:val="22"/>
                <w:szCs w:val="22"/>
                <w:lang w:val="en-US"/>
              </w:rPr>
              <w:t>ru</w:t>
            </w:r>
            <w:r>
              <w:rPr>
                <w:b/>
                <w:sz w:val="22"/>
                <w:szCs w:val="22"/>
              </w:rPr>
              <w:t>А</w:t>
            </w:r>
            <w:r>
              <w:rPr>
                <w:b/>
                <w:sz w:val="22"/>
                <w:szCs w:val="22"/>
                <w:lang w:val="en-US"/>
              </w:rPr>
              <w:t>A</w:t>
            </w:r>
            <w:r>
              <w:rPr>
                <w:b/>
                <w:sz w:val="22"/>
                <w:szCs w:val="22"/>
              </w:rPr>
              <w:t>-»</w:t>
            </w:r>
            <w:r>
              <w:rPr>
                <w:sz w:val="22"/>
                <w:szCs w:val="22"/>
              </w:rPr>
              <w:t xml:space="preserve"> по классификации рейтингового агентства Эксперт РА;</w:t>
            </w:r>
          </w:p>
          <w:p>
            <w:pPr>
              <w:pStyle w:val="Normal"/>
              <w:widowControl w:val="false"/>
              <w:spacing w:lineRule="auto" w:line="240"/>
              <w:ind w:left="67" w:firstLine="425"/>
              <w:rPr>
                <w:sz w:val="22"/>
                <w:szCs w:val="22"/>
              </w:rPr>
            </w:pPr>
            <w:r>
              <w:rPr>
                <w:b/>
                <w:sz w:val="22"/>
                <w:szCs w:val="22"/>
              </w:rPr>
              <w:t>0,05</w:t>
            </w:r>
            <w:r>
              <w:rPr>
                <w:sz w:val="22"/>
                <w:szCs w:val="22"/>
              </w:rPr>
              <w:t xml:space="preserve"> - если i-ая кредитная организация имеет национальный рейтинг кредитоспособности не ниже уровня </w:t>
            </w:r>
            <w:r>
              <w:rPr>
                <w:b/>
                <w:sz w:val="22"/>
                <w:szCs w:val="22"/>
              </w:rPr>
              <w:t>«А-»</w:t>
            </w:r>
            <w:r>
              <w:rPr>
                <w:sz w:val="22"/>
                <w:szCs w:val="22"/>
              </w:rPr>
              <w:t xml:space="preserve"> по классификации рейтингового агентства АКРА или не ниже уровня </w:t>
            </w:r>
            <w:r>
              <w:rPr>
                <w:b/>
                <w:sz w:val="22"/>
                <w:szCs w:val="22"/>
              </w:rPr>
              <w:t>«ruA-»</w:t>
            </w:r>
            <w:r>
              <w:rPr>
                <w:sz w:val="22"/>
                <w:szCs w:val="22"/>
              </w:rPr>
              <w:t xml:space="preserve"> по классификации рейтингового агентства Эксперт РА;</w:t>
            </w:r>
          </w:p>
          <w:p>
            <w:pPr>
              <w:pStyle w:val="Normal"/>
              <w:widowControl w:val="false"/>
              <w:spacing w:lineRule="auto" w:line="240"/>
              <w:ind w:firstLine="492"/>
              <w:rPr>
                <w:sz w:val="22"/>
                <w:szCs w:val="22"/>
              </w:rPr>
            </w:pPr>
            <w:r>
              <w:rPr>
                <w:b/>
                <w:sz w:val="22"/>
                <w:szCs w:val="22"/>
              </w:rPr>
              <w:t>0,025</w:t>
            </w:r>
            <w:r>
              <w:rPr>
                <w:sz w:val="22"/>
                <w:szCs w:val="22"/>
              </w:rPr>
              <w:t xml:space="preserve"> - если i-ая кредитная организация имеет национальный рейтинг кредитоспособности не ниже уровня </w:t>
            </w:r>
            <w:r>
              <w:rPr>
                <w:b/>
                <w:sz w:val="22"/>
                <w:szCs w:val="22"/>
              </w:rPr>
              <w:t>«</w:t>
            </w:r>
            <w:r>
              <w:rPr>
                <w:b/>
                <w:sz w:val="22"/>
                <w:szCs w:val="22"/>
                <w:lang w:val="en-US"/>
              </w:rPr>
              <w:t>BB</w:t>
            </w:r>
            <w:r>
              <w:rPr>
                <w:b/>
                <w:sz w:val="22"/>
                <w:szCs w:val="22"/>
              </w:rPr>
              <w:t>В»</w:t>
            </w:r>
            <w:r>
              <w:rPr>
                <w:sz w:val="22"/>
                <w:szCs w:val="22"/>
              </w:rPr>
              <w:t xml:space="preserve"> по классификации рейтингового агентства АКРА или не ниже уровня «</w:t>
            </w:r>
            <w:r>
              <w:rPr>
                <w:sz w:val="22"/>
                <w:szCs w:val="22"/>
                <w:lang w:val="en-US"/>
              </w:rPr>
              <w:t>ruBB</w:t>
            </w:r>
            <w:r>
              <w:rPr>
                <w:sz w:val="22"/>
                <w:szCs w:val="22"/>
              </w:rPr>
              <w:t>В» по классификации рейтингового агентства Эксперт РА, а также находится в процессе финансового оздоровления (санации).</w:t>
            </w:r>
          </w:p>
          <w:p>
            <w:pPr>
              <w:pStyle w:val="Normal"/>
              <w:widowControl w:val="false"/>
              <w:spacing w:lineRule="auto" w:line="240"/>
              <w:ind w:firstLine="492"/>
              <w:rPr>
                <w:sz w:val="22"/>
                <w:szCs w:val="22"/>
              </w:rPr>
            </w:pPr>
            <w:r>
              <w:rPr>
                <w:sz w:val="22"/>
                <w:szCs w:val="22"/>
              </w:rPr>
            </w:r>
          </w:p>
        </w:tc>
      </w:tr>
    </w:tbl>
    <w:p>
      <w:pPr>
        <w:pStyle w:val="Normal"/>
        <w:widowControl w:val="false"/>
        <w:spacing w:lineRule="auto" w:line="240"/>
        <w:ind w:hanging="0"/>
        <w:rPr>
          <w:sz w:val="18"/>
          <w:szCs w:val="18"/>
        </w:rPr>
      </w:pPr>
      <w:r>
        <w:rPr/>
      </w:r>
    </w:p>
    <w:p>
      <w:pPr>
        <w:pStyle w:val="Normal"/>
        <w:widowControl w:val="false"/>
        <w:spacing w:lineRule="auto" w:line="240"/>
        <w:ind w:hanging="0"/>
        <w:rPr>
          <w:sz w:val="18"/>
          <w:szCs w:val="18"/>
        </w:rPr>
      </w:pPr>
      <w:r>
        <w:rPr/>
      </w:r>
    </w:p>
    <w:p>
      <w:pPr>
        <w:pStyle w:val="FootnoteText"/>
        <w:jc w:val="both"/>
        <w:rPr/>
      </w:pPr>
      <w:r>
        <w:rPr/>
      </w:r>
    </w:p>
    <w:tbl>
      <w:tblPr>
        <w:tblW w:w="9639" w:type="dxa"/>
        <w:jc w:val="left"/>
        <w:tblInd w:w="109" w:type="dxa"/>
        <w:tblLayout w:type="fixed"/>
        <w:tblCellMar>
          <w:top w:w="0" w:type="dxa"/>
          <w:left w:w="108" w:type="dxa"/>
          <w:bottom w:w="0" w:type="dxa"/>
          <w:right w:w="108" w:type="dxa"/>
        </w:tblCellMar>
        <w:tblLook w:val="0000" w:noVBand="0" w:noHBand="0" w:lastColumn="0" w:firstColumn="0" w:lastRow="0" w:firstRow="0"/>
      </w:tblPr>
      <w:tblGrid>
        <w:gridCol w:w="4643"/>
        <w:gridCol w:w="4995"/>
      </w:tblGrid>
      <w:tr>
        <w:trPr/>
        <w:tc>
          <w:tcPr>
            <w:tcW w:w="4643" w:type="dxa"/>
            <w:tcBorders/>
            <w:shd w:color="auto" w:fill="auto" w:val="clear"/>
          </w:tcPr>
          <w:p>
            <w:pPr>
              <w:pStyle w:val="Normal"/>
              <w:widowControl w:val="false"/>
              <w:spacing w:lineRule="auto" w:line="240"/>
              <w:ind w:hanging="0"/>
              <w:jc w:val="left"/>
              <w:rPr>
                <w:b/>
                <w:sz w:val="24"/>
                <w:szCs w:val="24"/>
              </w:rPr>
            </w:pPr>
            <w:r>
              <w:rPr>
                <w:b/>
                <w:sz w:val="24"/>
                <w:szCs w:val="24"/>
              </w:rPr>
            </w:r>
          </w:p>
          <w:p>
            <w:pPr>
              <w:pStyle w:val="Normal"/>
              <w:widowControl w:val="false"/>
              <w:spacing w:lineRule="auto" w:line="240"/>
              <w:ind w:hanging="0"/>
              <w:jc w:val="left"/>
              <w:rPr>
                <w:b/>
                <w:sz w:val="24"/>
                <w:szCs w:val="24"/>
              </w:rPr>
            </w:pPr>
            <w:r>
              <w:rPr>
                <w:b/>
                <w:sz w:val="24"/>
                <w:szCs w:val="24"/>
              </w:rPr>
              <w:t>Подрядчик:</w:t>
            </w:r>
          </w:p>
        </w:tc>
        <w:tc>
          <w:tcPr>
            <w:tcW w:w="4995" w:type="dxa"/>
            <w:tcBorders/>
            <w:shd w:color="auto" w:fill="auto" w:val="clear"/>
          </w:tcPr>
          <w:p>
            <w:pPr>
              <w:pStyle w:val="Normal"/>
              <w:widowControl w:val="false"/>
              <w:spacing w:lineRule="auto" w:line="240"/>
              <w:ind w:hanging="0"/>
              <w:jc w:val="left"/>
              <w:rPr>
                <w:b/>
                <w:sz w:val="24"/>
                <w:szCs w:val="24"/>
              </w:rPr>
            </w:pPr>
            <w:r>
              <w:rPr>
                <w:b/>
                <w:sz w:val="24"/>
                <w:szCs w:val="24"/>
              </w:rPr>
            </w:r>
          </w:p>
          <w:p>
            <w:pPr>
              <w:pStyle w:val="Normal"/>
              <w:widowControl w:val="false"/>
              <w:spacing w:lineRule="auto" w:line="240"/>
              <w:ind w:hanging="0"/>
              <w:jc w:val="left"/>
              <w:rPr>
                <w:b/>
                <w:sz w:val="24"/>
                <w:szCs w:val="24"/>
              </w:rPr>
            </w:pPr>
            <w:r>
              <w:rPr>
                <w:b/>
                <w:sz w:val="24"/>
                <w:szCs w:val="24"/>
              </w:rPr>
              <w:t>Заказчик:</w:t>
            </w:r>
          </w:p>
        </w:tc>
      </w:tr>
      <w:tr>
        <w:trPr/>
        <w:tc>
          <w:tcPr>
            <w:tcW w:w="4643" w:type="dxa"/>
            <w:tcBorders/>
            <w:shd w:color="auto" w:fill="auto"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_________________</w:t>
            </w:r>
          </w:p>
        </w:tc>
        <w:tc>
          <w:tcPr>
            <w:tcW w:w="4995" w:type="dxa"/>
            <w:tcBorders/>
            <w:shd w:color="auto" w:fill="auto" w:val="clear"/>
          </w:tcPr>
          <w:p>
            <w:pPr>
              <w:pStyle w:val="Normal"/>
              <w:widowControl w:val="false"/>
              <w:spacing w:lineRule="auto" w:line="240"/>
              <w:ind w:hanging="0"/>
              <w:jc w:val="left"/>
              <w:rPr>
                <w:color w:val="000000"/>
                <w:spacing w:val="1"/>
                <w:sz w:val="24"/>
                <w:szCs w:val="24"/>
              </w:rPr>
            </w:pPr>
            <w:r>
              <w:rPr>
                <w:color w:val="000000"/>
                <w:spacing w:val="1"/>
                <w:sz w:val="24"/>
                <w:szCs w:val="24"/>
              </w:rPr>
            </w:r>
          </w:p>
          <w:p>
            <w:pPr>
              <w:pStyle w:val="Normal"/>
              <w:widowControl w:val="false"/>
              <w:spacing w:lineRule="auto" w:line="240"/>
              <w:ind w:hanging="0"/>
              <w:jc w:val="left"/>
              <w:rPr>
                <w:sz w:val="24"/>
                <w:szCs w:val="24"/>
              </w:rPr>
            </w:pPr>
            <w:r>
              <w:rPr>
                <w:color w:val="000000"/>
                <w:spacing w:val="1"/>
                <w:sz w:val="24"/>
                <w:szCs w:val="24"/>
              </w:rPr>
              <w:t>Директор Филиала ПАО «РусГидро» – «Карачаево-Черкесский филиал»</w:t>
            </w:r>
          </w:p>
          <w:p>
            <w:pPr>
              <w:pStyle w:val="Normal"/>
              <w:widowControl w:val="false"/>
              <w:spacing w:lineRule="auto" w:line="240"/>
              <w:jc w:val="center"/>
              <w:rPr>
                <w:color w:val="000000"/>
                <w:spacing w:val="1"/>
                <w:sz w:val="24"/>
                <w:szCs w:val="24"/>
              </w:rPr>
            </w:pPr>
            <w:r>
              <w:rPr>
                <w:color w:val="000000"/>
                <w:spacing w:val="1"/>
                <w:sz w:val="24"/>
                <w:szCs w:val="24"/>
              </w:rPr>
            </w:r>
          </w:p>
          <w:p>
            <w:pPr>
              <w:pStyle w:val="Normal"/>
              <w:widowControl w:val="false"/>
              <w:spacing w:lineRule="auto" w:line="240"/>
              <w:ind w:hanging="0"/>
              <w:jc w:val="left"/>
              <w:rPr>
                <w:sz w:val="24"/>
                <w:szCs w:val="24"/>
              </w:rPr>
            </w:pPr>
            <w:r>
              <w:rPr>
                <w:color w:val="000000"/>
                <w:spacing w:val="1"/>
                <w:sz w:val="24"/>
                <w:szCs w:val="24"/>
              </w:rPr>
              <w:t>_____________В.И. Шульженко</w:t>
            </w:r>
          </w:p>
        </w:tc>
      </w:tr>
    </w:tbl>
    <w:p>
      <w:pPr>
        <w:pStyle w:val="Normal"/>
        <w:ind w:hanging="0"/>
        <w:rPr>
          <w:sz w:val="22"/>
          <w:szCs w:val="22"/>
          <w:highlight w:val="lightGray"/>
        </w:rPr>
      </w:pPr>
      <w:r>
        <w:rPr/>
      </w:r>
    </w:p>
    <w:sectPr>
      <w:headerReference w:type="default" r:id="rId16"/>
      <w:headerReference w:type="first" r:id="rId17"/>
      <w:footerReference w:type="default" r:id="rId18"/>
      <w:footerReference w:type="first" r:id="rId19"/>
      <w:footnotePr>
        <w:numFmt w:val="decimal"/>
      </w:footnotePr>
      <w:type w:val="nextPage"/>
      <w:pgSz w:w="11906" w:h="16838"/>
      <w:pgMar w:left="1418" w:right="851" w:gutter="0" w:header="0" w:top="567" w:footer="0" w:bottom="70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Calibri">
    <w:charset w:val="01"/>
    <w:family w:val="roman"/>
    <w:pitch w:val="variable"/>
  </w:font>
  <w:font w:name="Liberation Sans">
    <w:altName w:val="Arial"/>
    <w:charset w:val="01"/>
    <w:family w:val="swiss"/>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Courier New">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6"/>
        </w:rPr>
        <w:footnoteRef/>
      </w:r>
      <w:r>
        <w:rPr/>
        <w:t xml:space="preserve"> </w:t>
      </w:r>
      <w:r>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p>
  </w:footnote>
  <w:footnote w:id="3">
    <w:p>
      <w:pPr>
        <w:pStyle w:val="FootnoteText"/>
        <w:jc w:val="both"/>
        <w:rPr/>
      </w:pPr>
      <w:r>
        <w:rPr>
          <w:rStyle w:val="Style6"/>
        </w:rPr>
        <w:footnoteRef/>
      </w:r>
      <w:r>
        <w:rPr/>
        <w:t xml:space="preserve"> </w:t>
      </w:r>
      <w:r>
        <w:rPr/>
        <w:t>Применяется в случае подписания собственноручно без использования усиленных квалифицированных электронных подписей (УКЭП).</w:t>
      </w:r>
    </w:p>
  </w:footnote>
  <w:footnote w:id="4">
    <w:p>
      <w:pPr>
        <w:pStyle w:val="FootnoteText"/>
        <w:rPr/>
      </w:pPr>
      <w:r>
        <w:rPr>
          <w:rStyle w:val="Style6"/>
        </w:rPr>
        <w:footnoteRef/>
      </w:r>
      <w:r>
        <w:rPr/>
        <w:t xml:space="preserve">Актуальный Перечень Банков-Гарантов Группы РусГидро размещен на официальном сайте Общества </w:t>
      </w:r>
      <w:r>
        <w:rPr>
          <w:lang w:val="en-US"/>
        </w:rPr>
        <w:t>http</w:t>
      </w:r>
      <w:r>
        <w:rPr/>
        <w:t>://</w:t>
      </w:r>
      <w:r>
        <w:rPr>
          <w:lang w:val="en-US"/>
        </w:rPr>
        <w:t>zakupki</w:t>
      </w:r>
      <w:r>
        <w:rPr/>
        <w:t>.</w:t>
      </w:r>
      <w:r>
        <w:rPr>
          <w:lang w:val="en-US"/>
        </w:rPr>
        <w:t>rushydro</w:t>
      </w:r>
      <w:r>
        <w:rPr/>
        <w:t>.</w:t>
      </w:r>
      <w:r>
        <w:rPr>
          <w:lang w:val="en-US"/>
        </w:rPr>
        <w:t>ru</w:t>
      </w:r>
      <w:r>
        <w:rPr/>
        <w:t>/</w:t>
      </w:r>
      <w:r>
        <w:rPr>
          <w:lang w:val="en-US"/>
        </w:rPr>
        <w:t>PublicContent</w:t>
      </w:r>
      <w:r>
        <w:rPr/>
        <w:t>/</w:t>
      </w:r>
      <w:r>
        <w:rPr>
          <w:lang w:val="en-US"/>
        </w:rPr>
        <w:t>Section</w:t>
      </w:r>
      <w:r>
        <w:rPr/>
        <w:t>/6</w:t>
      </w:r>
    </w:p>
  </w:footnote>
  <w:footnote w:id="5">
    <w:p>
      <w:pPr>
        <w:pStyle w:val="FootnoteText"/>
        <w:jc w:val="both"/>
        <w:rPr/>
      </w:pPr>
      <w:r>
        <w:rPr>
          <w:rStyle w:val="Style6"/>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lang w:val="en-US"/>
        </w:rPr>
        <w:t>Reuters</w:t>
      </w:r>
      <w:r>
        <w:rPr/>
        <w:t xml:space="preserve">, </w:t>
      </w:r>
      <w:r>
        <w:rPr>
          <w:lang w:val="en-US"/>
        </w:rPr>
        <w:t>Bloomberg</w:t>
      </w:r>
      <w:r>
        <w:rPr/>
        <w:t>, С</w:t>
      </w:r>
      <w:r>
        <w:rPr>
          <w:lang w:val="en-US"/>
        </w:rPr>
        <w:t>bonds</w:t>
      </w:r>
      <w:r>
        <w:rPr/>
        <w:t>)</w:t>
      </w:r>
    </w:p>
  </w:footnote>
  <w:footnote w:id="6">
    <w:p>
      <w:pPr>
        <w:pStyle w:val="FootnoteText"/>
        <w:rPr/>
      </w:pPr>
      <w:r>
        <w:rPr>
          <w:rStyle w:val="Style6"/>
        </w:rPr>
        <w:footnoteRef/>
      </w:r>
      <w:r>
        <w:rPr/>
        <w:t xml:space="preserve"> </w:t>
      </w:r>
      <w:r>
        <w:rPr/>
        <w:t>Данное требование не применяется в отношении небанковских кредитных организаций.</w:t>
      </w:r>
    </w:p>
  </w:footnote>
  <w:footnote w:id="7">
    <w:p>
      <w:pPr>
        <w:pStyle w:val="FootnoteText"/>
        <w:jc w:val="both"/>
        <w:rPr/>
      </w:pPr>
      <w:r>
        <w:rPr>
          <w:rStyle w:val="Style6"/>
        </w:rPr>
        <w:footnoteRef/>
      </w:r>
      <w:r>
        <w:rPr/>
        <w:t xml:space="preserve"> </w:t>
      </w:r>
      <w:r>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w:t>
      </w:r>
      <w:r>
        <w:rPr>
          <w:lang w:val="en-US"/>
        </w:rPr>
        <w:t> </w:t>
      </w:r>
      <w:r>
        <w:rPr/>
        <w:t>440 млн. руб., лимит к установлению - 5</w:t>
      </w:r>
      <w:r>
        <w:rPr>
          <w:lang w:val="en-US"/>
        </w:rPr>
        <w:t> </w:t>
      </w:r>
      <w:r>
        <w:rPr/>
        <w:t>400 млн. руб.; расчетное значение лимита - 5</w:t>
      </w:r>
      <w:r>
        <w:rPr>
          <w:lang w:val="en-US"/>
        </w:rPr>
        <w:t> </w:t>
      </w:r>
      <w:r>
        <w:rPr/>
        <w:t>450 млн. руб., лимит к установлению - 5</w:t>
      </w:r>
      <w:r>
        <w:rPr>
          <w:lang w:val="en-US"/>
        </w:rPr>
        <w:t> </w:t>
      </w:r>
      <w:r>
        <w:rPr/>
        <w:t>500 млн. руб.</w:t>
      </w:r>
    </w:p>
  </w:footnote>
  <w:footnote w:id="8">
    <w:p>
      <w:pPr>
        <w:pStyle w:val="FootnoteText"/>
        <w:jc w:val="both"/>
        <w:rPr/>
      </w:pPr>
      <w:r>
        <w:rPr>
          <w:rStyle w:val="Style6"/>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 или рейтинговых агентств и/или из информационных систем </w:t>
      </w:r>
      <w:r>
        <w:rPr>
          <w:lang w:val="en-US"/>
        </w:rPr>
        <w:t>Reuters</w:t>
      </w:r>
      <w:r>
        <w:rPr/>
        <w:t xml:space="preserve">, </w:t>
      </w:r>
      <w:r>
        <w:rPr>
          <w:lang w:val="en-US"/>
        </w:rPr>
        <w:t>Bloomberg</w:t>
      </w:r>
      <w:r>
        <w:rPr/>
        <w:t>, С</w:t>
      </w:r>
      <w:r>
        <w:rPr>
          <w:lang w:val="en-US"/>
        </w:rPr>
        <w:t>bonds</w:t>
      </w:r>
      <w:r>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3148" w:leader="none"/>
        <w:tab w:val="center" w:pos="4818" w:leader="none"/>
        <w:tab w:val="left" w:pos="6926" w:leader="none"/>
      </w:tabs>
      <w:spacing w:lineRule="auto" w:line="240"/>
      <w:ind w:hanging="0"/>
      <w:jc w:val="center"/>
      <w:rPr>
        <w:sz w:val="20"/>
        <w:szCs w:val="20"/>
      </w:rPr>
    </w:pPr>
    <w:r>
      <w:rPr>
        <w:sz w:val="20"/>
        <w:szCs w:val="20"/>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hd w:val="clear" w:color="auto" w:fill="FFFFFF"/>
      <w:tabs>
        <w:tab w:val="clear" w:pos="709"/>
        <w:tab w:val="left" w:pos="3148" w:leader="none"/>
        <w:tab w:val="center" w:pos="4818" w:leader="none"/>
        <w:tab w:val="left" w:pos="6926" w:leader="none"/>
      </w:tabs>
      <w:spacing w:lineRule="auto" w:line="240"/>
      <w:ind w:hanging="0"/>
      <w:jc w:val="center"/>
      <w:rPr>
        <w:sz w:val="20"/>
        <w:szCs w:val="20"/>
      </w:rPr>
    </w:pPr>
    <w:r>
      <w:rPr>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hanging="0"/>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3">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u w:val="none"/>
        <w:b w:val="false"/>
      </w:rPr>
    </w:lvl>
    <w:lvl w:ilvl="2">
      <w:start w:val="1"/>
      <w:numFmt w:val="decimal"/>
      <w:lvlText w:val="%1.%2.%3."/>
      <w:lvlJc w:val="left"/>
      <w:pPr>
        <w:tabs>
          <w:tab w:val="num" w:pos="0"/>
        </w:tabs>
        <w:ind w:left="1214"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350" w:hanging="360"/>
      </w:pPr>
      <w:rPr>
        <w:rFonts w:ascii="Symbol" w:hAnsi="Symbol" w:cs="Symbol" w:hint="default"/>
      </w:rPr>
    </w:lvl>
    <w:lvl w:ilvl="1">
      <w:start w:val="1"/>
      <w:numFmt w:val="bullet"/>
      <w:lvlText w:val="o"/>
      <w:lvlJc w:val="left"/>
      <w:pPr>
        <w:tabs>
          <w:tab w:val="num" w:pos="0"/>
        </w:tabs>
        <w:ind w:left="2070" w:hanging="360"/>
      </w:pPr>
      <w:rPr>
        <w:rFonts w:ascii="Courier New" w:hAnsi="Courier New" w:cs="Courier New" w:hint="default"/>
      </w:rPr>
    </w:lvl>
    <w:lvl w:ilvl="2">
      <w:start w:val="1"/>
      <w:numFmt w:val="bullet"/>
      <w:lvlText w:val=""/>
      <w:lvlJc w:val="left"/>
      <w:pPr>
        <w:tabs>
          <w:tab w:val="num" w:pos="0"/>
        </w:tabs>
        <w:ind w:left="2790" w:hanging="360"/>
      </w:pPr>
      <w:rPr>
        <w:rFonts w:ascii="Wingdings" w:hAnsi="Wingdings" w:cs="Wingdings" w:hint="default"/>
      </w:rPr>
    </w:lvl>
    <w:lvl w:ilvl="3">
      <w:start w:val="1"/>
      <w:numFmt w:val="bullet"/>
      <w:lvlText w:val=""/>
      <w:lvlJc w:val="left"/>
      <w:pPr>
        <w:tabs>
          <w:tab w:val="num" w:pos="0"/>
        </w:tabs>
        <w:ind w:left="3510" w:hanging="360"/>
      </w:pPr>
      <w:rPr>
        <w:rFonts w:ascii="Symbol" w:hAnsi="Symbol" w:cs="Symbol" w:hint="default"/>
      </w:rPr>
    </w:lvl>
    <w:lvl w:ilvl="4">
      <w:start w:val="1"/>
      <w:numFmt w:val="bullet"/>
      <w:lvlText w:val="o"/>
      <w:lvlJc w:val="left"/>
      <w:pPr>
        <w:tabs>
          <w:tab w:val="num" w:pos="0"/>
        </w:tabs>
        <w:ind w:left="4230" w:hanging="360"/>
      </w:pPr>
      <w:rPr>
        <w:rFonts w:ascii="Courier New" w:hAnsi="Courier New" w:cs="Courier New" w:hint="default"/>
      </w:rPr>
    </w:lvl>
    <w:lvl w:ilvl="5">
      <w:start w:val="1"/>
      <w:numFmt w:val="bullet"/>
      <w:lvlText w:val=""/>
      <w:lvlJc w:val="left"/>
      <w:pPr>
        <w:tabs>
          <w:tab w:val="num" w:pos="0"/>
        </w:tabs>
        <w:ind w:left="4950" w:hanging="360"/>
      </w:pPr>
      <w:rPr>
        <w:rFonts w:ascii="Wingdings" w:hAnsi="Wingdings" w:cs="Wingdings" w:hint="default"/>
      </w:rPr>
    </w:lvl>
    <w:lvl w:ilvl="6">
      <w:start w:val="1"/>
      <w:numFmt w:val="bullet"/>
      <w:lvlText w:val=""/>
      <w:lvlJc w:val="left"/>
      <w:pPr>
        <w:tabs>
          <w:tab w:val="num" w:pos="0"/>
        </w:tabs>
        <w:ind w:left="5670" w:hanging="360"/>
      </w:pPr>
      <w:rPr>
        <w:rFonts w:ascii="Symbol" w:hAnsi="Symbol" w:cs="Symbol" w:hint="default"/>
      </w:rPr>
    </w:lvl>
    <w:lvl w:ilvl="7">
      <w:start w:val="1"/>
      <w:numFmt w:val="bullet"/>
      <w:lvlText w:val="o"/>
      <w:lvlJc w:val="left"/>
      <w:pPr>
        <w:tabs>
          <w:tab w:val="num" w:pos="0"/>
        </w:tabs>
        <w:ind w:left="6390" w:hanging="360"/>
      </w:pPr>
      <w:rPr>
        <w:rFonts w:ascii="Courier New" w:hAnsi="Courier New" w:cs="Courier New" w:hint="default"/>
      </w:rPr>
    </w:lvl>
    <w:lvl w:ilvl="8">
      <w:start w:val="1"/>
      <w:numFmt w:val="bullet"/>
      <w:lvlText w:val=""/>
      <w:lvlJc w:val="left"/>
      <w:pPr>
        <w:tabs>
          <w:tab w:val="num" w:pos="0"/>
        </w:tabs>
        <w:ind w:left="7110" w:hanging="360"/>
      </w:pPr>
      <w:rPr>
        <w:rFonts w:ascii="Wingdings" w:hAnsi="Wingdings" w:cs="Wingdings" w:hint="default"/>
      </w:rPr>
    </w:lvl>
  </w:abstractNum>
  <w:abstractNum w:abstractNumId="18">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9">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0"/>
        </w:tabs>
        <w:ind w:left="2149" w:hanging="360"/>
      </w:pPr>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7"/>
      <w:numFmt w:val="decimal"/>
      <w:lvlText w:val="%1."/>
      <w:lvlJc w:val="left"/>
      <w:pPr>
        <w:tabs>
          <w:tab w:val="num" w:pos="0"/>
        </w:tabs>
        <w:ind w:left="360" w:hanging="360"/>
      </w:pPr>
      <w:rPr>
        <w:sz w:val="24"/>
        <w:b/>
      </w:rPr>
    </w:lvl>
    <w:lvl w:ilvl="1">
      <w:start w:val="6"/>
      <w:numFmt w:val="decimal"/>
      <w:lvlText w:val="%1.%2."/>
      <w:lvlJc w:val="left"/>
      <w:pPr>
        <w:tabs>
          <w:tab w:val="num" w:pos="0"/>
        </w:tabs>
        <w:ind w:left="1288" w:hanging="720"/>
      </w:pPr>
      <w:rPr>
        <w:sz w:val="24"/>
      </w:rPr>
    </w:lvl>
    <w:lvl w:ilvl="2">
      <w:start w:val="1"/>
      <w:numFmt w:val="decimal"/>
      <w:lvlText w:val="%1.%2.%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21">
    <w:lvl w:ilvl="0">
      <w:start w:val="1"/>
      <w:numFmt w:val="upperRoman"/>
      <w:lvlText w:val="%1."/>
      <w:lvlJc w:val="left"/>
      <w:pPr>
        <w:tabs>
          <w:tab w:val="num" w:pos="0"/>
        </w:tabs>
        <w:ind w:left="1287" w:hanging="72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2">
    <w:lvl w:ilvl="0">
      <w:start w:val="1"/>
      <w:numFmt w:val="decimal"/>
      <w:lvlText w:val="%1."/>
      <w:lvlJc w:val="left"/>
      <w:pPr>
        <w:tabs>
          <w:tab w:val="num" w:pos="0"/>
        </w:tabs>
        <w:ind w:left="927" w:hanging="360"/>
      </w:pPr>
      <w:rPr>
        <w:b w:val="false"/>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6"/>
      <w:numFmt w:val="decimal"/>
      <w:lvlText w:val="%1."/>
      <w:lvlJc w:val="left"/>
      <w:pPr>
        <w:tabs>
          <w:tab w:val="num" w:pos="0"/>
        </w:tabs>
        <w:ind w:left="360" w:hanging="360"/>
      </w:pPr>
      <w:rPr/>
    </w:lvl>
    <w:lvl w:ilvl="1">
      <w:start w:val="1"/>
      <w:numFmt w:val="decimal"/>
      <w:lvlText w:val="%1.%2."/>
      <w:lvlJc w:val="left"/>
      <w:pPr>
        <w:tabs>
          <w:tab w:val="num" w:pos="0"/>
        </w:tabs>
        <w:ind w:left="1080" w:hanging="360"/>
      </w:pPr>
      <w:rPr>
        <w:sz w:val="24"/>
      </w:rPr>
    </w:lvl>
    <w:lvl w:ilvl="2">
      <w:start w:val="1"/>
      <w:numFmt w:val="decimal"/>
      <w:lvlText w:val="%1.%2.%3."/>
      <w:lvlJc w:val="left"/>
      <w:pPr>
        <w:tabs>
          <w:tab w:val="num" w:pos="0"/>
        </w:tabs>
        <w:ind w:left="2160" w:hanging="720"/>
      </w:pPr>
      <w:rPr/>
    </w:lvl>
    <w:lvl w:ilvl="3">
      <w:start w:val="1"/>
      <w:numFmt w:val="decimal"/>
      <w:lvlText w:val="%1.%2.%3.%4."/>
      <w:lvlJc w:val="left"/>
      <w:pPr>
        <w:tabs>
          <w:tab w:val="num" w:pos="0"/>
        </w:tabs>
        <w:ind w:left="2880" w:hanging="720"/>
      </w:pPr>
      <w:rPr/>
    </w:lvl>
    <w:lvl w:ilvl="4">
      <w:start w:val="1"/>
      <w:numFmt w:val="decimal"/>
      <w:lvlText w:val="%1.%2.%3.%4.%5."/>
      <w:lvlJc w:val="left"/>
      <w:pPr>
        <w:tabs>
          <w:tab w:val="num" w:pos="0"/>
        </w:tabs>
        <w:ind w:left="3960" w:hanging="1080"/>
      </w:pPr>
      <w:rPr/>
    </w:lvl>
    <w:lvl w:ilvl="5">
      <w:start w:val="1"/>
      <w:numFmt w:val="decimal"/>
      <w:lvlText w:val="%1.%2.%3.%4.%5.%6."/>
      <w:lvlJc w:val="left"/>
      <w:pPr>
        <w:tabs>
          <w:tab w:val="num" w:pos="0"/>
        </w:tabs>
        <w:ind w:left="4680" w:hanging="1080"/>
      </w:pPr>
      <w:rPr/>
    </w:lvl>
    <w:lvl w:ilvl="6">
      <w:start w:val="1"/>
      <w:numFmt w:val="decimal"/>
      <w:lvlText w:val="%1.%2.%3.%4.%5.%6.%7."/>
      <w:lvlJc w:val="left"/>
      <w:pPr>
        <w:tabs>
          <w:tab w:val="num" w:pos="0"/>
        </w:tabs>
        <w:ind w:left="5760" w:hanging="1440"/>
      </w:pPr>
      <w:rPr/>
    </w:lvl>
    <w:lvl w:ilvl="7">
      <w:start w:val="1"/>
      <w:numFmt w:val="decimal"/>
      <w:lvlText w:val="%1.%2.%3.%4.%5.%6.%7.%8."/>
      <w:lvlJc w:val="left"/>
      <w:pPr>
        <w:tabs>
          <w:tab w:val="num" w:pos="0"/>
        </w:tabs>
        <w:ind w:left="6480" w:hanging="1440"/>
      </w:pPr>
      <w:rPr/>
    </w:lvl>
    <w:lvl w:ilvl="8">
      <w:start w:val="1"/>
      <w:numFmt w:val="decimal"/>
      <w:lvlText w:val="%1.%2.%3.%4.%5.%6.%7.%8.%9."/>
      <w:lvlJc w:val="left"/>
      <w:pPr>
        <w:tabs>
          <w:tab w:val="num" w:pos="0"/>
        </w:tabs>
        <w:ind w:left="7560" w:hanging="1800"/>
      </w:pPr>
      <w:rPr/>
    </w:lvl>
  </w:abstractNum>
  <w:abstractNum w:abstractNumId="26">
    <w:lvl w:ilvl="0">
      <w:start w:val="11"/>
      <w:numFmt w:val="decimal"/>
      <w:lvlText w:val="%1."/>
      <w:lvlJc w:val="left"/>
      <w:pPr>
        <w:tabs>
          <w:tab w:val="num" w:pos="0"/>
        </w:tabs>
        <w:ind w:left="360" w:hanging="360"/>
      </w:pPr>
      <w:rPr>
        <w:sz w:val="24"/>
        <w:b/>
      </w:rPr>
    </w:lvl>
    <w:lvl w:ilvl="1">
      <w:start w:val="1"/>
      <w:numFmt w:val="decimal"/>
      <w:lvlText w:val="%1.%2."/>
      <w:lvlJc w:val="left"/>
      <w:pPr>
        <w:tabs>
          <w:tab w:val="num" w:pos="0"/>
        </w:tabs>
        <w:ind w:left="1288" w:hanging="720"/>
      </w:pPr>
      <w:rPr>
        <w:sz w:val="24"/>
      </w:rPr>
    </w:lvl>
    <w:lvl w:ilvl="2">
      <w:start w:val="1"/>
      <w:numFmt w:val="decimal"/>
      <w:lvlText w:val="%1.%2.%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27">
    <w:lvl w:ilvl="0">
      <w:start w:val="8"/>
      <w:numFmt w:val="decimal"/>
      <w:lvlText w:val="%1."/>
      <w:lvlJc w:val="left"/>
      <w:pPr>
        <w:tabs>
          <w:tab w:val="num" w:pos="0"/>
        </w:tabs>
        <w:ind w:left="360" w:hanging="360"/>
      </w:pPr>
      <w:rPr>
        <w:sz w:val="24"/>
        <w:b/>
      </w:rPr>
    </w:lvl>
    <w:lvl w:ilvl="1">
      <w:start w:val="1"/>
      <w:numFmt w:val="decimal"/>
      <w:lvlText w:val="%1.%2."/>
      <w:lvlJc w:val="left"/>
      <w:pPr>
        <w:tabs>
          <w:tab w:val="num" w:pos="0"/>
        </w:tabs>
        <w:ind w:left="1288" w:hanging="720"/>
      </w:pPr>
      <w:rPr>
        <w:sz w:val="24"/>
      </w:rPr>
    </w:lvl>
    <w:lvl w:ilvl="2">
      <w:start w:val="1"/>
      <w:numFmt w:val="decimal"/>
      <w:lvlText w:val="%1.%2.%3."/>
      <w:lvlJc w:val="left"/>
      <w:pPr>
        <w:tabs>
          <w:tab w:val="num" w:pos="0"/>
        </w:tabs>
        <w:ind w:left="1856" w:hanging="720"/>
      </w:pPr>
      <w:rPr>
        <w:sz w:val="24"/>
      </w:rPr>
    </w:lvl>
    <w:lvl w:ilvl="3">
      <w:start w:val="1"/>
      <w:numFmt w:val="decimal"/>
      <w:lvlText w:val="%1.%2.%3.%4."/>
      <w:lvlJc w:val="left"/>
      <w:pPr>
        <w:tabs>
          <w:tab w:val="num" w:pos="0"/>
        </w:tabs>
        <w:ind w:left="2784" w:hanging="1080"/>
      </w:pPr>
      <w:rPr>
        <w:sz w:val="24"/>
      </w:rPr>
    </w:lvl>
    <w:lvl w:ilvl="4">
      <w:start w:val="1"/>
      <w:numFmt w:val="decimal"/>
      <w:lvlText w:val="%1.%2.%3.%4.%5."/>
      <w:lvlJc w:val="left"/>
      <w:pPr>
        <w:tabs>
          <w:tab w:val="num" w:pos="0"/>
        </w:tabs>
        <w:ind w:left="3352" w:hanging="1080"/>
      </w:pPr>
      <w:rPr>
        <w:sz w:val="24"/>
      </w:rPr>
    </w:lvl>
    <w:lvl w:ilvl="5">
      <w:start w:val="1"/>
      <w:numFmt w:val="decimal"/>
      <w:lvlText w:val="%1.%2.%3.%4.%5.%6."/>
      <w:lvlJc w:val="left"/>
      <w:pPr>
        <w:tabs>
          <w:tab w:val="num" w:pos="0"/>
        </w:tabs>
        <w:ind w:left="4280" w:hanging="1440"/>
      </w:pPr>
      <w:rPr>
        <w:sz w:val="24"/>
      </w:rPr>
    </w:lvl>
    <w:lvl w:ilvl="6">
      <w:start w:val="1"/>
      <w:numFmt w:val="decimal"/>
      <w:lvlText w:val="%1.%2.%3.%4.%5.%6.%7."/>
      <w:lvlJc w:val="left"/>
      <w:pPr>
        <w:tabs>
          <w:tab w:val="num" w:pos="0"/>
        </w:tabs>
        <w:ind w:left="5208" w:hanging="1800"/>
      </w:pPr>
      <w:rPr>
        <w:sz w:val="24"/>
      </w:rPr>
    </w:lvl>
    <w:lvl w:ilvl="7">
      <w:start w:val="1"/>
      <w:numFmt w:val="decimal"/>
      <w:lvlText w:val="%1.%2.%3.%4.%5.%6.%7.%8."/>
      <w:lvlJc w:val="left"/>
      <w:pPr>
        <w:tabs>
          <w:tab w:val="num" w:pos="0"/>
        </w:tabs>
        <w:ind w:left="5776" w:hanging="1800"/>
      </w:pPr>
      <w:rPr>
        <w:sz w:val="24"/>
      </w:rPr>
    </w:lvl>
    <w:lvl w:ilvl="8">
      <w:start w:val="1"/>
      <w:numFmt w:val="decimal"/>
      <w:lvlText w:val="%1.%2.%3.%4.%5.%6.%7.%8.%9."/>
      <w:lvlJc w:val="left"/>
      <w:pPr>
        <w:tabs>
          <w:tab w:val="num" w:pos="0"/>
        </w:tabs>
        <w:ind w:left="6704" w:hanging="2160"/>
      </w:pPr>
      <w:rPr>
        <w:sz w:val="24"/>
      </w:rPr>
    </w:lvl>
  </w:abstractNum>
  <w:abstractNum w:abstractNumId="2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2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2">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3">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4">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5">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6">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7">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8">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39">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0">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abstractNum w:abstractNumId="41">
    <w:lvl w:ilvl="0">
      <w:start w:val="1"/>
      <w:numFmt w:val="decimal"/>
      <w:lvlText w:val="%1."/>
      <w:lvlJc w:val="left"/>
      <w:pPr>
        <w:tabs>
          <w:tab w:val="num" w:pos="0"/>
        </w:tabs>
        <w:ind w:left="720" w:hanging="360"/>
      </w:pPr>
      <w:rPr/>
    </w:lvl>
    <w:lvl w:ilvl="1">
      <w:start w:val="1"/>
      <w:numFmt w:val="decimal"/>
      <w:lvlText w:val="%1.%2."/>
      <w:lvlJc w:val="left"/>
      <w:pPr>
        <w:tabs>
          <w:tab w:val="num" w:pos="0"/>
        </w:tabs>
        <w:ind w:left="1140" w:hanging="420"/>
      </w:pPr>
      <w:rPr/>
    </w:lvl>
    <w:lvl w:ilvl="2">
      <w:start w:val="1"/>
      <w:numFmt w:val="decimal"/>
      <w:lvlText w:val="%1.%2.%3."/>
      <w:lvlJc w:val="left"/>
      <w:pPr>
        <w:tabs>
          <w:tab w:val="num" w:pos="0"/>
        </w:tabs>
        <w:ind w:left="1800" w:hanging="720"/>
      </w:pPr>
      <w:rPr/>
    </w:lvl>
    <w:lvl w:ilvl="3">
      <w:start w:val="1"/>
      <w:numFmt w:val="decimal"/>
      <w:lvlText w:val="%1.%2.%3.%4."/>
      <w:lvlJc w:val="left"/>
      <w:pPr>
        <w:tabs>
          <w:tab w:val="num" w:pos="0"/>
        </w:tabs>
        <w:ind w:left="2160" w:hanging="720"/>
      </w:pPr>
      <w:rPr/>
    </w:lvl>
    <w:lvl w:ilvl="4">
      <w:start w:val="1"/>
      <w:numFmt w:val="decimal"/>
      <w:lvlText w:val="%1.%2.%3.%4.%5."/>
      <w:lvlJc w:val="left"/>
      <w:pPr>
        <w:tabs>
          <w:tab w:val="num" w:pos="0"/>
        </w:tabs>
        <w:ind w:left="2880" w:hanging="1080"/>
      </w:pPr>
      <w:rPr/>
    </w:lvl>
    <w:lvl w:ilvl="5">
      <w:start w:val="1"/>
      <w:numFmt w:val="decimal"/>
      <w:lvlText w:val="%1.%2.%3.%4.%5.%6."/>
      <w:lvlJc w:val="left"/>
      <w:pPr>
        <w:tabs>
          <w:tab w:val="num" w:pos="0"/>
        </w:tabs>
        <w:ind w:left="3240" w:hanging="1080"/>
      </w:pPr>
      <w:rPr/>
    </w:lvl>
    <w:lvl w:ilvl="6">
      <w:start w:val="1"/>
      <w:numFmt w:val="decimal"/>
      <w:lvlText w:val="%1.%2.%3.%4.%5.%6.%7."/>
      <w:lvlJc w:val="left"/>
      <w:pPr>
        <w:tabs>
          <w:tab w:val="num" w:pos="0"/>
        </w:tabs>
        <w:ind w:left="3960" w:hanging="1440"/>
      </w:pPr>
      <w:rPr/>
    </w:lvl>
    <w:lvl w:ilvl="7">
      <w:start w:val="1"/>
      <w:numFmt w:val="decimal"/>
      <w:lvlText w:val="%1.%2.%3.%4.%5.%6.%7.%8."/>
      <w:lvlJc w:val="left"/>
      <w:pPr>
        <w:tabs>
          <w:tab w:val="num" w:pos="0"/>
        </w:tabs>
        <w:ind w:left="4320" w:hanging="1440"/>
      </w:pPr>
      <w:rPr/>
    </w:lvl>
    <w:lvl w:ilvl="8">
      <w:start w:val="1"/>
      <w:numFmt w:val="decimal"/>
      <w:lvlText w:val="%1.%2.%3.%4.%5.%6.%7.%8.%9."/>
      <w:lvlJc w:val="left"/>
      <w:pPr>
        <w:tabs>
          <w:tab w:val="num" w:pos="0"/>
        </w:tabs>
        <w:ind w:left="504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28"/>
    <w:lvlOverride w:ilvl="0">
      <w:startOverride w:val="1"/>
    </w:lvlOverride>
  </w:num>
  <w:num w:numId="43">
    <w:abstractNumId w:val="28"/>
  </w:num>
  <w:num w:numId="44">
    <w:abstractNumId w:val="28"/>
  </w:num>
  <w:num w:numId="45">
    <w:abstractNumId w:val="28"/>
  </w:num>
  <w:num w:numId="46">
    <w:abstractNumId w:val="28"/>
  </w:num>
  <w:num w:numId="47">
    <w:abstractNumId w:val="28"/>
  </w:num>
  <w:num w:numId="48">
    <w:abstractNumId w:val="28"/>
  </w:num>
  <w:num w:numId="49">
    <w:abstractNumId w:val="28"/>
  </w:num>
  <w:num w:numId="50">
    <w:abstractNumId w:val="28"/>
  </w:num>
  <w:num w:numId="51">
    <w:abstractNumId w:val="28"/>
  </w:num>
  <w:num w:numId="52">
    <w:abstractNumId w:val="28"/>
  </w:num>
  <w:num w:numId="53">
    <w:abstractNumId w:val="28"/>
  </w:num>
  <w:num w:numId="54">
    <w:abstractNumId w:val="28"/>
  </w:num>
  <w:num w:numId="55">
    <w:abstractNumId w:val="28"/>
  </w:num>
</w:numbering>
</file>

<file path=word/settings.xml><?xml version="1.0" encoding="utf-8"?>
<w:settings xmlns:w="http://schemas.openxmlformats.org/wordprocessingml/2006/main">
  <w:zoom w:percent="80"/>
  <w:trackRevisions/>
  <w:embedSystemFonts/>
  <w:defaultTabStop w:val="709"/>
  <w:autoHyphenation w:val="true"/>
  <w:footnotePr>
    <w:numFmt w:val="decimal"/>
    <w:footnote w:id="0"/>
    <w:footnote w:id="1"/>
  </w:footnotePr>
  <w:compat>
    <w:compatSetting w:name="compatibilityMode" w:uri="http://schemas.microsoft.com/office/word" w:val="12"/>
  </w:compat>
  <w:themeFontLang w:val="" w:eastAsia="" w:bidi=""/>
  <w:documentProtection w:edit="trackedChanges" w:enforcement="1"/>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d45657"/>
    <w:rPr>
      <w:vertAlign w:val="superscript"/>
    </w:rPr>
  </w:style>
  <w:style w:type="character" w:styleId="FootnoteReference">
    <w:name w:val="Footnote Reference"/>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lang w:val="x-none" w:eastAsia="x-none"/>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2"/>
    <w:qFormat/>
    <w:rsid w:val="00f50d64"/>
    <w:rPr>
      <w:sz w:val="24"/>
      <w:szCs w:val="24"/>
      <w:lang w:val="x-none" w:eastAsia="x-none"/>
    </w:rPr>
  </w:style>
  <w:style w:type="character" w:styleId="4" w:customStyle="1">
    <w:name w:val="4. Отчерк Знак"/>
    <w:link w:val="41"/>
    <w:qFormat/>
    <w:rsid w:val="00f50d64"/>
    <w:rPr>
      <w:sz w:val="24"/>
      <w:szCs w:val="24"/>
      <w:lang w:val="x-none" w:eastAsia="x-none"/>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uiPriority w:val="99"/>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link w:val="13"/>
    <w:qFormat/>
    <w:rsid w:val="00ae674d"/>
    <w:rPr>
      <w:b/>
      <w:sz w:val="22"/>
      <w:szCs w:val="22"/>
      <w:shd w:fill="FFFFFF" w:val="clear"/>
    </w:rPr>
  </w:style>
  <w:style w:type="character" w:styleId="11" w:customStyle="1">
    <w:name w:val="Заголовок 1 Знак"/>
    <w:qFormat/>
    <w:rsid w:val="00ae674d"/>
    <w:rPr>
      <w:rFonts w:ascii="Cambria" w:hAnsi="Cambria" w:eastAsia="Times New Roman" w:cs="Times New Roman"/>
      <w:b/>
      <w:bCs/>
      <w:kern w:val="2"/>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iPriority w:val="99"/>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customStyle="1">
    <w:name w:val="Символ концевой сноски"/>
    <w:uiPriority w:val="99"/>
    <w:semiHidden/>
    <w:unhideWhenUsed/>
    <w:qFormat/>
    <w:rsid w:val="008c02d8"/>
    <w:rPr>
      <w:vertAlign w:val="superscript"/>
    </w:rPr>
  </w:style>
  <w:style w:type="character" w:styleId="EndnoteReference">
    <w:name w:val="Endnote Reference"/>
    <w:rPr>
      <w:vertAlign w:val="superscript"/>
    </w:rPr>
  </w:style>
  <w:style w:type="character" w:styleId="Style16" w:customStyle="1">
    <w:name w:val="Текст Знак"/>
    <w:basedOn w:val="DefaultParagraphFont"/>
    <w:link w:val="PlainText"/>
    <w:uiPriority w:val="99"/>
    <w:semiHidden/>
    <w:qFormat/>
    <w:rsid w:val="003b200e"/>
    <w:rPr>
      <w:rFonts w:ascii="Calibri" w:hAnsi="Calibri" w:eastAsia="Calibri"/>
      <w:sz w:val="22"/>
      <w:szCs w:val="21"/>
      <w:lang w:eastAsia="en-US"/>
    </w:rPr>
  </w:style>
  <w:style w:type="character" w:styleId="Style17" w:customStyle="1">
    <w:name w:val="Абзац списка Знак"/>
    <w:link w:val="ListParagraph"/>
    <w:uiPriority w:val="34"/>
    <w:qFormat/>
    <w:locked/>
    <w:rsid w:val="008a3fe7"/>
    <w:rPr>
      <w:sz w:val="24"/>
      <w:szCs w:val="24"/>
    </w:rPr>
  </w:style>
  <w:style w:type="character" w:styleId="Style18" w:customStyle="1">
    <w:name w:val="Символ нумерации"/>
    <w:qFormat/>
    <w:rPr/>
  </w:style>
  <w:style w:type="character" w:styleId="Linenumber1">
    <w:name w:val="line number1"/>
    <w:qFormat/>
    <w:rPr/>
  </w:style>
  <w:style w:type="character" w:styleId="LineNumber">
    <w:name w:val="Line Number"/>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4b090f"/>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Caption1111" w:customStyle="1">
    <w:name w:val="caption1111"/>
    <w:basedOn w:val="Normal"/>
    <w:qFormat/>
    <w:pPr>
      <w:suppressLineNumbers/>
      <w:spacing w:before="120" w:after="120"/>
    </w:pPr>
    <w:rPr>
      <w:i/>
      <w:iCs/>
      <w:sz w:val="24"/>
      <w:szCs w:val="24"/>
    </w:rPr>
  </w:style>
  <w:style w:type="paragraph" w:styleId="Caption11111" w:customStyle="1">
    <w:name w:val="caption11111"/>
    <w:basedOn w:val="Normal"/>
    <w:qFormat/>
    <w:pPr>
      <w:suppressLineNumbers/>
      <w:spacing w:before="120" w:after="120"/>
    </w:pPr>
    <w:rPr>
      <w:i/>
      <w:iCs/>
      <w:sz w:val="24"/>
      <w:szCs w:val="24"/>
    </w:rPr>
  </w:style>
  <w:style w:type="paragraph" w:styleId="Caption111111" w:customStyle="1">
    <w:name w:val="caption111111"/>
    <w:basedOn w:val="Normal"/>
    <w:qFormat/>
    <w:pPr>
      <w:suppressLineNumbers/>
      <w:spacing w:before="120" w:after="120"/>
    </w:pPr>
    <w:rPr>
      <w:i/>
      <w:iCs/>
      <w:sz w:val="24"/>
      <w:szCs w:val="24"/>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21" w:customStyle="1">
    <w:name w:val="Колонтитул"/>
    <w:basedOn w:val="Normal"/>
    <w:qFormat/>
    <w:pPr/>
    <w:rPr/>
  </w:style>
  <w:style w:type="paragraph" w:styleId="Header">
    <w:name w:val="Header"/>
    <w:basedOn w:val="Normal"/>
    <w:rsid w:val="004b090f"/>
    <w:pPr>
      <w:tabs>
        <w:tab w:val="clear" w:pos="709"/>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2"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3"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4"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5"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6" w:customStyle="1">
    <w:name w:val="Подпункт договора"/>
    <w:basedOn w:val="Normal"/>
    <w:qFormat/>
    <w:rsid w:val="00617a62"/>
    <w:pPr>
      <w:tabs>
        <w:tab w:val="clear" w:pos="709"/>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7"/>
    <w:uiPriority w:val="34"/>
    <w:qFormat/>
    <w:rsid w:val="005f3f9e"/>
    <w:pPr>
      <w:spacing w:lineRule="auto" w:line="240" w:before="0" w:after="0"/>
      <w:ind w:left="720" w:hanging="0"/>
      <w:contextualSpacing/>
      <w:jc w:val="left"/>
    </w:pPr>
    <w:rPr>
      <w:sz w:val="24"/>
      <w:szCs w:val="24"/>
    </w:rPr>
  </w:style>
  <w:style w:type="paragraph" w:styleId="12" w:customStyle="1">
    <w:name w:val="1. Статья"/>
    <w:basedOn w:val="Heading3"/>
    <w:link w:val="1"/>
    <w:qFormat/>
    <w:rsid w:val="005f4a86"/>
    <w:pPr>
      <w:keepNext w:val="false"/>
      <w:widowControl w:val="false"/>
      <w:numPr>
        <w:ilvl w:val="0"/>
        <w:numId w:val="2"/>
      </w:numPr>
      <w:tabs>
        <w:tab w:val="clear" w:pos="709"/>
        <w:tab w:val="left" w:pos="2340" w:leader="none"/>
      </w:tabs>
      <w:suppressAutoHyphens w:val="fals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numPr>
        <w:ilvl w:val="1"/>
        <w:numId w:val="2"/>
      </w:numPr>
      <w:suppressAutoHyphens w:val="fals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numPr>
        <w:ilvl w:val="2"/>
        <w:numId w:val="2"/>
      </w:numPr>
      <w:tabs>
        <w:tab w:val="clear" w:pos="709"/>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numPr>
        <w:ilvl w:val="0"/>
        <w:numId w:val="3"/>
      </w:numPr>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next w:val="Annotationtext"/>
    <w:link w:val="Style9"/>
    <w:uiPriority w:val="99"/>
    <w:qFormat/>
    <w:rsid w:val="00f50d64"/>
    <w:pPr/>
    <w:rPr>
      <w:b/>
      <w:bCs/>
    </w:rPr>
  </w:style>
  <w:style w:type="paragraph" w:styleId="Footer">
    <w:name w:val="Footer"/>
    <w:basedOn w:val="Normal"/>
    <w:link w:val="Style10"/>
    <w:uiPriority w:val="99"/>
    <w:rsid w:val="0043217c"/>
    <w:pPr>
      <w:tabs>
        <w:tab w:val="clear" w:pos="709"/>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13" w:customStyle="1">
    <w:name w:val="Заголовок1"/>
    <w:basedOn w:val="Normal"/>
    <w:link w:val="Style11"/>
    <w:qFormat/>
    <w:rsid w:val="00ae674d"/>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9"/>
        <w:tab w:val="left" w:pos="920" w:leader="none"/>
      </w:tabs>
      <w:spacing w:lineRule="auto" w:line="240" w:before="240" w:after="240"/>
      <w:ind w:left="704" w:hanging="504"/>
      <w:jc w:val="left"/>
      <w:textAlignment w:val="baseline"/>
      <w:outlineLvl w:val="1"/>
    </w:pPr>
    <w:rPr>
      <w:sz w:val="24"/>
      <w:szCs w:val="20"/>
    </w:rPr>
  </w:style>
  <w:style w:type="paragraph" w:styleId="Caption1111111" w:customStyle="1">
    <w:name w:val="caption1111111"/>
    <w:basedOn w:val="Normal"/>
    <w:next w:val="Normal"/>
    <w:qFormat/>
    <w:rsid w:val="00ae674d"/>
    <w:pPr>
      <w:widowControl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numPr>
        <w:ilvl w:val="0"/>
        <w:numId w:val="5"/>
      </w:numPr>
      <w:tabs>
        <w:tab w:val="clear" w:pos="709"/>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numPr>
        <w:ilvl w:val="1"/>
        <w:numId w:val="5"/>
      </w:numPr>
    </w:pPr>
    <w:rPr/>
  </w:style>
  <w:style w:type="paragraph" w:styleId="-2" w:customStyle="1">
    <w:name w:val="Контракт-подпункт"/>
    <w:basedOn w:val="Normal"/>
    <w:qFormat/>
    <w:rsid w:val="00f43f0d"/>
    <w:pPr>
      <w:numPr>
        <w:ilvl w:val="2"/>
        <w:numId w:val="5"/>
      </w:numPr>
    </w:pPr>
    <w:rPr/>
  </w:style>
  <w:style w:type="paragraph" w:styleId="-3" w:customStyle="1">
    <w:name w:val="Контракт-подподпункт"/>
    <w:basedOn w:val="Normal"/>
    <w:qFormat/>
    <w:rsid w:val="00f43f0d"/>
    <w:pPr>
      <w:numPr>
        <w:ilvl w:val="3"/>
        <w:numId w:val="5"/>
      </w:numPr>
    </w:pPr>
    <w:rPr/>
  </w:style>
  <w:style w:type="paragraph" w:styleId="EndnoteText">
    <w:name w:val="Endnote Text"/>
    <w:basedOn w:val="Normal"/>
    <w:link w:val="Style14"/>
    <w:uiPriority w:val="99"/>
    <w:semiHidden/>
    <w:unhideWhenUsed/>
    <w:rsid w:val="008c02d8"/>
    <w:pPr/>
    <w:rPr>
      <w:sz w:val="20"/>
      <w:szCs w:val="20"/>
      <w:lang w:val="x-none" w:eastAsia="x-none"/>
    </w:rPr>
  </w:style>
  <w:style w:type="paragraph" w:styleId="ConsPlusNonformat" w:customStyle="1">
    <w:name w:val="ConsPlusNonformat"/>
    <w:qFormat/>
    <w:rsid w:val="006b6853"/>
    <w:pPr>
      <w:widowControl w:val="false"/>
      <w:suppressAutoHyphens w:val="true"/>
      <w:bidi w:val="0"/>
      <w:spacing w:before="0" w:after="0"/>
      <w:jc w:val="left"/>
    </w:pPr>
    <w:rPr>
      <w:rFonts w:ascii="Courier New" w:hAnsi="Courier New" w:cs="Courier New" w:eastAsia="Times New Roman"/>
      <w:color w:val="auto"/>
      <w:kern w:val="0"/>
      <w:sz w:val="20"/>
      <w:szCs w:val="20"/>
      <w:lang w:val="ru-RU" w:eastAsia="ru-RU" w:bidi="ar-SA"/>
    </w:rPr>
  </w:style>
  <w:style w:type="paragraph" w:styleId="PlainText">
    <w:name w:val="Plain Text"/>
    <w:basedOn w:val="Normal"/>
    <w:link w:val="Style16"/>
    <w:uiPriority w:val="99"/>
    <w:semiHidden/>
    <w:unhideWhenUsed/>
    <w:qFormat/>
    <w:rsid w:val="003b200e"/>
    <w:pPr>
      <w:spacing w:lineRule="auto" w:line="240"/>
      <w:ind w:hanging="0"/>
      <w:jc w:val="left"/>
    </w:pPr>
    <w:rPr>
      <w:rFonts w:ascii="Calibri" w:hAnsi="Calibri" w:eastAsia="Calibri"/>
      <w:sz w:val="22"/>
      <w:szCs w:val="21"/>
      <w:lang w:eastAsia="en-US"/>
    </w:rPr>
  </w:style>
  <w:style w:type="paragraph" w:styleId="Style27" w:customStyle="1">
    <w:name w:val="Содержимое таблицы"/>
    <w:basedOn w:val="Normal"/>
    <w:qFormat/>
    <w:pPr>
      <w:widowControl w:val="false"/>
      <w:suppressLineNumbers/>
    </w:pPr>
    <w:rPr/>
  </w:style>
  <w:style w:type="paragraph" w:styleId="Style28" w:customStyle="1">
    <w:name w:val="Заголовок таблицы"/>
    <w:basedOn w:val="Style27"/>
    <w:qFormat/>
    <w:pPr>
      <w:jc w:val="center"/>
    </w:pPr>
    <w:rPr>
      <w:b/>
      <w:bCs/>
    </w:rPr>
  </w:style>
  <w:style w:type="paragraph" w:styleId="Style29" w:customStyle="1">
    <w:name w:val="Таблица текст"/>
    <w:basedOn w:val="Normal"/>
    <w:qFormat/>
    <w:pPr>
      <w:spacing w:before="40" w:after="40"/>
      <w:ind w:left="57" w:right="57" w:hanging="0"/>
      <w:jc w:val="left"/>
    </w:pPr>
    <w:rPr>
      <w:sz w:val="24"/>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e">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yperlink" Target="http://www.rushydro.ru/" TargetMode="External"/><Relationship Id="rId4" Type="http://schemas.openxmlformats.org/officeDocument/2006/relationships/hyperlink" Target="consultantplus://offline/ref=94D5CE8889791A29DE57299515463A9D6134D8237B999C803E6F853513x2A2P" TargetMode="External"/><Relationship Id="rId5" Type="http://schemas.openxmlformats.org/officeDocument/2006/relationships/hyperlink" Target="consultantplus://offline/ref=94D5CE8889791A29DE57299515463A9D6135D2287D929C803E6F853513x2A2P" TargetMode="External"/><Relationship Id="rId6" Type="http://schemas.openxmlformats.org/officeDocument/2006/relationships/hyperlink" Target="consultantplus://offline/ref=79440D5123ABA6A25F43346AB59DBAAC7032C8E1556DA64FAED62E167F76889C2B7C475C32EFC59BJ8rDH"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hyperlink" Target="http://www.cbr.ru/" TargetMode="External"/><Relationship Id="rId15" Type="http://schemas.openxmlformats.org/officeDocument/2006/relationships/hyperlink" Target="http://www.cbr.ru/" TargetMode="Externa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footer" Target="footer4.xml"/><Relationship Id="rId19" Type="http://schemas.openxmlformats.org/officeDocument/2006/relationships/footer" Target="footer5.xml"/><Relationship Id="rId20" Type="http://schemas.openxmlformats.org/officeDocument/2006/relationships/footnotes" Target="footnotes.xml"/><Relationship Id="rId21" Type="http://schemas.openxmlformats.org/officeDocument/2006/relationships/numbering" Target="numbering.xml"/><Relationship Id="rId22" Type="http://schemas.openxmlformats.org/officeDocument/2006/relationships/fontTable" Target="fontTable.xml"/><Relationship Id="rId23" Type="http://schemas.openxmlformats.org/officeDocument/2006/relationships/settings" Target="settings.xml"/><Relationship Id="rId24" Type="http://schemas.openxmlformats.org/officeDocument/2006/relationships/theme" Target="theme/theme1.xml"/><Relationship Id="rId25" Type="http://schemas.openxmlformats.org/officeDocument/2006/relationships/customXml" Target="../customXml/item1.xml"/><Relationship Id="rId26" Type="http://schemas.openxmlformats.org/officeDocument/2006/relationships/customXml" Target="../customXml/item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5EC9A-C266-4624-B77C-636A015B7436}">
  <ds:schemaRefs>
    <ds:schemaRef ds:uri="http://schemas.openxmlformats.org/officeDocument/2006/bibliography"/>
  </ds:schemaRefs>
</ds:datastoreItem>
</file>

<file path=customXml/itemProps2.xml><?xml version="1.0" encoding="utf-8"?>
<ds:datastoreItem xmlns:ds="http://schemas.openxmlformats.org/officeDocument/2006/customXml" ds:itemID="{F1A386D6-10CB-4CCF-A386-716806081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Application>AlterOffice/3.4.0.9$Linux_X86_64 LibreOffice_project/b8daf9e823b1a5463a2f48435ddc2e8696e7d4fc</Application>
  <AppVersion>15.0000</AppVersion>
  <Pages>33</Pages>
  <Words>12852</Words>
  <Characters>92396</Characters>
  <CharactersWithSpaces>104810</CharactersWithSpaces>
  <Paragraphs>541</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2023-06-13T10:58:00Z</dcterms:created>
  <dc:creator>UK VoHEC</dc:creator>
  <dc:description/>
  <dc:language>ru-RU</dc:language>
  <cp:lastModifiedBy>galyginnp@corp.gidroogk.com</cp:lastModifiedBy>
  <cp:lastPrinted>2026-09-08T12:22:00Z</cp:lastPrinted>
  <dcterms:modified xsi:type="dcterms:W3CDTF">2026-09-08T14:50:51Z</dcterms:modified>
  <cp:revision>81</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