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fill="FFFFFF"/>
        <w:tabs>
          <w:tab w:val="clear" w:pos="708"/>
          <w:tab w:val="left" w:pos="6926" w:leader="none"/>
        </w:tabs>
        <w:spacing w:before="0" w:after="0"/>
        <w:ind w:firstLine="850" w:left="0" w:right="0"/>
        <w:jc w:val="center"/>
        <w:rPr>
          <w:b/>
          <w:bCs/>
          <w:color w:val="00000A"/>
          <w:sz w:val="20"/>
          <w:szCs w:val="20"/>
        </w:rPr>
      </w:pPr>
      <w:r>
        <w:rPr>
          <w:b/>
          <w:bCs/>
          <w:color w:val="00000A"/>
          <w:sz w:val="20"/>
          <w:szCs w:val="20"/>
        </w:rPr>
        <w:t>Договор поставки</w:t>
      </w:r>
    </w:p>
    <w:p>
      <w:pPr>
        <w:pStyle w:val="Normal"/>
        <w:tabs>
          <w:tab w:val="clear" w:pos="708"/>
          <w:tab w:val="right" w:pos="9639" w:leader="none"/>
        </w:tabs>
        <w:spacing w:before="0" w:after="0"/>
        <w:ind w:firstLine="850" w:left="0" w:right="0"/>
        <w:jc w:val="both"/>
        <w:rPr/>
      </w:pPr>
      <w:r>
        <w:rPr>
          <w:bCs/>
          <w:color w:val="00000A"/>
          <w:sz w:val="20"/>
          <w:szCs w:val="20"/>
        </w:rPr>
        <w:t>г. Хабаровск                                                                                                                                  «___» _________ 2026 г.</w:t>
      </w:r>
    </w:p>
    <w:p>
      <w:pPr>
        <w:pStyle w:val="Normal"/>
        <w:tabs>
          <w:tab w:val="clear" w:pos="708"/>
          <w:tab w:val="right" w:pos="9639" w:leader="none"/>
        </w:tabs>
        <w:spacing w:before="0" w:after="0"/>
        <w:ind w:firstLine="850" w:left="0" w:right="0"/>
        <w:jc w:val="right"/>
        <w:rPr>
          <w:rFonts w:ascii="Times New Roman" w:hAnsi="Times New Roman"/>
          <w:bCs/>
          <w:color w:val="00000A"/>
          <w:sz w:val="20"/>
          <w:szCs w:val="20"/>
        </w:rPr>
      </w:pPr>
      <w:r>
        <w:rPr>
          <w:bCs/>
          <w:color w:val="00000A"/>
          <w:sz w:val="20"/>
          <w:szCs w:val="20"/>
        </w:rPr>
      </w:r>
    </w:p>
    <w:p>
      <w:pPr>
        <w:pStyle w:val="Normal"/>
        <w:spacing w:before="0" w:after="0"/>
        <w:ind w:firstLine="709"/>
        <w:jc w:val="both"/>
        <w:rPr/>
      </w:pPr>
      <w:r>
        <w:rPr>
          <w:rFonts w:ascii="Liberation Serif" w:hAnsi="Liberation Serif"/>
          <w:b/>
          <w:color w:val="00000A"/>
          <w:spacing w:val="4"/>
          <w:sz w:val="20"/>
          <w:szCs w:val="20"/>
        </w:rPr>
        <w:t xml:space="preserve">Акционерное общество «Дальневосточная распределительная сетевая компания» </w:t>
      </w:r>
      <w:r>
        <w:rPr>
          <w:rFonts w:ascii="Liberation Serif" w:hAnsi="Liberation Serif"/>
          <w:color w:val="00000A"/>
          <w:spacing w:val="4"/>
          <w:sz w:val="20"/>
          <w:szCs w:val="20"/>
        </w:rPr>
        <w:t>(АО «ДРСК»)</w:t>
      </w:r>
      <w:r>
        <w:rPr>
          <w:rFonts w:ascii="Liberation Serif" w:hAnsi="Liberation Serif"/>
          <w:color w:val="00000A"/>
          <w:spacing w:val="2"/>
          <w:sz w:val="20"/>
          <w:szCs w:val="20"/>
        </w:rPr>
        <w:t xml:space="preserve">, (далее – </w:t>
      </w:r>
      <w:r>
        <w:rPr>
          <w:rFonts w:ascii="Liberation Serif" w:hAnsi="Liberation Serif"/>
          <w:color w:val="00000A"/>
          <w:spacing w:val="4"/>
          <w:sz w:val="20"/>
          <w:szCs w:val="20"/>
        </w:rPr>
        <w:t>«Покупатель»), в лице директора филиала АО «ДРСК» «Хабаровские электрические сети» Сугоровского Максима Александровича, действующего на основании доверенности №3 от 01.01.2026 г., с одной стороны, и</w:t>
      </w:r>
      <w:r>
        <w:rPr>
          <w:rFonts w:ascii="Liberation Serif" w:hAnsi="Liberation Serif"/>
          <w:color w:val="00000A"/>
          <w:spacing w:val="10"/>
          <w:sz w:val="20"/>
          <w:szCs w:val="20"/>
        </w:rPr>
        <w:t xml:space="preserve"> _________________________________</w:t>
      </w:r>
      <w:r>
        <w:rPr>
          <w:rFonts w:ascii="Liberation Serif" w:hAnsi="Liberation Serif"/>
          <w:b/>
          <w:bCs/>
          <w:color w:val="00000A"/>
          <w:spacing w:val="10"/>
          <w:sz w:val="20"/>
          <w:szCs w:val="20"/>
        </w:rPr>
        <w:t>(______________)</w:t>
      </w:r>
      <w:r>
        <w:rPr>
          <w:rFonts w:ascii="Liberation Serif" w:hAnsi="Liberation Serif"/>
          <w:color w:val="00000A"/>
          <w:spacing w:val="10"/>
          <w:sz w:val="20"/>
          <w:szCs w:val="20"/>
        </w:rPr>
        <w:t xml:space="preserve"> </w:t>
      </w:r>
      <w:r>
        <w:rPr>
          <w:rFonts w:ascii="Liberation Serif" w:hAnsi="Liberation Serif"/>
          <w:color w:val="00000A"/>
          <w:spacing w:val="4"/>
          <w:sz w:val="20"/>
          <w:szCs w:val="20"/>
        </w:rPr>
        <w:t>(далее – «Поставщик»), в лице _____________________________, действующего на основании ___________________ с другой стороны, совместно в дальнейшем именуемые «Стороны», а по отдельности – «Сторона», заключили настоящий договор поставки (далее – «Договор») о нижеследующем:</w:t>
      </w:r>
    </w:p>
    <w:p>
      <w:pPr>
        <w:pStyle w:val="Normal"/>
        <w:spacing w:before="0" w:after="0"/>
        <w:ind w:firstLine="850" w:left="0" w:right="0"/>
        <w:jc w:val="center"/>
        <w:rPr/>
      </w:pPr>
      <w:r>
        <w:rPr>
          <w:b/>
          <w:bCs/>
          <w:color w:val="00000A"/>
          <w:sz w:val="20"/>
          <w:szCs w:val="20"/>
        </w:rPr>
        <w:t>Термины и определения</w:t>
      </w:r>
    </w:p>
    <w:p>
      <w:pPr>
        <w:pStyle w:val="Normal"/>
        <w:shd w:val="clear" w:fill="FFFFFF"/>
        <w:ind w:firstLine="709" w:left="0" w:right="0"/>
        <w:jc w:val="both"/>
        <w:rPr/>
      </w:pPr>
      <w:r>
        <w:rPr>
          <w:rFonts w:ascii="Liberation Serif" w:hAnsi="Liberation Serif"/>
          <w:bCs/>
          <w:color w:val="00000A"/>
          <w:sz w:val="20"/>
          <w:szCs w:val="20"/>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Normal"/>
        <w:shd w:val="clear" w:fill="FFFFFF"/>
        <w:ind w:firstLine="709" w:left="0" w:right="0"/>
        <w:jc w:val="both"/>
        <w:rPr/>
      </w:pPr>
      <w:r>
        <w:rPr>
          <w:rFonts w:ascii="Liberation Serif" w:hAnsi="Liberation Serif"/>
          <w:b/>
          <w:color w:val="00000A"/>
          <w:sz w:val="20"/>
          <w:szCs w:val="20"/>
          <w:lang w:eastAsia="en-US"/>
        </w:rPr>
        <w:t>«Акт рекламации»</w:t>
      </w:r>
      <w:r>
        <w:rPr>
          <w:rFonts w:ascii="Liberation Serif" w:hAnsi="Liberation Serif"/>
          <w:color w:val="00000A"/>
          <w:sz w:val="20"/>
          <w:szCs w:val="20"/>
          <w:lang w:eastAsia="en-US"/>
        </w:rPr>
        <w:t xml:space="preserve"> – документ, оформляемый по унифицированным формам № ТОРГ-2 «Акт об установленном расхождении по количеству и качеству при приемке товарно-материальных ценностей» и № ТОРГ-3 «Акт об установленном расхождении по количеству и качеству при приемке импортных товаров», утвержденным постановлением Госкомстата РФ от 25.12.1998 № 132, подписываемый Сторонами при приемке поставленного Товара.</w:t>
      </w:r>
    </w:p>
    <w:p>
      <w:pPr>
        <w:pStyle w:val="ListParagraph"/>
        <w:shd w:val="clear" w:fill="FFFFFF"/>
        <w:tabs>
          <w:tab w:val="clear" w:pos="708"/>
          <w:tab w:val="left" w:pos="0" w:leader="none"/>
        </w:tabs>
        <w:overflowPunct w:val="false"/>
        <w:ind w:firstLine="709" w:left="0" w:right="0"/>
        <w:jc w:val="both"/>
        <w:textAlignment w:val="baseline"/>
        <w:rPr/>
      </w:pPr>
      <w:r>
        <w:rPr>
          <w:rFonts w:ascii="Liberation Serif" w:hAnsi="Liberation Serif"/>
          <w:b/>
          <w:color w:val="00000A"/>
          <w:sz w:val="20"/>
          <w:szCs w:val="20"/>
          <w:lang w:eastAsia="en-US"/>
        </w:rPr>
        <w:t>«Гарантийный срок»</w:t>
      </w:r>
      <w:r>
        <w:rPr>
          <w:rFonts w:ascii="Liberation Serif" w:hAnsi="Liberation Serif"/>
          <w:color w:val="00000A"/>
          <w:sz w:val="20"/>
          <w:szCs w:val="20"/>
        </w:rPr>
        <w:t xml:space="preserve"> </w:t>
      </w:r>
      <w:r>
        <w:rPr>
          <w:rFonts w:ascii="Liberation Serif" w:hAnsi="Liberation Serif"/>
          <w:color w:val="00000A"/>
          <w:sz w:val="20"/>
          <w:szCs w:val="20"/>
          <w:lang w:eastAsia="en-US"/>
        </w:rPr>
        <w:t>– период, в течение которого качество поставленного Товара должно соответствовать требованиям Договора и Применимого права, и Поставщик и/или изготовитель Товара обязуется устранять все выявленные Покупателем недостатки, несоответствия и/или дефекты за свой счет. Гарантийный срок, если иное прямо не предусмотрено Договором, распространяется на все составляющие Товара.</w:t>
      </w:r>
    </w:p>
    <w:p>
      <w:pPr>
        <w:pStyle w:val="ListParagraph"/>
        <w:shd w:val="clear" w:fill="FFFFFF"/>
        <w:tabs>
          <w:tab w:val="clear" w:pos="708"/>
          <w:tab w:val="left" w:pos="0" w:leader="none"/>
        </w:tabs>
        <w:overflowPunct w:val="false"/>
        <w:ind w:firstLine="709" w:left="0" w:right="0"/>
        <w:jc w:val="both"/>
        <w:textAlignment w:val="baseline"/>
        <w:rPr/>
      </w:pPr>
      <w:r>
        <w:rPr>
          <w:rFonts w:ascii="Liberation Serif" w:hAnsi="Liberation Serif"/>
          <w:b/>
          <w:color w:val="00000A"/>
          <w:sz w:val="20"/>
          <w:szCs w:val="20"/>
          <w:lang w:eastAsia="en-US"/>
        </w:rPr>
        <w:t>«Договор»</w:t>
      </w:r>
      <w:r>
        <w:rPr>
          <w:rFonts w:ascii="Liberation Serif" w:hAnsi="Liberation Serif"/>
          <w:color w:val="00000A"/>
          <w:sz w:val="20"/>
          <w:szCs w:val="20"/>
          <w:lang w:eastAsia="en-US"/>
        </w:rPr>
        <w:t xml:space="preserve"> – настоящий договор, подписанный Покупателем и Поставщиком,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fill="FFFFFF"/>
        <w:tabs>
          <w:tab w:val="clear" w:pos="708"/>
          <w:tab w:val="left" w:pos="0" w:leader="none"/>
        </w:tabs>
        <w:overflowPunct w:val="false"/>
        <w:ind w:firstLine="709" w:left="0" w:right="0"/>
        <w:jc w:val="both"/>
        <w:textAlignment w:val="baseline"/>
        <w:rPr/>
      </w:pPr>
      <w:r>
        <w:rPr>
          <w:rFonts w:ascii="Liberation Serif" w:hAnsi="Liberation Serif"/>
          <w:b/>
          <w:color w:val="00000A"/>
          <w:sz w:val="20"/>
          <w:szCs w:val="20"/>
          <w:lang w:eastAsia="en-US"/>
        </w:rPr>
        <w:t>«Коммерческая тайна»</w:t>
      </w:r>
      <w:r>
        <w:rPr>
          <w:rFonts w:ascii="Liberation Serif" w:hAnsi="Liberation Serif"/>
          <w:color w:val="00000A"/>
          <w:sz w:val="20"/>
          <w:szCs w:val="20"/>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pPr>
        <w:pStyle w:val="ListParagraph"/>
        <w:shd w:val="clear" w:fill="FFFFFF"/>
        <w:tabs>
          <w:tab w:val="clear" w:pos="708"/>
          <w:tab w:val="left" w:pos="0" w:leader="none"/>
        </w:tabs>
        <w:overflowPunct w:val="false"/>
        <w:ind w:firstLine="709" w:left="0" w:right="0"/>
        <w:jc w:val="both"/>
        <w:textAlignment w:val="baseline"/>
        <w:rPr/>
      </w:pPr>
      <w:r>
        <w:rPr>
          <w:rFonts w:ascii="Liberation Serif" w:hAnsi="Liberation Serif"/>
          <w:b/>
          <w:color w:val="00000A"/>
          <w:sz w:val="20"/>
          <w:szCs w:val="20"/>
          <w:lang w:eastAsia="en-US"/>
        </w:rPr>
        <w:t xml:space="preserve">«Накладная ТОРГ-12» </w:t>
      </w:r>
      <w:r>
        <w:rPr>
          <w:rFonts w:ascii="Liberation Serif" w:hAnsi="Liberation Serif"/>
          <w:color w:val="00000A"/>
          <w:sz w:val="20"/>
          <w:szCs w:val="20"/>
          <w:lang w:eastAsia="en-US"/>
        </w:rPr>
        <w:t>–</w:t>
      </w:r>
      <w:r>
        <w:rPr>
          <w:rFonts w:ascii="Liberation Serif" w:hAnsi="Liberation Serif"/>
          <w:b/>
          <w:color w:val="00000A"/>
          <w:sz w:val="20"/>
          <w:szCs w:val="20"/>
          <w:lang w:eastAsia="en-US"/>
        </w:rPr>
        <w:t xml:space="preserve"> </w:t>
      </w:r>
      <w:r>
        <w:rPr>
          <w:rFonts w:ascii="Liberation Serif" w:hAnsi="Liberation Serif"/>
          <w:color w:val="00000A"/>
          <w:sz w:val="20"/>
          <w:szCs w:val="20"/>
          <w:lang w:eastAsia="en-US"/>
        </w:rPr>
        <w:t>документ, оформляемый по унифицированной форме № ТОРГ-12 «Товарная накладная», утвержденной постановлением Госкомстата РФ от 25.12.1998 № 132, подписываемый Сторонами после завершения приемки Товара по количеству, качеству и комплектности. При использовании Сторонами электронного документооборота, Стороны по договору вместо ТОРГ-12  оформляют УПД1. В этом случае условия Договора в отношении ТОРГ-12 применяются в равной степени к УПД.</w:t>
      </w:r>
    </w:p>
    <w:p>
      <w:pPr>
        <w:pStyle w:val="ListParagraph"/>
        <w:shd w:val="clear" w:fill="FFFFFF"/>
        <w:tabs>
          <w:tab w:val="clear" w:pos="708"/>
          <w:tab w:val="left" w:pos="0" w:leader="none"/>
        </w:tabs>
        <w:overflowPunct w:val="false"/>
        <w:ind w:firstLine="709" w:left="0" w:right="0"/>
        <w:jc w:val="both"/>
        <w:textAlignment w:val="baseline"/>
        <w:rPr/>
      </w:pPr>
      <w:r>
        <w:rPr>
          <w:rFonts w:ascii="Liberation Serif" w:hAnsi="Liberation Serif"/>
          <w:b/>
          <w:color w:val="00000A"/>
          <w:sz w:val="20"/>
          <w:szCs w:val="20"/>
          <w:lang w:eastAsia="en-US"/>
        </w:rPr>
        <w:t xml:space="preserve">«Отказ от Договора» </w:t>
      </w:r>
      <w:r>
        <w:rPr>
          <w:rFonts w:ascii="Liberation Serif" w:hAnsi="Liberation Serif"/>
          <w:color w:val="00000A"/>
          <w:sz w:val="20"/>
          <w:szCs w:val="20"/>
          <w:lang w:eastAsia="en-US"/>
        </w:rPr>
        <w:t xml:space="preserve">– односторонний внесудебный отказ от исполнения Договора, совершенный Стороной в соответствии со статьей 450.1 ГК РФ в случаях, установленных Договором. </w:t>
      </w:r>
    </w:p>
    <w:p>
      <w:pPr>
        <w:pStyle w:val="Heading3"/>
        <w:keepNext w:val="false"/>
        <w:tabs>
          <w:tab w:val="clear" w:pos="708"/>
          <w:tab w:val="left" w:pos="0" w:leader="none"/>
        </w:tabs>
        <w:overflowPunct w:val="false"/>
        <w:spacing w:before="0" w:after="0"/>
        <w:ind w:firstLine="709" w:left="0" w:right="0"/>
        <w:jc w:val="both"/>
        <w:textAlignment w:val="baseline"/>
        <w:rPr/>
      </w:pPr>
      <w:r>
        <w:rPr>
          <w:rFonts w:ascii="Liberation Serif" w:hAnsi="Liberation Serif"/>
          <w:color w:val="00000A"/>
          <w:sz w:val="20"/>
          <w:szCs w:val="20"/>
          <w:lang w:eastAsia="en-US"/>
        </w:rPr>
        <w:t xml:space="preserve">«Партия Товара» </w:t>
      </w:r>
      <w:r>
        <w:rPr>
          <w:rFonts w:ascii="Liberation Serif" w:hAnsi="Liberation Serif"/>
          <w:b w:val="false"/>
          <w:color w:val="00000A"/>
          <w:sz w:val="20"/>
          <w:szCs w:val="20"/>
          <w:lang w:eastAsia="en-US"/>
        </w:rPr>
        <w:t xml:space="preserve">– часть Товара, единовременно поставляемая Покупателю Поставщиком, </w:t>
      </w:r>
      <w:r>
        <w:rPr>
          <w:rFonts w:ascii="Liberation Serif" w:hAnsi="Liberation Serif"/>
          <w:b w:val="false"/>
          <w:color w:val="00000A"/>
          <w:sz w:val="20"/>
          <w:szCs w:val="20"/>
          <w:lang w:val="ru-RU" w:eastAsia="en-US"/>
        </w:rPr>
        <w:t>характеристики</w:t>
      </w:r>
      <w:r>
        <w:rPr>
          <w:rFonts w:ascii="Liberation Serif" w:hAnsi="Liberation Serif"/>
          <w:b w:val="false"/>
          <w:color w:val="00000A"/>
          <w:sz w:val="20"/>
          <w:szCs w:val="20"/>
          <w:lang w:eastAsia="en-US"/>
        </w:rPr>
        <w:t xml:space="preserve"> которой определя</w:t>
      </w:r>
      <w:r>
        <w:rPr>
          <w:rFonts w:ascii="Liberation Serif" w:hAnsi="Liberation Serif"/>
          <w:b w:val="false"/>
          <w:color w:val="00000A"/>
          <w:sz w:val="20"/>
          <w:szCs w:val="20"/>
          <w:lang w:val="ru-RU" w:eastAsia="en-US"/>
        </w:rPr>
        <w:t>ю</w:t>
      </w:r>
      <w:r>
        <w:rPr>
          <w:rFonts w:ascii="Liberation Serif" w:hAnsi="Liberation Serif"/>
          <w:b w:val="false"/>
          <w:color w:val="00000A"/>
          <w:sz w:val="20"/>
          <w:szCs w:val="20"/>
          <w:lang w:eastAsia="en-US"/>
        </w:rPr>
        <w:t xml:space="preserve">тся </w:t>
      </w:r>
      <w:r>
        <w:rPr>
          <w:rFonts w:ascii="Liberation Serif" w:hAnsi="Liberation Serif"/>
          <w:b w:val="false"/>
          <w:color w:val="00000A"/>
          <w:sz w:val="20"/>
          <w:szCs w:val="20"/>
          <w:lang w:val="ru-RU" w:eastAsia="en-US"/>
        </w:rPr>
        <w:t xml:space="preserve">Заявкой Покупателя в соответствии со </w:t>
      </w:r>
      <w:r>
        <w:rPr>
          <w:rFonts w:ascii="Liberation Serif" w:hAnsi="Liberation Serif"/>
          <w:b w:val="false"/>
          <w:color w:val="00000A"/>
          <w:sz w:val="20"/>
          <w:szCs w:val="20"/>
          <w:lang w:eastAsia="en-US"/>
        </w:rPr>
        <w:t>Спецификацией, являющейся приложением к Договору.</w:t>
      </w:r>
    </w:p>
    <w:p>
      <w:pPr>
        <w:pStyle w:val="Heading3"/>
        <w:keepNext w:val="false"/>
        <w:tabs>
          <w:tab w:val="clear" w:pos="708"/>
          <w:tab w:val="left" w:pos="0" w:leader="none"/>
        </w:tabs>
        <w:overflowPunct w:val="false"/>
        <w:spacing w:before="0" w:after="0"/>
        <w:ind w:firstLine="709" w:left="0" w:right="0"/>
        <w:jc w:val="both"/>
        <w:textAlignment w:val="baseline"/>
        <w:rPr/>
      </w:pPr>
      <w:r>
        <w:rPr>
          <w:rFonts w:ascii="Liberation Serif" w:hAnsi="Liberation Serif"/>
          <w:color w:val="00000A"/>
          <w:sz w:val="20"/>
          <w:szCs w:val="20"/>
          <w:lang w:val="ru-RU" w:eastAsia="en-US"/>
        </w:rPr>
        <w:t>«Применимое право»</w:t>
      </w:r>
      <w:r>
        <w:rPr>
          <w:rFonts w:ascii="Liberation Serif" w:hAnsi="Liberation Serif"/>
          <w:b w:val="false"/>
          <w:color w:val="00000A"/>
          <w:sz w:val="20"/>
          <w:szCs w:val="20"/>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Товару.</w:t>
      </w:r>
    </w:p>
    <w:p>
      <w:pPr>
        <w:pStyle w:val="Normal"/>
        <w:ind w:firstLine="709" w:left="0" w:right="0"/>
        <w:jc w:val="both"/>
        <w:rPr/>
      </w:pPr>
      <w:r>
        <w:rPr>
          <w:rFonts w:ascii="Liberation Serif" w:hAnsi="Liberation Serif"/>
          <w:b/>
          <w:color w:val="00000A"/>
          <w:sz w:val="20"/>
          <w:szCs w:val="20"/>
          <w:lang w:eastAsia="en-US"/>
        </w:rPr>
        <w:t>«Рабочий день»</w:t>
      </w:r>
      <w:r>
        <w:rPr>
          <w:rFonts w:ascii="Liberation Serif" w:hAnsi="Liberation Serif"/>
          <w:color w:val="00000A"/>
          <w:sz w:val="20"/>
          <w:szCs w:val="20"/>
          <w:lang w:eastAsia="en-US"/>
        </w:rPr>
        <w:t xml:space="preserve"> – день, который в соответствии с Применимым правом, является рабочим днем в Российской Федерации.</w:t>
      </w:r>
    </w:p>
    <w:p>
      <w:pPr>
        <w:pStyle w:val="Heading3"/>
        <w:keepNext w:val="false"/>
        <w:tabs>
          <w:tab w:val="clear" w:pos="708"/>
          <w:tab w:val="left" w:pos="0" w:leader="none"/>
        </w:tabs>
        <w:overflowPunct w:val="false"/>
        <w:spacing w:before="0" w:after="0"/>
        <w:ind w:firstLine="709" w:left="0" w:right="0"/>
        <w:jc w:val="both"/>
        <w:textAlignment w:val="baseline"/>
        <w:rPr/>
      </w:pPr>
      <w:r>
        <w:rPr>
          <w:rFonts w:ascii="Liberation Serif" w:hAnsi="Liberation Serif"/>
          <w:b/>
          <w:bCs/>
          <w:color w:val="00000A"/>
          <w:sz w:val="20"/>
          <w:szCs w:val="20"/>
          <w:lang w:val="ru-RU" w:eastAsia="en-US"/>
        </w:rPr>
        <w:t>«Цена Договора»</w:t>
      </w:r>
      <w:r>
        <w:rPr>
          <w:rFonts w:ascii="Liberation Serif" w:hAnsi="Liberation Serif"/>
          <w:b w:val="false"/>
          <w:bCs/>
          <w:color w:val="00000A"/>
          <w:sz w:val="20"/>
          <w:szCs w:val="20"/>
          <w:lang w:val="ru-RU" w:eastAsia="en-US"/>
        </w:rPr>
        <w:t xml:space="preserve"> – определяемая в соответствии с разделом 2 Договора сумма, которую Покупатель обязуется уплатить Поставщику в порядке и на условиях, установленных Договором, включающая компенсацию всех издержек Поставщика и причитающееся ему вознаграждение, а также инфляционные риски на весь период действия Договора. </w:t>
      </w:r>
    </w:p>
    <w:p>
      <w:pPr>
        <w:pStyle w:val="Normal"/>
        <w:numPr>
          <w:ilvl w:val="0"/>
          <w:numId w:val="2"/>
        </w:numPr>
        <w:tabs>
          <w:tab w:val="clear" w:pos="708"/>
          <w:tab w:val="left" w:pos="284" w:leader="none"/>
        </w:tabs>
        <w:spacing w:before="0" w:after="0"/>
        <w:ind w:firstLine="850" w:left="0" w:right="0"/>
        <w:jc w:val="center"/>
        <w:rPr/>
      </w:pPr>
      <w:r>
        <w:rPr>
          <w:b/>
          <w:bCs/>
          <w:color w:val="00000A"/>
          <w:sz w:val="20"/>
          <w:szCs w:val="20"/>
        </w:rPr>
        <w:t>Предмет Договора</w:t>
      </w:r>
    </w:p>
    <w:p>
      <w:pPr>
        <w:pStyle w:val="Normal"/>
        <w:numPr>
          <w:ilvl w:val="1"/>
          <w:numId w:val="2"/>
        </w:numPr>
        <w:tabs>
          <w:tab w:val="clear" w:pos="708"/>
          <w:tab w:val="left" w:pos="1125" w:leader="none"/>
          <w:tab w:val="left" w:pos="1380" w:leader="none"/>
        </w:tabs>
        <w:spacing w:before="0" w:after="0"/>
        <w:ind w:firstLine="850" w:left="0" w:right="0"/>
        <w:jc w:val="both"/>
        <w:rPr/>
      </w:pPr>
      <w:r>
        <w:rPr>
          <w:bCs/>
          <w:color w:val="00000A"/>
          <w:sz w:val="20"/>
          <w:szCs w:val="20"/>
        </w:rPr>
        <w:t>Поставщик обязуется в порядке и сроки, установленные Договором, передать в собственность Покупателю</w:t>
      </w:r>
      <w:r>
        <w:rPr>
          <w:rFonts w:eastAsia="Calibri"/>
          <w:bCs/>
          <w:color w:val="00000A"/>
          <w:sz w:val="20"/>
          <w:szCs w:val="20"/>
          <w:lang w:eastAsia="en-US"/>
        </w:rPr>
        <w:t xml:space="preserve"> </w:t>
      </w:r>
      <w:r>
        <w:rPr>
          <w:rFonts w:eastAsia="Calibri"/>
          <w:bCs/>
          <w:i/>
          <w:color w:val="00000A"/>
          <w:sz w:val="20"/>
          <w:szCs w:val="20"/>
          <w:lang w:eastAsia="en-US"/>
        </w:rPr>
        <w:t>товар</w:t>
      </w:r>
      <w:r>
        <w:rPr>
          <w:bCs/>
          <w:color w:val="00000A"/>
          <w:sz w:val="20"/>
          <w:szCs w:val="20"/>
        </w:rPr>
        <w:t xml:space="preserve"> (далее – «Товар») в соответствии со Спецификацией (Приложение №1 к Договору), а Покупатель обязуется принять Товар и уплатить Цену Договора.</w:t>
      </w:r>
    </w:p>
    <w:p>
      <w:pPr>
        <w:pStyle w:val="Normal"/>
        <w:numPr>
          <w:ilvl w:val="1"/>
          <w:numId w:val="2"/>
        </w:numPr>
        <w:tabs>
          <w:tab w:val="clear" w:pos="708"/>
          <w:tab w:val="left" w:pos="1125" w:leader="none"/>
          <w:tab w:val="left" w:pos="1380" w:leader="none"/>
        </w:tabs>
        <w:spacing w:before="0" w:after="0"/>
        <w:ind w:firstLine="850" w:left="0" w:right="0"/>
        <w:jc w:val="both"/>
        <w:rPr/>
      </w:pPr>
      <w:r>
        <w:rPr>
          <w:color w:val="00000A"/>
          <w:sz w:val="20"/>
          <w:szCs w:val="20"/>
        </w:rPr>
        <w:t xml:space="preserve">Наименование, ассортимент и количество Товара, а также сроки и место его поставки указываются в Спецификации </w:t>
      </w:r>
      <w:r>
        <w:rPr>
          <w:bCs/>
          <w:color w:val="00000A"/>
          <w:sz w:val="20"/>
          <w:szCs w:val="20"/>
        </w:rPr>
        <w:t>(Приложение №1 к Договору)</w:t>
      </w:r>
      <w:r>
        <w:rPr>
          <w:color w:val="00000A"/>
          <w:sz w:val="20"/>
          <w:szCs w:val="20"/>
        </w:rPr>
        <w:t>.</w:t>
      </w:r>
    </w:p>
    <w:p>
      <w:pPr>
        <w:pStyle w:val="Normal"/>
        <w:numPr>
          <w:ilvl w:val="1"/>
          <w:numId w:val="2"/>
        </w:numPr>
        <w:tabs>
          <w:tab w:val="clear" w:pos="708"/>
          <w:tab w:val="left" w:pos="1125" w:leader="none"/>
          <w:tab w:val="left" w:pos="1380" w:leader="none"/>
        </w:tabs>
        <w:spacing w:before="0" w:after="0"/>
        <w:ind w:firstLine="850" w:left="0" w:right="0"/>
        <w:jc w:val="both"/>
        <w:rPr>
          <w:bCs/>
          <w:color w:val="00000A"/>
          <w:sz w:val="20"/>
          <w:szCs w:val="20"/>
        </w:rPr>
      </w:pPr>
      <w:r>
        <w:rPr>
          <w:bCs/>
          <w:color w:val="00000A"/>
          <w:sz w:val="20"/>
          <w:szCs w:val="20"/>
        </w:rPr>
        <w:t>Поставка Товара по Договору осуществляется для нужд для нужд СП Центральные электрические сети филиала АО ДРСК Хабаровские электрические сети.</w:t>
      </w:r>
    </w:p>
    <w:p>
      <w:pPr>
        <w:pStyle w:val="Normal"/>
        <w:numPr>
          <w:ilvl w:val="1"/>
          <w:numId w:val="2"/>
        </w:numPr>
        <w:tabs>
          <w:tab w:val="clear" w:pos="708"/>
          <w:tab w:val="left" w:pos="1125" w:leader="none"/>
          <w:tab w:val="left" w:pos="1380" w:leader="none"/>
        </w:tabs>
        <w:spacing w:before="0" w:after="0"/>
        <w:ind w:firstLine="850" w:left="0" w:right="0"/>
        <w:jc w:val="both"/>
        <w:rPr/>
      </w:pPr>
      <w:bookmarkStart w:id="0" w:name="__DdeLink__1293_1537471449"/>
      <w:r>
        <w:rPr>
          <w:bCs/>
          <w:color w:val="00000A"/>
          <w:sz w:val="20"/>
          <w:szCs w:val="20"/>
        </w:rPr>
        <w:t xml:space="preserve">Общий срок поставки Товара: </w:t>
      </w:r>
      <w:bookmarkEnd w:id="0"/>
      <w:r>
        <w:rPr>
          <w:b/>
          <w:bCs/>
          <w:color w:val="00000A"/>
          <w:sz w:val="20"/>
          <w:szCs w:val="20"/>
        </w:rPr>
        <w:t>до 31.12.2026 г. с возможностью досрочной поставки</w:t>
      </w:r>
    </w:p>
    <w:p>
      <w:pPr>
        <w:pStyle w:val="Normal"/>
        <w:numPr>
          <w:ilvl w:val="0"/>
          <w:numId w:val="2"/>
        </w:numPr>
        <w:tabs>
          <w:tab w:val="clear" w:pos="708"/>
          <w:tab w:val="left" w:pos="284" w:leader="none"/>
        </w:tabs>
        <w:spacing w:before="0" w:after="0"/>
        <w:ind w:firstLine="850" w:left="0" w:right="0"/>
        <w:jc w:val="center"/>
        <w:rPr/>
      </w:pPr>
      <w:r>
        <w:rPr>
          <w:b/>
          <w:bCs/>
          <w:color w:val="00000A"/>
          <w:sz w:val="20"/>
          <w:szCs w:val="20"/>
        </w:rPr>
        <w:t>Цена Договора и порядок расчетов</w:t>
      </w:r>
    </w:p>
    <w:p>
      <w:pPr>
        <w:pStyle w:val="Normal"/>
        <w:numPr>
          <w:ilvl w:val="1"/>
          <w:numId w:val="2"/>
        </w:numPr>
        <w:tabs>
          <w:tab w:val="clear" w:pos="708"/>
          <w:tab w:val="left" w:pos="1425" w:leader="none"/>
        </w:tabs>
        <w:spacing w:before="0" w:after="0"/>
        <w:ind w:firstLine="850" w:left="0" w:right="0"/>
        <w:jc w:val="both"/>
        <w:rPr/>
      </w:pPr>
      <w:r>
        <w:rPr>
          <w:b w:val="false"/>
          <w:bCs w:val="false"/>
          <w:color w:val="00000A"/>
          <w:sz w:val="20"/>
          <w:szCs w:val="20"/>
        </w:rPr>
        <w:t>Цена Договора является предельной и составляет  __________________</w:t>
      </w:r>
      <w:r>
        <w:rPr>
          <w:b/>
          <w:bCs/>
          <w:i/>
          <w:iCs/>
          <w:color w:val="00000A"/>
          <w:sz w:val="20"/>
          <w:szCs w:val="20"/>
        </w:rPr>
        <w:t xml:space="preserve"> руб.</w:t>
      </w:r>
      <w:r>
        <w:rPr>
          <w:b w:val="false"/>
          <w:bCs w:val="false"/>
          <w:color w:val="00000A"/>
          <w:sz w:val="20"/>
          <w:szCs w:val="20"/>
        </w:rPr>
        <w:t xml:space="preserve">  (____________________________), в том числе исчисляемый по ставке НДС, установленной ст. 164 Налогового кодекса РФ.</w:t>
      </w:r>
    </w:p>
    <w:p>
      <w:pPr>
        <w:pStyle w:val="Normal"/>
        <w:numPr>
          <w:ilvl w:val="1"/>
          <w:numId w:val="2"/>
        </w:numPr>
        <w:tabs>
          <w:tab w:val="clear" w:pos="708"/>
          <w:tab w:val="left" w:pos="1425" w:leader="none"/>
        </w:tabs>
        <w:spacing w:before="0" w:after="0"/>
        <w:ind w:firstLine="850" w:left="0" w:right="0"/>
        <w:jc w:val="both"/>
        <w:rPr>
          <w:bCs/>
          <w:color w:val="00000A"/>
          <w:sz w:val="20"/>
          <w:szCs w:val="20"/>
        </w:rPr>
      </w:pPr>
      <w:r>
        <w:rPr>
          <w:bCs/>
          <w:color w:val="00000A"/>
          <w:sz w:val="20"/>
          <w:szCs w:val="20"/>
        </w:rPr>
        <w:t xml:space="preserve">Цена за единицу Товара определяется в соответствии со Спецификациями (Приложение №1 к Договору) и является фиксированной в течение всего срока действия Договора. </w:t>
      </w:r>
    </w:p>
    <w:p>
      <w:pPr>
        <w:pStyle w:val="Normal"/>
        <w:numPr>
          <w:ilvl w:val="1"/>
          <w:numId w:val="2"/>
        </w:numPr>
        <w:tabs>
          <w:tab w:val="clear" w:pos="708"/>
          <w:tab w:val="left" w:pos="1425" w:leader="none"/>
        </w:tabs>
        <w:spacing w:before="0" w:after="0"/>
        <w:ind w:firstLine="850" w:left="0" w:right="0"/>
        <w:jc w:val="both"/>
        <w:rPr>
          <w:bCs/>
          <w:color w:val="00000A"/>
          <w:sz w:val="20"/>
          <w:szCs w:val="20"/>
        </w:rPr>
      </w:pPr>
      <w:r>
        <w:rPr>
          <w:bCs/>
          <w:color w:val="00000A"/>
          <w:sz w:val="20"/>
          <w:szCs w:val="20"/>
        </w:rPr>
        <w:t xml:space="preserve">Цена Договора включает в себя прибыль Поставщика, а также все расходы и затраты Поставщика на: </w:t>
      </w:r>
    </w:p>
    <w:p>
      <w:pPr>
        <w:pStyle w:val="Normal"/>
        <w:numPr>
          <w:ilvl w:val="2"/>
          <w:numId w:val="2"/>
        </w:numPr>
        <w:tabs>
          <w:tab w:val="clear" w:pos="708"/>
          <w:tab w:val="left" w:pos="1425" w:leader="none"/>
        </w:tabs>
        <w:spacing w:before="0" w:after="0"/>
        <w:ind w:firstLine="850" w:left="0" w:right="0"/>
        <w:jc w:val="both"/>
        <w:rPr>
          <w:bCs/>
          <w:color w:val="00000A"/>
          <w:sz w:val="20"/>
          <w:szCs w:val="20"/>
        </w:rPr>
      </w:pPr>
      <w:r>
        <w:rPr>
          <w:bCs/>
          <w:color w:val="00000A"/>
          <w:sz w:val="20"/>
          <w:szCs w:val="20"/>
        </w:rPr>
        <w:t>Производство и/или приобретение Товара;</w:t>
      </w:r>
    </w:p>
    <w:p>
      <w:pPr>
        <w:pStyle w:val="Normal"/>
        <w:numPr>
          <w:ilvl w:val="2"/>
          <w:numId w:val="2"/>
        </w:numPr>
        <w:tabs>
          <w:tab w:val="clear" w:pos="708"/>
          <w:tab w:val="left" w:pos="1425" w:leader="none"/>
        </w:tabs>
        <w:spacing w:before="0" w:after="0"/>
        <w:ind w:firstLine="850" w:left="0" w:right="0"/>
        <w:jc w:val="both"/>
        <w:rPr>
          <w:bCs/>
          <w:color w:val="00000A"/>
          <w:sz w:val="20"/>
          <w:szCs w:val="20"/>
        </w:rPr>
      </w:pPr>
      <w:r>
        <w:rPr>
          <w:bCs/>
          <w:color w:val="00000A"/>
          <w:sz w:val="20"/>
          <w:szCs w:val="20"/>
        </w:rPr>
        <w:t>Транспортировку Товара до места поставки, погрузку, разгрузку, перемещение по территории Покупателя, стоимость тары и упаковки, лицензий, необходимых для использования Товара (если применимо);</w:t>
      </w:r>
    </w:p>
    <w:p>
      <w:pPr>
        <w:pStyle w:val="Normal"/>
        <w:numPr>
          <w:ilvl w:val="2"/>
          <w:numId w:val="2"/>
        </w:numPr>
        <w:tabs>
          <w:tab w:val="clear" w:pos="708"/>
          <w:tab w:val="left" w:pos="1425" w:leader="none"/>
        </w:tabs>
        <w:spacing w:before="0" w:after="0"/>
        <w:ind w:firstLine="850" w:left="0" w:right="0"/>
        <w:jc w:val="both"/>
        <w:rPr>
          <w:bCs/>
          <w:color w:val="00000A"/>
          <w:sz w:val="20"/>
          <w:szCs w:val="20"/>
        </w:rPr>
      </w:pPr>
      <w:r>
        <w:rPr>
          <w:bCs/>
          <w:color w:val="00000A"/>
          <w:sz w:val="20"/>
          <w:szCs w:val="20"/>
        </w:rPr>
        <w:t>Подлежащие уплате налоги, сборы и пошлины (в том числе по таможенному оформлению Товара, если применимо);</w:t>
      </w:r>
    </w:p>
    <w:p>
      <w:pPr>
        <w:pStyle w:val="Normal"/>
        <w:numPr>
          <w:ilvl w:val="2"/>
          <w:numId w:val="2"/>
        </w:numPr>
        <w:tabs>
          <w:tab w:val="clear" w:pos="708"/>
          <w:tab w:val="left" w:pos="1425" w:leader="none"/>
        </w:tabs>
        <w:spacing w:before="0" w:after="0"/>
        <w:ind w:firstLine="850" w:left="0" w:right="0"/>
        <w:jc w:val="both"/>
        <w:rPr>
          <w:bCs/>
          <w:color w:val="00000A"/>
          <w:sz w:val="20"/>
          <w:szCs w:val="20"/>
        </w:rPr>
      </w:pPr>
      <w:r>
        <w:rPr>
          <w:bCs/>
          <w:color w:val="00000A"/>
          <w:sz w:val="20"/>
          <w:szCs w:val="20"/>
        </w:rPr>
        <w:t xml:space="preserve">Заработную плату, накладные и командировочные расходы, перемещение персонала Поставщика; </w:t>
      </w:r>
    </w:p>
    <w:p>
      <w:pPr>
        <w:pStyle w:val="Normal"/>
        <w:numPr>
          <w:ilvl w:val="2"/>
          <w:numId w:val="2"/>
        </w:numPr>
        <w:tabs>
          <w:tab w:val="clear" w:pos="708"/>
          <w:tab w:val="left" w:pos="1425" w:leader="none"/>
        </w:tabs>
        <w:spacing w:before="0" w:after="0"/>
        <w:ind w:firstLine="850" w:left="0" w:right="0"/>
        <w:jc w:val="both"/>
        <w:rPr>
          <w:bCs/>
          <w:color w:val="00000A"/>
          <w:sz w:val="20"/>
          <w:szCs w:val="20"/>
        </w:rPr>
      </w:pPr>
      <w:r>
        <w:rPr>
          <w:bCs/>
          <w:color w:val="00000A"/>
          <w:sz w:val="20"/>
          <w:szCs w:val="20"/>
        </w:rPr>
        <w:t xml:space="preserve">Все прочие затраты и расходы Поставщика, связанные с поставкой Товара и исполнением иных обязательств по Договору, а также все непредвиденные расходы, которые могут возникнуть у Поставщика в течение срока действия Договора. </w:t>
      </w:r>
    </w:p>
    <w:p>
      <w:pPr>
        <w:pStyle w:val="Normal"/>
        <w:numPr>
          <w:ilvl w:val="1"/>
          <w:numId w:val="2"/>
        </w:numPr>
        <w:tabs>
          <w:tab w:val="clear" w:pos="708"/>
          <w:tab w:val="left" w:pos="1425" w:leader="none"/>
        </w:tabs>
        <w:spacing w:before="0" w:after="0"/>
        <w:ind w:firstLine="850" w:left="0" w:right="0"/>
        <w:jc w:val="both"/>
        <w:rPr>
          <w:color w:val="00000A"/>
          <w:sz w:val="20"/>
          <w:szCs w:val="20"/>
        </w:rPr>
      </w:pPr>
      <w:r>
        <w:rPr>
          <w:color w:val="00000A"/>
          <w:sz w:val="20"/>
          <w:szCs w:val="20"/>
        </w:rPr>
        <w:t>Изменение стоимости Товара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numPr>
          <w:ilvl w:val="1"/>
          <w:numId w:val="2"/>
        </w:numPr>
        <w:tabs>
          <w:tab w:val="clear" w:pos="708"/>
          <w:tab w:val="left" w:pos="1425" w:leader="none"/>
        </w:tabs>
        <w:spacing w:before="0" w:after="0"/>
        <w:ind w:firstLine="850" w:left="0" w:right="0"/>
        <w:jc w:val="both"/>
        <w:rPr>
          <w:color w:val="00000A"/>
          <w:sz w:val="20"/>
          <w:szCs w:val="20"/>
        </w:rPr>
      </w:pPr>
      <w:r>
        <w:rPr>
          <w:color w:val="00000A"/>
          <w:sz w:val="20"/>
          <w:szCs w:val="20"/>
        </w:rPr>
        <w:t>Оплата по Договору осуществляется Покупателем в течение  7 (семи) рабочих дней с даты подписания Сторонами Накладная ТОРГ-12/УПД на основании счета, выставленного Поставщиком, и с учетом пункта 2.6 Договора.</w:t>
      </w:r>
    </w:p>
    <w:p>
      <w:pPr>
        <w:pStyle w:val="ListParagraph"/>
        <w:widowControl/>
        <w:numPr>
          <w:ilvl w:val="1"/>
          <w:numId w:val="2"/>
        </w:numPr>
        <w:tabs>
          <w:tab w:val="clear" w:pos="708"/>
          <w:tab w:val="left" w:pos="1425" w:leader="none"/>
        </w:tabs>
        <w:spacing w:before="0" w:after="0"/>
        <w:ind w:firstLine="850" w:left="0" w:right="0"/>
        <w:contextualSpacing/>
        <w:jc w:val="both"/>
        <w:rPr>
          <w:color w:val="00000A"/>
          <w:sz w:val="20"/>
          <w:szCs w:val="20"/>
        </w:rPr>
      </w:pPr>
      <w:r>
        <w:rPr>
          <w:color w:val="00000A"/>
          <w:sz w:val="20"/>
          <w:szCs w:val="20"/>
        </w:rPr>
        <w:t>В случае выставления Поставщиком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Покупателем не принимается и подлежит замене Поставщиком независимо от его фактического вручения Покупателю. В случае выставления Поставщиком счета позднее 10 (десяти)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Покупателем.</w:t>
      </w:r>
    </w:p>
    <w:p>
      <w:pPr>
        <w:pStyle w:val="ListParagraph"/>
        <w:widowControl/>
        <w:numPr>
          <w:ilvl w:val="1"/>
          <w:numId w:val="2"/>
        </w:numPr>
        <w:tabs>
          <w:tab w:val="clear" w:pos="708"/>
          <w:tab w:val="left" w:pos="1425" w:leader="none"/>
        </w:tabs>
        <w:spacing w:before="0" w:after="0"/>
        <w:ind w:firstLine="850" w:left="0" w:right="0"/>
        <w:contextualSpacing/>
        <w:jc w:val="both"/>
        <w:rPr>
          <w:bCs/>
          <w:color w:val="00000A"/>
          <w:sz w:val="20"/>
          <w:szCs w:val="20"/>
        </w:rPr>
      </w:pPr>
      <w:r>
        <w:rPr>
          <w:bCs/>
          <w:color w:val="00000A"/>
          <w:sz w:val="20"/>
          <w:szCs w:val="20"/>
        </w:rPr>
        <w:t>Расчеты по Договору осуществляются в валюте Российской Федерации. Оплата производится Покупателем путем перечисления денежных средств на расчетный счет Поставщика, указанный в Договоре. Обязательство Покупателя по осуществлению платежа считается исполненным с даты списания денежных средств с расчетного счета Покупателя.</w:t>
      </w:r>
    </w:p>
    <w:p>
      <w:pPr>
        <w:pStyle w:val="Normal"/>
        <w:numPr>
          <w:ilvl w:val="1"/>
          <w:numId w:val="2"/>
        </w:numPr>
        <w:tabs>
          <w:tab w:val="clear" w:pos="708"/>
          <w:tab w:val="left" w:pos="1425" w:leader="none"/>
        </w:tabs>
        <w:spacing w:before="0" w:after="0"/>
        <w:ind w:firstLine="850" w:left="0" w:right="0"/>
        <w:jc w:val="both"/>
        <w:rPr>
          <w:color w:val="00000A"/>
          <w:sz w:val="20"/>
          <w:szCs w:val="20"/>
        </w:rPr>
      </w:pPr>
      <w:r>
        <w:rPr>
          <w:color w:val="00000A"/>
          <w:sz w:val="20"/>
          <w:szCs w:val="20"/>
        </w:rPr>
        <w:t>Индексация Цены Договора не допускается.</w:t>
      </w:r>
    </w:p>
    <w:p>
      <w:pPr>
        <w:pStyle w:val="Normal"/>
        <w:numPr>
          <w:ilvl w:val="1"/>
          <w:numId w:val="2"/>
        </w:numPr>
        <w:tabs>
          <w:tab w:val="clear" w:pos="708"/>
          <w:tab w:val="left" w:pos="1425" w:leader="none"/>
        </w:tabs>
        <w:spacing w:before="0" w:after="0"/>
        <w:ind w:firstLine="850" w:left="0" w:right="0"/>
        <w:jc w:val="both"/>
        <w:rPr/>
      </w:pPr>
      <w:r>
        <w:rPr>
          <w:color w:val="00000A"/>
          <w:sz w:val="20"/>
          <w:szCs w:val="20"/>
        </w:rPr>
        <w:t>Поставщик обязан представить Покупателю счета</w:t>
      </w:r>
      <w:r>
        <w:rPr>
          <w:bCs/>
          <w:color w:val="00000A"/>
          <w:sz w:val="20"/>
          <w:szCs w:val="20"/>
        </w:rPr>
        <w:t>-</w:t>
      </w:r>
      <w:r>
        <w:rPr>
          <w:color w:val="00000A"/>
          <w:sz w:val="20"/>
          <w:szCs w:val="20"/>
        </w:rPr>
        <w:t>фактуры, выставленные в сроки и оформленные в порядке, установленном законодательством Российской Федерации. В случае нарушения Поставщиком данного требования, он обязан произвести замену счета</w:t>
      </w:r>
      <w:r>
        <w:rPr>
          <w:bCs/>
          <w:color w:val="00000A"/>
          <w:sz w:val="20"/>
          <w:szCs w:val="20"/>
        </w:rPr>
        <w:t>-</w:t>
      </w:r>
      <w:r>
        <w:rPr>
          <w:color w:val="00000A"/>
          <w:sz w:val="20"/>
          <w:szCs w:val="20"/>
        </w:rPr>
        <w:t>фактуры в течение 3 (трех) рабочих дней с даты получения соответствующего письменного требования Покупателя.</w:t>
      </w:r>
    </w:p>
    <w:p>
      <w:pPr>
        <w:pStyle w:val="Normal"/>
        <w:widowControl w:val="false"/>
        <w:numPr>
          <w:ilvl w:val="1"/>
          <w:numId w:val="2"/>
        </w:numPr>
        <w:tabs>
          <w:tab w:val="clear" w:pos="708"/>
          <w:tab w:val="left" w:pos="1425" w:leader="none"/>
        </w:tabs>
        <w:bidi w:val="0"/>
        <w:spacing w:before="0" w:after="0"/>
        <w:ind w:firstLine="850" w:left="0" w:right="0"/>
        <w:jc w:val="both"/>
        <w:rPr>
          <w:color w:val="00000A"/>
          <w:sz w:val="20"/>
          <w:szCs w:val="20"/>
        </w:rPr>
      </w:pPr>
      <w:r>
        <w:rPr>
          <w:color w:val="00000A"/>
          <w:sz w:val="20"/>
          <w:szCs w:val="20"/>
        </w:rPr>
        <w:t>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Поставщика перед Покупателем, в том числе (включая, но не ограничиваясь), суммы неотработанного аванса по Договору, суммы неустоек (пени, штрафы) за неисполнение и/или ненадлежащее исполнение обязательств по Договору, стоимость работ по устранению недостатков поставленного Подрядчиком товара.</w:t>
      </w:r>
    </w:p>
    <w:p>
      <w:pPr>
        <w:pStyle w:val="Normal"/>
        <w:numPr>
          <w:ilvl w:val="0"/>
          <w:numId w:val="2"/>
        </w:numPr>
        <w:tabs>
          <w:tab w:val="clear" w:pos="708"/>
          <w:tab w:val="left" w:pos="284" w:leader="none"/>
        </w:tabs>
        <w:spacing w:before="0" w:after="0"/>
        <w:ind w:firstLine="850" w:left="0" w:right="0"/>
        <w:jc w:val="center"/>
        <w:rPr/>
      </w:pPr>
      <w:r>
        <w:rPr>
          <w:b/>
          <w:bCs/>
          <w:color w:val="00000A"/>
          <w:sz w:val="20"/>
          <w:szCs w:val="20"/>
        </w:rPr>
        <w:t>Порядок поставки и приемки Товара</w:t>
      </w:r>
    </w:p>
    <w:p>
      <w:pPr>
        <w:pStyle w:val="ListParagraph"/>
        <w:numPr>
          <w:ilvl w:val="1"/>
          <w:numId w:val="2"/>
        </w:numPr>
        <w:tabs>
          <w:tab w:val="clear" w:pos="708"/>
          <w:tab w:val="left" w:pos="1380" w:leader="none"/>
        </w:tabs>
        <w:spacing w:before="0" w:after="0"/>
        <w:ind w:firstLine="850" w:left="0" w:right="0"/>
        <w:contextualSpacing/>
        <w:jc w:val="both"/>
        <w:rPr/>
      </w:pPr>
      <w:r>
        <w:rPr>
          <w:bCs/>
          <w:color w:val="00000A"/>
          <w:sz w:val="20"/>
          <w:szCs w:val="20"/>
        </w:rPr>
        <w:t>Поставка Товара осуществляется согласно спецификациям (Приложение №1 к Договору) настоящего Договора.</w:t>
      </w:r>
    </w:p>
    <w:p>
      <w:pPr>
        <w:pStyle w:val="ListParagraph"/>
        <w:widowControl/>
        <w:numPr>
          <w:ilvl w:val="1"/>
          <w:numId w:val="2"/>
        </w:numPr>
        <w:tabs>
          <w:tab w:val="clear" w:pos="708"/>
          <w:tab w:val="left" w:pos="1380" w:leader="none"/>
        </w:tabs>
        <w:spacing w:before="0" w:after="0"/>
        <w:ind w:firstLine="850" w:left="0" w:right="0"/>
        <w:contextualSpacing/>
        <w:jc w:val="both"/>
        <w:rPr>
          <w:bCs/>
          <w:color w:val="00000A"/>
          <w:sz w:val="20"/>
          <w:szCs w:val="20"/>
        </w:rPr>
      </w:pPr>
      <w:r>
        <w:rPr>
          <w:bCs/>
          <w:color w:val="00000A"/>
          <w:sz w:val="20"/>
          <w:szCs w:val="20"/>
        </w:rPr>
        <w:t>Качество, комплектность, количество и ассортимент поставляемого по Договору Товара должны соответствовать с спецификациям (Приложение №1 к Договору), требованиям Договора, а также Применимого права.</w:t>
      </w:r>
    </w:p>
    <w:p>
      <w:pPr>
        <w:pStyle w:val="ListParagraph"/>
        <w:widowControl/>
        <w:numPr>
          <w:ilvl w:val="1"/>
          <w:numId w:val="2"/>
        </w:numPr>
        <w:tabs>
          <w:tab w:val="clear" w:pos="708"/>
          <w:tab w:val="left" w:pos="1380" w:leader="none"/>
        </w:tabs>
        <w:spacing w:before="0" w:after="0"/>
        <w:ind w:firstLine="850" w:left="0" w:right="0"/>
        <w:contextualSpacing/>
        <w:jc w:val="both"/>
        <w:rPr>
          <w:bCs/>
          <w:color w:val="00000A"/>
          <w:sz w:val="20"/>
          <w:szCs w:val="20"/>
        </w:rPr>
      </w:pPr>
      <w:r>
        <w:rPr>
          <w:bCs/>
          <w:color w:val="00000A"/>
          <w:sz w:val="20"/>
          <w:szCs w:val="20"/>
        </w:rPr>
        <w:t>Поставляемый Товар должен быть новым, не бывшим в употреблении, пригодным для использования по своему назначению. Поставщик гарантирует, что Товар принадлежит ему на законном основании, в споре, залоге или под арестом не состоит, и не обременен правами третьих лиц.</w:t>
      </w:r>
    </w:p>
    <w:p>
      <w:pPr>
        <w:pStyle w:val="ListParagraph"/>
        <w:widowControl/>
        <w:numPr>
          <w:ilvl w:val="1"/>
          <w:numId w:val="2"/>
        </w:numPr>
        <w:tabs>
          <w:tab w:val="clear" w:pos="708"/>
          <w:tab w:val="left" w:pos="1380" w:leader="none"/>
        </w:tabs>
        <w:spacing w:before="0" w:after="0"/>
        <w:ind w:firstLine="850" w:left="0" w:right="0"/>
        <w:contextualSpacing/>
        <w:jc w:val="both"/>
        <w:rPr>
          <w:bCs/>
          <w:color w:val="00000A"/>
          <w:sz w:val="20"/>
          <w:szCs w:val="20"/>
        </w:rPr>
      </w:pPr>
      <w:r>
        <w:rPr>
          <w:bCs/>
          <w:color w:val="00000A"/>
          <w:sz w:val="20"/>
          <w:szCs w:val="20"/>
        </w:rPr>
        <w:t xml:space="preserve">Одновременно с передачей Товара Поставщик обязан передать Покупателю оригиналы следующих относящихся к Товару документов: </w:t>
      </w:r>
    </w:p>
    <w:p>
      <w:pPr>
        <w:pStyle w:val="Normal"/>
        <w:numPr>
          <w:ilvl w:val="0"/>
          <w:numId w:val="4"/>
        </w:numPr>
        <w:tabs>
          <w:tab w:val="clear" w:pos="708"/>
          <w:tab w:val="left" w:pos="1380" w:leader="none"/>
        </w:tabs>
        <w:spacing w:before="0" w:after="0"/>
        <w:ind w:firstLine="850" w:left="0" w:right="0"/>
        <w:jc w:val="both"/>
        <w:rPr>
          <w:color w:val="00000A"/>
          <w:sz w:val="20"/>
          <w:szCs w:val="20"/>
        </w:rPr>
      </w:pPr>
      <w:r>
        <w:rPr>
          <w:color w:val="00000A"/>
          <w:sz w:val="20"/>
          <w:szCs w:val="20"/>
        </w:rPr>
        <w:t>сертификат качества;</w:t>
      </w:r>
    </w:p>
    <w:p>
      <w:pPr>
        <w:pStyle w:val="Normal"/>
        <w:numPr>
          <w:ilvl w:val="0"/>
          <w:numId w:val="4"/>
        </w:numPr>
        <w:tabs>
          <w:tab w:val="clear" w:pos="708"/>
          <w:tab w:val="left" w:pos="1380" w:leader="none"/>
        </w:tabs>
        <w:spacing w:before="0" w:after="0"/>
        <w:ind w:firstLine="850" w:left="0" w:right="0"/>
        <w:jc w:val="both"/>
        <w:rPr>
          <w:color w:val="00000A"/>
          <w:sz w:val="20"/>
          <w:szCs w:val="20"/>
        </w:rPr>
      </w:pPr>
      <w:r>
        <w:rPr>
          <w:color w:val="00000A"/>
          <w:sz w:val="20"/>
          <w:szCs w:val="20"/>
        </w:rPr>
        <w:t>технический паспорт на русском языке;</w:t>
      </w:r>
    </w:p>
    <w:p>
      <w:pPr>
        <w:pStyle w:val="Normal"/>
        <w:numPr>
          <w:ilvl w:val="0"/>
          <w:numId w:val="4"/>
        </w:numPr>
        <w:tabs>
          <w:tab w:val="clear" w:pos="708"/>
          <w:tab w:val="left" w:pos="1380" w:leader="none"/>
        </w:tabs>
        <w:spacing w:before="0" w:after="0"/>
        <w:ind w:firstLine="850" w:left="0" w:right="0"/>
        <w:jc w:val="both"/>
        <w:rPr>
          <w:color w:val="00000A"/>
          <w:sz w:val="20"/>
          <w:szCs w:val="20"/>
        </w:rPr>
      </w:pPr>
      <w:r>
        <w:rPr>
          <w:color w:val="00000A"/>
          <w:sz w:val="20"/>
          <w:szCs w:val="20"/>
        </w:rPr>
        <w:t>инструкция по эксплуатации на русском языке;</w:t>
      </w:r>
    </w:p>
    <w:p>
      <w:pPr>
        <w:pStyle w:val="Normal"/>
        <w:numPr>
          <w:ilvl w:val="0"/>
          <w:numId w:val="4"/>
        </w:numPr>
        <w:tabs>
          <w:tab w:val="clear" w:pos="708"/>
          <w:tab w:val="left" w:pos="1380" w:leader="none"/>
        </w:tabs>
        <w:spacing w:before="0" w:after="0"/>
        <w:ind w:firstLine="850" w:left="0" w:right="0"/>
        <w:jc w:val="both"/>
        <w:rPr>
          <w:color w:val="00000A"/>
          <w:sz w:val="20"/>
          <w:szCs w:val="20"/>
        </w:rPr>
      </w:pPr>
      <w:r>
        <w:rPr>
          <w:color w:val="00000A"/>
          <w:sz w:val="20"/>
          <w:szCs w:val="20"/>
        </w:rPr>
        <w:t>упаковочный лист;</w:t>
      </w:r>
    </w:p>
    <w:p>
      <w:pPr>
        <w:pStyle w:val="Normal"/>
        <w:numPr>
          <w:ilvl w:val="0"/>
          <w:numId w:val="3"/>
        </w:numPr>
        <w:tabs>
          <w:tab w:val="clear" w:pos="708"/>
          <w:tab w:val="left" w:pos="1380" w:leader="none"/>
        </w:tabs>
        <w:spacing w:before="0" w:after="0"/>
        <w:ind w:firstLine="850" w:left="0" w:right="0"/>
        <w:jc w:val="both"/>
        <w:rPr>
          <w:color w:val="00000A"/>
          <w:sz w:val="20"/>
          <w:szCs w:val="20"/>
        </w:rPr>
      </w:pPr>
      <w:r>
        <w:rPr>
          <w:color w:val="00000A"/>
          <w:sz w:val="20"/>
          <w:szCs w:val="20"/>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и т.п.) в зависимости от номенклатуры поставляемого Товара;</w:t>
      </w:r>
    </w:p>
    <w:p>
      <w:pPr>
        <w:pStyle w:val="Normal"/>
        <w:numPr>
          <w:ilvl w:val="0"/>
          <w:numId w:val="3"/>
        </w:numPr>
        <w:tabs>
          <w:tab w:val="clear" w:pos="708"/>
          <w:tab w:val="left" w:pos="1380" w:leader="none"/>
        </w:tabs>
        <w:spacing w:before="0" w:after="0"/>
        <w:ind w:firstLine="850" w:left="0" w:right="0"/>
        <w:jc w:val="both"/>
        <w:rPr>
          <w:color w:val="00000A"/>
          <w:sz w:val="20"/>
          <w:szCs w:val="20"/>
        </w:rPr>
      </w:pPr>
      <w:r>
        <w:rPr>
          <w:color w:val="00000A"/>
          <w:sz w:val="20"/>
          <w:szCs w:val="20"/>
        </w:rPr>
        <w:t>накладная ТОРГ-12/УПД.</w:t>
      </w:r>
    </w:p>
    <w:p>
      <w:pPr>
        <w:pStyle w:val="ListParagraph"/>
        <w:widowControl/>
        <w:numPr>
          <w:ilvl w:val="1"/>
          <w:numId w:val="2"/>
        </w:numPr>
        <w:tabs>
          <w:tab w:val="clear" w:pos="708"/>
          <w:tab w:val="left" w:pos="1380" w:leader="none"/>
        </w:tabs>
        <w:spacing w:before="0" w:after="0"/>
        <w:ind w:firstLine="850" w:left="0" w:right="0"/>
        <w:contextualSpacing/>
        <w:jc w:val="both"/>
        <w:rPr/>
      </w:pPr>
      <w:bookmarkStart w:id="1" w:name="_Ref361408474"/>
      <w:r>
        <w:rPr>
          <w:bCs/>
          <w:color w:val="00000A"/>
          <w:sz w:val="20"/>
          <w:szCs w:val="20"/>
        </w:rPr>
        <w:t>Товар должен отгружаться Поставщиком в таре и упаковке, обеспечивающих полную сохранность Товара от всякого рода повреждений и порчи, с учетом возможных перегрузок и длительного хранения.</w:t>
      </w:r>
      <w:bookmarkEnd w:id="1"/>
      <w:r>
        <w:rPr>
          <w:bCs/>
          <w:color w:val="00000A"/>
          <w:sz w:val="20"/>
          <w:szCs w:val="20"/>
        </w:rPr>
        <w:t xml:space="preserve"> Поставщик обязан сообщить Покупателю условия длительного хранения поставленного Товара (допускается определение условий хранения в сопроводительных документах). </w:t>
      </w:r>
    </w:p>
    <w:p>
      <w:pPr>
        <w:pStyle w:val="ListParagraph"/>
        <w:tabs>
          <w:tab w:val="clear" w:pos="708"/>
          <w:tab w:val="left" w:pos="1380" w:leader="none"/>
        </w:tabs>
        <w:spacing w:before="0" w:after="0"/>
        <w:ind w:firstLine="850" w:left="0" w:right="0"/>
        <w:contextualSpacing/>
        <w:jc w:val="both"/>
        <w:rPr/>
      </w:pPr>
      <w:r>
        <w:rPr>
          <w:color w:val="00000A"/>
          <w:sz w:val="20"/>
          <w:szCs w:val="20"/>
        </w:rPr>
        <w:t xml:space="preserve">Тара и упаковка Товара должны соответствовать требованиям Применимого права, предъявляемым к таре и упаковке соответствующего Товара. </w:t>
      </w:r>
      <w:r>
        <w:rPr>
          <w:bCs/>
          <w:color w:val="00000A"/>
          <w:sz w:val="20"/>
          <w:szCs w:val="20"/>
        </w:rPr>
        <w:t xml:space="preserve">Отдельные требования к упаковке и маркировке негабаритного Товара, а также любые другие специальные требования, помимо установленных в настоящем пункте Договора, указываются Сторонами в  спецификациях (Приложение №1 к Договору). </w:t>
      </w:r>
    </w:p>
    <w:p>
      <w:pPr>
        <w:pStyle w:val="ListParagraph"/>
        <w:tabs>
          <w:tab w:val="clear" w:pos="708"/>
          <w:tab w:val="left" w:pos="1380" w:leader="none"/>
        </w:tabs>
        <w:spacing w:before="0" w:after="0"/>
        <w:ind w:firstLine="850" w:left="0" w:right="0"/>
        <w:contextualSpacing/>
        <w:jc w:val="both"/>
        <w:rPr>
          <w:bCs/>
          <w:color w:val="00000A"/>
          <w:sz w:val="20"/>
          <w:szCs w:val="20"/>
        </w:rPr>
      </w:pPr>
      <w:r>
        <w:rPr>
          <w:bCs/>
          <w:color w:val="00000A"/>
          <w:sz w:val="20"/>
          <w:szCs w:val="20"/>
        </w:rPr>
        <w:t xml:space="preserve">Стоимость тары и упаковки включена в стоимость Товара. Тара и упаковка возврату не подлежат. </w:t>
      </w:r>
    </w:p>
    <w:p>
      <w:pPr>
        <w:pStyle w:val="ListParagraph"/>
        <w:widowControl/>
        <w:numPr>
          <w:ilvl w:val="1"/>
          <w:numId w:val="2"/>
        </w:numPr>
        <w:tabs>
          <w:tab w:val="clear" w:pos="708"/>
          <w:tab w:val="left" w:pos="1380" w:leader="none"/>
        </w:tabs>
        <w:spacing w:before="0" w:after="0"/>
        <w:ind w:firstLine="850" w:left="0" w:right="0"/>
        <w:contextualSpacing/>
        <w:jc w:val="both"/>
        <w:rPr/>
      </w:pPr>
      <w:r>
        <w:rPr>
          <w:color w:val="00000A"/>
          <w:sz w:val="20"/>
          <w:szCs w:val="20"/>
        </w:rPr>
        <w:t xml:space="preserve">Погрузка, доставка, разгрузка и перемещение Товара (в том числе по территории Покупателя) </w:t>
      </w:r>
      <w:r>
        <w:rPr>
          <w:bCs/>
          <w:color w:val="00000A"/>
          <w:sz w:val="20"/>
          <w:szCs w:val="20"/>
        </w:rPr>
        <w:t>осуществляется</w:t>
      </w:r>
      <w:r>
        <w:rPr>
          <w:color w:val="00000A"/>
          <w:sz w:val="20"/>
          <w:szCs w:val="20"/>
        </w:rPr>
        <w:t xml:space="preserve"> Поставщиком. Стоимость погрузки, доставки, разгрузки и перемещения Товара включена в Цену Договора.</w:t>
      </w:r>
    </w:p>
    <w:p>
      <w:pPr>
        <w:pStyle w:val="ListParagraph"/>
        <w:widowControl/>
        <w:numPr>
          <w:ilvl w:val="1"/>
          <w:numId w:val="2"/>
        </w:numPr>
        <w:tabs>
          <w:tab w:val="clear" w:pos="708"/>
          <w:tab w:val="left" w:pos="1380" w:leader="none"/>
        </w:tabs>
        <w:spacing w:before="0" w:after="0"/>
        <w:ind w:firstLine="850" w:left="0" w:right="0"/>
        <w:contextualSpacing/>
        <w:jc w:val="both"/>
        <w:rPr>
          <w:color w:val="00000A"/>
          <w:sz w:val="20"/>
          <w:szCs w:val="20"/>
        </w:rPr>
      </w:pPr>
      <w:r>
        <w:rPr>
          <w:color w:val="00000A"/>
          <w:sz w:val="20"/>
          <w:szCs w:val="20"/>
        </w:rPr>
        <w:t xml:space="preserve">Досрочная поставка Товара допускается только при условии получения Поставщиком письменного согласия Покупателя. </w:t>
      </w:r>
    </w:p>
    <w:p>
      <w:pPr>
        <w:pStyle w:val="ListParagraph"/>
        <w:widowControl/>
        <w:numPr>
          <w:ilvl w:val="1"/>
          <w:numId w:val="2"/>
        </w:numPr>
        <w:tabs>
          <w:tab w:val="clear" w:pos="708"/>
          <w:tab w:val="left" w:pos="1380" w:leader="none"/>
        </w:tabs>
        <w:spacing w:before="0" w:after="0"/>
        <w:ind w:firstLine="850" w:left="0" w:right="0"/>
        <w:contextualSpacing/>
        <w:jc w:val="both"/>
        <w:rPr/>
      </w:pPr>
      <w:bookmarkStart w:id="2" w:name="_Ref361396594"/>
      <w:r>
        <w:rPr>
          <w:color w:val="00000A"/>
          <w:sz w:val="20"/>
          <w:szCs w:val="20"/>
        </w:rPr>
        <w:t>Датой поставки Товара является дата подписания Сторонами Накладная ТОРГ-12/УПД.</w:t>
      </w:r>
      <w:bookmarkEnd w:id="2"/>
      <w:r>
        <w:rPr>
          <w:color w:val="00000A"/>
          <w:sz w:val="20"/>
          <w:szCs w:val="20"/>
        </w:rPr>
        <w:t xml:space="preserve"> </w:t>
      </w:r>
    </w:p>
    <w:p>
      <w:pPr>
        <w:pStyle w:val="ListParagraph"/>
        <w:widowControl/>
        <w:numPr>
          <w:ilvl w:val="1"/>
          <w:numId w:val="2"/>
        </w:numPr>
        <w:tabs>
          <w:tab w:val="clear" w:pos="708"/>
          <w:tab w:val="left" w:pos="1380" w:leader="none"/>
        </w:tabs>
        <w:spacing w:before="0" w:after="0"/>
        <w:ind w:firstLine="850" w:left="0" w:right="0"/>
        <w:contextualSpacing/>
        <w:jc w:val="both"/>
        <w:rPr>
          <w:color w:val="00000A"/>
          <w:sz w:val="20"/>
          <w:szCs w:val="20"/>
        </w:rPr>
      </w:pPr>
      <w:r>
        <w:rPr>
          <w:color w:val="00000A"/>
          <w:sz w:val="20"/>
          <w:szCs w:val="20"/>
        </w:rPr>
        <w:t xml:space="preserve">Приемка Товара по осуществляется Покупателем в дату поставки Товара. </w:t>
      </w:r>
    </w:p>
    <w:p>
      <w:pPr>
        <w:pStyle w:val="ListParagraph"/>
        <w:numPr>
          <w:ilvl w:val="1"/>
          <w:numId w:val="2"/>
        </w:numPr>
        <w:tabs>
          <w:tab w:val="clear" w:pos="708"/>
          <w:tab w:val="left" w:pos="1380" w:leader="none"/>
        </w:tabs>
        <w:spacing w:before="0" w:after="0"/>
        <w:ind w:firstLine="850" w:left="0" w:right="0"/>
        <w:contextualSpacing/>
        <w:jc w:val="both"/>
        <w:rPr/>
      </w:pPr>
      <w:r>
        <w:rPr>
          <w:color w:val="00000A"/>
          <w:sz w:val="20"/>
          <w:szCs w:val="20"/>
        </w:rPr>
        <w:t xml:space="preserve">Если при передаче Товара Покупателю будет обнаружено несоответствие Товара </w:t>
      </w:r>
      <w:r>
        <w:rPr>
          <w:bCs/>
          <w:color w:val="00000A"/>
          <w:sz w:val="20"/>
          <w:szCs w:val="20"/>
        </w:rPr>
        <w:t>спецификациям (Приложение №1 к Договору)</w:t>
      </w:r>
      <w:r>
        <w:rPr>
          <w:color w:val="00000A"/>
          <w:sz w:val="20"/>
          <w:szCs w:val="20"/>
        </w:rPr>
        <w:t>, Покупатель вправе отказаться от получения Товара, сделав соответствующую отметку в Накладная ТОРГ-12/УПД.</w:t>
      </w:r>
    </w:p>
    <w:p>
      <w:pPr>
        <w:pStyle w:val="ListParagraph"/>
        <w:numPr>
          <w:ilvl w:val="1"/>
          <w:numId w:val="2"/>
        </w:numPr>
        <w:tabs>
          <w:tab w:val="clear" w:pos="708"/>
          <w:tab w:val="left" w:pos="1380" w:leader="none"/>
        </w:tabs>
        <w:spacing w:before="0" w:after="0"/>
        <w:ind w:firstLine="850" w:left="0" w:right="0"/>
        <w:contextualSpacing/>
        <w:jc w:val="both"/>
        <w:rPr>
          <w:color w:val="00000A"/>
          <w:sz w:val="20"/>
          <w:szCs w:val="20"/>
        </w:rPr>
      </w:pPr>
      <w:r>
        <w:rPr>
          <w:color w:val="00000A"/>
          <w:sz w:val="20"/>
          <w:szCs w:val="20"/>
        </w:rPr>
        <w:t xml:space="preserve">В случае обнаружения внутри тары и упаковки недопоставки, некомплектности, недостатков, несоответствий и/или дефектов Товара, а также в случае отсутствия необходимых принадлежностей, относящихся к Товару, Стороны составляют Акт рекламации. В Акте рекламации Сторонами указываются, в том числе, сроки и способ устранения недостатков, несоответствий и/или дефектов Товара. </w:t>
      </w:r>
    </w:p>
    <w:p>
      <w:pPr>
        <w:pStyle w:val="Normal"/>
        <w:tabs>
          <w:tab w:val="clear" w:pos="708"/>
          <w:tab w:val="left" w:pos="1380" w:leader="none"/>
        </w:tabs>
        <w:spacing w:before="0" w:after="0"/>
        <w:ind w:firstLine="850" w:left="0" w:right="0"/>
        <w:jc w:val="both"/>
        <w:rPr>
          <w:color w:val="00000A"/>
          <w:sz w:val="20"/>
          <w:szCs w:val="20"/>
        </w:rPr>
      </w:pPr>
      <w:r>
        <w:rPr>
          <w:color w:val="00000A"/>
          <w:sz w:val="20"/>
          <w:szCs w:val="20"/>
        </w:rPr>
        <w:t>Поставщик обязан своими силами и за свой счет устранить выявленные недостатки, несоответствия и/или дефекты Товара, в том числе путем его замены на новый, в течение 10 (десяти) календарных дней со дня составления Сторонами Акта рекламации, если иной способ и сроки не согласованы Сторонами. После устранения недостатков, несоответствий и/или дефектов Товара его приемка осуществляется в соответствии с настоящим разделом Договора.</w:t>
      </w:r>
    </w:p>
    <w:p>
      <w:pPr>
        <w:pStyle w:val="Normal"/>
        <w:tabs>
          <w:tab w:val="clear" w:pos="708"/>
          <w:tab w:val="left" w:pos="1380" w:leader="none"/>
        </w:tabs>
        <w:spacing w:before="0" w:after="0"/>
        <w:ind w:firstLine="850" w:left="0" w:right="0"/>
        <w:jc w:val="both"/>
        <w:rPr>
          <w:color w:val="00000A"/>
          <w:sz w:val="20"/>
          <w:szCs w:val="20"/>
        </w:rPr>
      </w:pPr>
      <w:bookmarkStart w:id="3" w:name="_Ref361408232"/>
      <w:bookmarkEnd w:id="3"/>
      <w:r>
        <w:rPr>
          <w:color w:val="00000A"/>
          <w:sz w:val="20"/>
          <w:szCs w:val="20"/>
        </w:rPr>
        <w:t>Покупатель вправе 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 а Поставщик лишается права ссылаться на отсутствие платежа при просрочке поставки Товара по Заявке.</w:t>
      </w:r>
    </w:p>
    <w:p>
      <w:pPr>
        <w:pStyle w:val="ListParagraph"/>
        <w:numPr>
          <w:ilvl w:val="1"/>
          <w:numId w:val="2"/>
        </w:numPr>
        <w:tabs>
          <w:tab w:val="clear" w:pos="708"/>
          <w:tab w:val="left" w:pos="1380" w:leader="none"/>
        </w:tabs>
        <w:spacing w:before="0" w:after="0"/>
        <w:ind w:firstLine="850" w:left="0" w:right="0"/>
        <w:contextualSpacing/>
        <w:jc w:val="both"/>
        <w:rPr>
          <w:color w:val="00000A"/>
          <w:sz w:val="20"/>
          <w:szCs w:val="20"/>
        </w:rPr>
      </w:pPr>
      <w:r>
        <w:rPr>
          <w:color w:val="00000A"/>
          <w:sz w:val="20"/>
          <w:szCs w:val="20"/>
        </w:rPr>
        <w:t>В случае неисполнения Поставщиком обязательств по устранению выявленных недостатков, несоответствий и/или дефектов Товара в порядке, предусмотренном пунктом 3.11 Договора, Покупатель вправе отказаться от приемки Товара, направив соответствующее письменное уведомление Поставщику. Поставщик не позднее 5 (пяти) рабочих дней с даты получения уведомления обязан обеспечить вывоз Товара, от которой отказался Покупатель, возвратить ее стоимость, а также возместить убытки, причиненные Покупателю ненадлежащим исполнением Договора, в том числе расходы на хранение Товара.</w:t>
      </w:r>
    </w:p>
    <w:p>
      <w:pPr>
        <w:pStyle w:val="Normal"/>
        <w:tabs>
          <w:tab w:val="clear" w:pos="708"/>
          <w:tab w:val="left" w:pos="1380" w:leader="none"/>
        </w:tabs>
        <w:spacing w:before="0" w:after="0"/>
        <w:ind w:firstLine="850" w:left="0" w:right="0"/>
        <w:jc w:val="both"/>
        <w:rPr>
          <w:color w:val="00000A"/>
          <w:sz w:val="20"/>
          <w:szCs w:val="20"/>
        </w:rPr>
      </w:pPr>
      <w:r>
        <w:rPr>
          <w:color w:val="00000A"/>
          <w:sz w:val="20"/>
          <w:szCs w:val="20"/>
        </w:rPr>
        <w:t>Если Поставщик не вывезет Товар в указанный срок, Покупатель вправе самостоятельно возвратить Товар Поставщику. Расходы, понесенные Покупателем в связи  с возвратом Товара, подлежат возмещению Поставщиком.</w:t>
      </w:r>
    </w:p>
    <w:p>
      <w:pPr>
        <w:pStyle w:val="ListParagraph"/>
        <w:widowControl/>
        <w:numPr>
          <w:ilvl w:val="1"/>
          <w:numId w:val="2"/>
        </w:numPr>
        <w:tabs>
          <w:tab w:val="clear" w:pos="708"/>
          <w:tab w:val="left" w:pos="1380" w:leader="none"/>
        </w:tabs>
        <w:spacing w:before="0" w:after="0"/>
        <w:ind w:firstLine="850" w:left="0" w:right="0"/>
        <w:contextualSpacing/>
        <w:jc w:val="both"/>
        <w:rPr/>
      </w:pPr>
      <w:r>
        <w:rPr>
          <w:color w:val="00000A"/>
          <w:sz w:val="20"/>
          <w:szCs w:val="20"/>
        </w:rPr>
        <w:t>По иным вопросам, касающимся приемки Товара по количеству, качеству и комплектности, в части не противоречащей законодательству Российской Федерации и условиям Договора, Стороны руководствуются Инструкцией Госарбитража при Совете Министров СССР от 15.06.1965 № П-6 (за исключением пунктов 18, 21, 29-32), Инструкцией Госарбитража при Совете Министров СССР от 25.04.1966 № П-7 (за исключением пунктов 20, 23, абз.3 пункта 30, 35, 38-42).</w:t>
      </w:r>
      <w:r>
        <w:rPr>
          <w:b/>
          <w:bCs/>
          <w:color w:val="00000A"/>
          <w:sz w:val="20"/>
          <w:szCs w:val="20"/>
        </w:rPr>
        <w:t xml:space="preserve"> </w:t>
      </w:r>
    </w:p>
    <w:p>
      <w:pPr>
        <w:pStyle w:val="ListParagraph"/>
        <w:widowControl/>
        <w:numPr>
          <w:ilvl w:val="1"/>
          <w:numId w:val="2"/>
        </w:numPr>
        <w:tabs>
          <w:tab w:val="clear" w:pos="708"/>
          <w:tab w:val="left" w:pos="1380" w:leader="none"/>
        </w:tabs>
        <w:spacing w:before="0" w:after="0"/>
        <w:ind w:firstLine="850" w:left="0" w:right="0"/>
        <w:contextualSpacing/>
        <w:jc w:val="both"/>
        <w:rPr>
          <w:color w:val="00000A"/>
          <w:sz w:val="20"/>
          <w:szCs w:val="20"/>
        </w:rPr>
      </w:pPr>
      <w:r>
        <w:rPr>
          <w:color w:val="00000A"/>
          <w:sz w:val="20"/>
          <w:szCs w:val="20"/>
        </w:rPr>
        <w:t>Право собственности на Товар, а также риск его случайной гибели или случайного повреждения переходит от Поставщика к Покупателю с момента подписания Сторонами Накладной ТОРГ-12/УПД.</w:t>
      </w:r>
    </w:p>
    <w:p>
      <w:pPr>
        <w:pStyle w:val="ListParagraph"/>
        <w:numPr>
          <w:ilvl w:val="1"/>
          <w:numId w:val="2"/>
        </w:numPr>
        <w:tabs>
          <w:tab w:val="clear" w:pos="708"/>
          <w:tab w:val="left" w:pos="1380" w:leader="none"/>
        </w:tabs>
        <w:spacing w:before="0" w:after="0"/>
        <w:ind w:firstLine="850" w:left="0" w:right="0"/>
        <w:contextualSpacing/>
        <w:jc w:val="both"/>
        <w:rPr/>
      </w:pPr>
      <w:r>
        <w:rPr>
          <w:color w:val="00000A"/>
          <w:sz w:val="20"/>
          <w:szCs w:val="20"/>
        </w:rPr>
        <w:t>Поставщик обязан не более чем за 5 рабочих дней до даты начала отгрузки Товара  в адрес Покупателя (Грузополучателя), направить Покупателю письменное уведомление с указанием Грузоотправителя Товара и Транспортной компании, обеспечивающей доставку Товара до места поставки. Уведомление составляется по форме приложения №3 к настоящему договору.</w:t>
      </w:r>
    </w:p>
    <w:p>
      <w:pPr>
        <w:pStyle w:val="Normal"/>
        <w:tabs>
          <w:tab w:val="clear" w:pos="708"/>
          <w:tab w:val="left" w:pos="1380" w:leader="none"/>
        </w:tabs>
        <w:spacing w:before="0" w:after="0"/>
        <w:ind w:firstLine="850" w:left="0" w:right="0"/>
        <w:jc w:val="both"/>
        <w:rPr>
          <w:color w:val="00000A"/>
          <w:sz w:val="20"/>
          <w:szCs w:val="20"/>
        </w:rPr>
      </w:pPr>
      <w:r>
        <w:rPr>
          <w:color w:val="00000A"/>
          <w:sz w:val="20"/>
          <w:szCs w:val="20"/>
        </w:rPr>
        <w:t>В случае поступления на склад Грузополучателя Товара  без вышеуказанного уведомления, Покупатель вправе:</w:t>
      </w:r>
    </w:p>
    <w:p>
      <w:pPr>
        <w:pStyle w:val="Normal"/>
        <w:tabs>
          <w:tab w:val="clear" w:pos="708"/>
          <w:tab w:val="left" w:pos="1380" w:leader="none"/>
        </w:tabs>
        <w:spacing w:before="0" w:after="0"/>
        <w:ind w:firstLine="850" w:left="0" w:right="0"/>
        <w:jc w:val="both"/>
        <w:rPr>
          <w:color w:val="00000A"/>
          <w:sz w:val="20"/>
          <w:szCs w:val="20"/>
        </w:rPr>
      </w:pPr>
      <w:r>
        <w:rPr>
          <w:color w:val="00000A"/>
          <w:sz w:val="20"/>
          <w:szCs w:val="20"/>
        </w:rPr>
        <w:t>- принять Товар  на ответственное хранение и считается, что Поставщик не исполнил свои обязательства по поставке Товара  до момента поступления таких документов;</w:t>
      </w:r>
    </w:p>
    <w:p>
      <w:pPr>
        <w:pStyle w:val="Normal"/>
        <w:tabs>
          <w:tab w:val="clear" w:pos="708"/>
          <w:tab w:val="left" w:pos="1380" w:leader="none"/>
        </w:tabs>
        <w:spacing w:before="0" w:after="0"/>
        <w:ind w:firstLine="850" w:left="0" w:right="0"/>
        <w:jc w:val="both"/>
        <w:rPr>
          <w:color w:val="00000A"/>
          <w:sz w:val="20"/>
          <w:szCs w:val="20"/>
        </w:rPr>
      </w:pPr>
      <w:r>
        <w:rPr>
          <w:color w:val="00000A"/>
          <w:sz w:val="20"/>
          <w:szCs w:val="20"/>
        </w:rPr>
        <w:t>либо</w:t>
      </w:r>
    </w:p>
    <w:p>
      <w:pPr>
        <w:pStyle w:val="Normal"/>
        <w:tabs>
          <w:tab w:val="clear" w:pos="708"/>
          <w:tab w:val="left" w:pos="1380" w:leader="none"/>
        </w:tabs>
        <w:spacing w:before="0" w:after="0"/>
        <w:ind w:firstLine="850" w:left="0" w:right="0"/>
        <w:jc w:val="both"/>
        <w:rPr>
          <w:color w:val="00000A"/>
          <w:sz w:val="20"/>
          <w:szCs w:val="20"/>
        </w:rPr>
      </w:pPr>
      <w:r>
        <w:rPr>
          <w:color w:val="00000A"/>
          <w:sz w:val="20"/>
          <w:szCs w:val="20"/>
        </w:rPr>
        <w:t xml:space="preserve">- принять Товар  в соответствии с условиями договора и предъявить Поставщику требование об уплате штрафа в размере 20% от стоимости поставленного Товара . Удержание штрафа, подлежащего уплате Поставщиком, может быть произведено, по усмотрению Покупателя, путем вычета суммы штрафа из подлежащей оплате стоимости поставленного Покупателю Товара . </w:t>
      </w:r>
    </w:p>
    <w:p>
      <w:pPr>
        <w:pStyle w:val="Normal"/>
        <w:tabs>
          <w:tab w:val="clear" w:pos="708"/>
          <w:tab w:val="left" w:pos="1380" w:leader="none"/>
        </w:tabs>
        <w:spacing w:before="0" w:after="0"/>
        <w:ind w:firstLine="850" w:left="0" w:right="0"/>
        <w:jc w:val="both"/>
        <w:rPr/>
      </w:pPr>
      <w:r>
        <w:rPr>
          <w:bCs/>
          <w:color w:val="00000A"/>
          <w:sz w:val="20"/>
          <w:szCs w:val="20"/>
        </w:rPr>
        <w:t xml:space="preserve">В случае предъявления налоговыми органами претензий и требований к Покупателю, связанных с предоставлением Поставщиком недостоверных сведений о </w:t>
      </w:r>
      <w:r>
        <w:rPr>
          <w:color w:val="00000A"/>
          <w:sz w:val="20"/>
          <w:szCs w:val="20"/>
        </w:rPr>
        <w:t>Грузоотправителя Товара и Транспортной компании</w:t>
      </w:r>
      <w:r>
        <w:rPr>
          <w:bCs/>
          <w:color w:val="00000A"/>
          <w:sz w:val="20"/>
          <w:szCs w:val="20"/>
        </w:rPr>
        <w:t>, Поставщик обязан компенсировать все убытки Покупателя, вызванные такими претензиями и требованиями.</w:t>
      </w:r>
    </w:p>
    <w:p>
      <w:pPr>
        <w:pStyle w:val="ListParagraph"/>
        <w:numPr>
          <w:ilvl w:val="0"/>
          <w:numId w:val="2"/>
        </w:numPr>
        <w:spacing w:before="0" w:after="0"/>
        <w:ind w:firstLine="850" w:left="0" w:right="0"/>
        <w:contextualSpacing/>
        <w:jc w:val="center"/>
        <w:rPr/>
      </w:pPr>
      <w:r>
        <w:rPr>
          <w:b/>
          <w:color w:val="00000A"/>
          <w:sz w:val="20"/>
          <w:szCs w:val="20"/>
        </w:rPr>
        <w:t>Гарантийный срок</w:t>
      </w:r>
    </w:p>
    <w:p>
      <w:pPr>
        <w:pStyle w:val="ListParagraph"/>
        <w:numPr>
          <w:ilvl w:val="1"/>
          <w:numId w:val="2"/>
        </w:numPr>
        <w:tabs>
          <w:tab w:val="clear" w:pos="708"/>
          <w:tab w:val="left" w:pos="1410" w:leader="none"/>
        </w:tabs>
        <w:spacing w:before="0" w:after="0"/>
        <w:ind w:firstLine="850" w:left="0" w:right="0"/>
        <w:contextualSpacing/>
        <w:jc w:val="both"/>
        <w:rPr/>
      </w:pPr>
      <w:r>
        <w:rPr>
          <w:color w:val="00000A"/>
          <w:sz w:val="20"/>
          <w:szCs w:val="20"/>
        </w:rPr>
        <w:t>Гарантийный срок на Товар, поставленный по Договору, составляет не менее 3-х лет, начало исчисления гарантийного срока с момента получения Товара. Гарантийный срок может быть продлен в соответствии с условиями Договора. Установленный в отношении Товара гарантийный срок распространяется на все составные части и комплектующие Товара.</w:t>
      </w:r>
    </w:p>
    <w:p>
      <w:pPr>
        <w:pStyle w:val="Normal"/>
        <w:numPr>
          <w:ilvl w:val="1"/>
          <w:numId w:val="2"/>
        </w:numPr>
        <w:tabs>
          <w:tab w:val="clear" w:pos="708"/>
          <w:tab w:val="left" w:pos="1410" w:leader="none"/>
        </w:tabs>
        <w:spacing w:before="0" w:after="0"/>
        <w:ind w:firstLine="850" w:left="0" w:right="0"/>
        <w:jc w:val="both"/>
        <w:rPr>
          <w:color w:val="00000A"/>
          <w:sz w:val="20"/>
          <w:szCs w:val="20"/>
        </w:rPr>
      </w:pPr>
      <w:r>
        <w:rPr>
          <w:color w:val="00000A"/>
          <w:sz w:val="20"/>
          <w:szCs w:val="20"/>
        </w:rPr>
        <w:t xml:space="preserve">В течение Гарантийного срока Поставщик гарантирует соответствие качества Товара требованиям Договора, технического паспорта и иных документов, относящихся к Товару, и Применимого права, возможность эксплуатации (использования) Товара в соответствии с его целевым назначением, а также несет безусловную ответственность за обнаруженные недостатки, несоответствия и/или дефекты Товара, если не докажет, что такие недостатки, несоответствия и/или дефекты явились следствием несоблюдения Покупателем требований по использованию Товара, установленных в инструкциях и иных документах, переданных Покупателю в соответствии с пунктом 3.5 Договора. </w:t>
      </w:r>
    </w:p>
    <w:p>
      <w:pPr>
        <w:pStyle w:val="Normal"/>
        <w:numPr>
          <w:ilvl w:val="1"/>
          <w:numId w:val="2"/>
        </w:numPr>
        <w:tabs>
          <w:tab w:val="clear" w:pos="708"/>
          <w:tab w:val="left" w:pos="1410" w:leader="none"/>
        </w:tabs>
        <w:spacing w:before="0" w:after="0"/>
        <w:ind w:firstLine="850" w:left="0" w:right="0"/>
        <w:jc w:val="both"/>
        <w:rPr>
          <w:color w:val="00000A"/>
          <w:sz w:val="20"/>
          <w:szCs w:val="20"/>
        </w:rPr>
      </w:pPr>
      <w:r>
        <w:rPr>
          <w:color w:val="00000A"/>
          <w:sz w:val="20"/>
          <w:szCs w:val="20"/>
        </w:rPr>
        <w:t>В случае обнаружения в течение Гарантийного срока недостатков, несоответствий и/или (дефектов) Товара Покупатель направляет Поставщику соответствующее письменное уведомление, в котором указывает перечень выявленных недостатков (дефектов) Товара и разумный срок на их устранение. Поставщик, в случае наличия разногласий, в течение 3 (трех) рабочих дней с даты получения письменного уведомления Покупателя, направляет своего уполномоченного представителя для составления Акта о недостатках, несоответствиях и/или дефектах. Если к указанному в настоящем пункте сроку представитель Поставщика не прибудет, Акт о недостатках, несоответствиях и/или дефектах будет составлен Покупателем в одностороннем порядке и будет признан Сторонами действительным.</w:t>
      </w:r>
    </w:p>
    <w:p>
      <w:pPr>
        <w:pStyle w:val="Normal"/>
        <w:widowControl/>
        <w:numPr>
          <w:ilvl w:val="1"/>
          <w:numId w:val="2"/>
        </w:numPr>
        <w:tabs>
          <w:tab w:val="clear" w:pos="708"/>
          <w:tab w:val="left" w:pos="1410" w:leader="none"/>
        </w:tabs>
        <w:spacing w:before="0" w:after="0"/>
        <w:ind w:firstLine="850" w:left="0" w:right="0"/>
        <w:jc w:val="both"/>
        <w:rPr/>
      </w:pPr>
      <w:r>
        <w:rPr>
          <w:color w:val="00000A"/>
          <w:sz w:val="20"/>
          <w:szCs w:val="20"/>
        </w:rPr>
        <w:t xml:space="preserve">Поставщик обязан своими силами и за свой счет устранить недостатки, несоответствия и/или дефекты Товара, обнаруженные Покупателем в течение Гарантийного срока, в срок, указанный </w:t>
      </w:r>
      <w:bookmarkStart w:id="4" w:name="OLE_LINK6"/>
      <w:bookmarkStart w:id="5" w:name="OLE_LINK5"/>
      <w:r>
        <w:rPr>
          <w:color w:val="00000A"/>
          <w:sz w:val="20"/>
          <w:szCs w:val="20"/>
        </w:rPr>
        <w:t>Покупателем в соответствии с пунктом 4.3 Договора</w:t>
      </w:r>
      <w:bookmarkEnd w:id="4"/>
      <w:bookmarkEnd w:id="5"/>
      <w:r>
        <w:rPr>
          <w:color w:val="00000A"/>
          <w:sz w:val="20"/>
          <w:szCs w:val="20"/>
        </w:rPr>
        <w:t xml:space="preserve">, путем замены или ремонта Товара. </w:t>
      </w:r>
    </w:p>
    <w:p>
      <w:pPr>
        <w:pStyle w:val="Normal"/>
        <w:widowControl/>
        <w:tabs>
          <w:tab w:val="clear" w:pos="708"/>
          <w:tab w:val="left" w:pos="1410" w:leader="none"/>
        </w:tabs>
        <w:spacing w:before="0" w:after="0"/>
        <w:ind w:firstLine="850" w:left="0" w:right="0"/>
        <w:jc w:val="both"/>
        <w:rPr>
          <w:color w:val="00000A"/>
          <w:sz w:val="20"/>
          <w:szCs w:val="20"/>
        </w:rPr>
      </w:pPr>
      <w:r>
        <w:rPr>
          <w:color w:val="00000A"/>
          <w:sz w:val="20"/>
          <w:szCs w:val="20"/>
        </w:rPr>
        <w:t xml:space="preserve">Устранение недостатков путем ремонта Товара может осуществляться только по письменному согласованию с Покупателем. Поставщик вправе по согласованию с Покупателем вместо замены Товара возвратить Покупателю его стоимость. Вывоз Товара для целей устранения недостатков (дефектов) осуществляется силами Поставщика и за его счет.  </w:t>
      </w:r>
    </w:p>
    <w:p>
      <w:pPr>
        <w:pStyle w:val="ListParagraph"/>
        <w:widowControl/>
        <w:numPr>
          <w:ilvl w:val="1"/>
          <w:numId w:val="2"/>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Если Поставщик не устранит недостатки (дефекты) Товара в установленный Покупателем срок, Покупатель вправе устранить их собственными силами или силами третьих лиц, с отнесением на Поставщика соответствующих расходов. Поставщик обязан возместить расходы Покупателя на устранение недостатков, несоответствий и/или дефектов Товара в течение 10 (десяти) рабочих дней с даты получения соответствующего письменного требования Покупателя.</w:t>
      </w:r>
    </w:p>
    <w:p>
      <w:pPr>
        <w:pStyle w:val="Normal"/>
        <w:numPr>
          <w:ilvl w:val="1"/>
          <w:numId w:val="2"/>
        </w:numPr>
        <w:tabs>
          <w:tab w:val="clear" w:pos="708"/>
          <w:tab w:val="left" w:pos="1410" w:leader="none"/>
        </w:tabs>
        <w:spacing w:before="0" w:after="0"/>
        <w:ind w:firstLine="850" w:left="0" w:right="0"/>
        <w:jc w:val="both"/>
        <w:rPr>
          <w:color w:val="00000A"/>
          <w:sz w:val="20"/>
          <w:szCs w:val="20"/>
        </w:rPr>
      </w:pPr>
      <w:r>
        <w:rPr>
          <w:color w:val="00000A"/>
          <w:sz w:val="20"/>
          <w:szCs w:val="20"/>
        </w:rPr>
        <w:t>Гарантийный срок на Товар увеличивается на тот период времени, в течение которого Покупатель не мог эксплуатировать (использовать) Товар вследствие его недостатков (дефектов). Гарантийный срок на замененную или отремонтированную единицу Товара устанавливается продолжительностью, указанной в пункте 4.1 Договора, и начинает исчисляться заново с даты приемки Покупателем замененной единицы Товара или работ по устранению недостатков (дефектов).</w:t>
      </w:r>
    </w:p>
    <w:p>
      <w:pPr>
        <w:pStyle w:val="Normal"/>
        <w:numPr>
          <w:ilvl w:val="1"/>
          <w:numId w:val="2"/>
        </w:numPr>
        <w:tabs>
          <w:tab w:val="clear" w:pos="708"/>
          <w:tab w:val="left" w:pos="1410" w:leader="none"/>
        </w:tabs>
        <w:spacing w:before="0" w:after="0"/>
        <w:ind w:firstLine="850" w:left="0" w:right="0"/>
        <w:jc w:val="both"/>
        <w:rPr>
          <w:color w:val="00000A"/>
          <w:sz w:val="20"/>
          <w:szCs w:val="20"/>
        </w:rPr>
      </w:pPr>
      <w:r>
        <w:rPr>
          <w:color w:val="00000A"/>
          <w:sz w:val="20"/>
          <w:szCs w:val="20"/>
        </w:rPr>
        <w:t>Устранение недостатков, несоответствий и/или дефектов Товара или возврат его стоимости, в том числе в рамках срока, установленного в соответствии с пунктом 4.3 Договора, не освобождает Поставщика от обязанности возмещения убытков, причиненных Покупателю вследствие наличия таких недостатков (дефектов).</w:t>
      </w:r>
    </w:p>
    <w:p>
      <w:pPr>
        <w:pStyle w:val="Normal"/>
        <w:numPr>
          <w:ilvl w:val="0"/>
          <w:numId w:val="2"/>
        </w:numPr>
        <w:spacing w:before="0" w:after="0"/>
        <w:ind w:firstLine="850" w:left="0" w:right="0"/>
        <w:jc w:val="center"/>
        <w:rPr/>
      </w:pPr>
      <w:r>
        <w:rPr>
          <w:b/>
          <w:bCs/>
          <w:color w:val="00000A"/>
          <w:sz w:val="20"/>
          <w:szCs w:val="20"/>
        </w:rPr>
        <w:t>Ответственность Сторон</w:t>
      </w:r>
    </w:p>
    <w:p>
      <w:pPr>
        <w:pStyle w:val="ListParagraph"/>
        <w:numPr>
          <w:ilvl w:val="1"/>
          <w:numId w:val="2"/>
        </w:numPr>
        <w:tabs>
          <w:tab w:val="clear" w:pos="708"/>
          <w:tab w:val="left" w:pos="1410" w:leader="none"/>
        </w:tabs>
        <w:spacing w:before="0" w:after="0"/>
        <w:ind w:firstLine="850" w:left="0" w:right="0"/>
        <w:contextualSpacing/>
        <w:jc w:val="both"/>
        <w:rPr/>
      </w:pPr>
      <w:r>
        <w:rPr>
          <w:color w:val="00000A"/>
          <w:sz w:val="20"/>
          <w:szCs w:val="20"/>
        </w:rPr>
        <w:t xml:space="preserve">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не предусмотрено иное. </w:t>
      </w:r>
    </w:p>
    <w:p>
      <w:pPr>
        <w:pStyle w:val="Normal"/>
        <w:widowControl/>
        <w:numPr>
          <w:ilvl w:val="1"/>
          <w:numId w:val="2"/>
        </w:numPr>
        <w:tabs>
          <w:tab w:val="clear" w:pos="708"/>
          <w:tab w:val="left" w:pos="1410" w:leader="none"/>
        </w:tabs>
        <w:spacing w:before="0" w:after="0"/>
        <w:ind w:firstLine="850" w:left="0" w:right="0"/>
        <w:jc w:val="both"/>
        <w:rPr/>
      </w:pPr>
      <w:r>
        <w:rPr>
          <w:bCs/>
          <w:color w:val="00000A"/>
          <w:sz w:val="20"/>
          <w:szCs w:val="20"/>
        </w:rPr>
        <w:t xml:space="preserve">В случае нарушения Покупателем сроков оплаты, установленных разделом 2 Договора, Поставщик вправе </w:t>
      </w:r>
      <w:r>
        <w:rPr>
          <w:color w:val="00000A"/>
          <w:sz w:val="20"/>
          <w:szCs w:val="20"/>
        </w:rPr>
        <w:t>потребовать уплаты Покупателем исключительной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w:t>
      </w:r>
    </w:p>
    <w:p>
      <w:pPr>
        <w:pStyle w:val="Normal"/>
        <w:widowControl/>
        <w:numPr>
          <w:ilvl w:val="1"/>
          <w:numId w:val="2"/>
        </w:numPr>
        <w:tabs>
          <w:tab w:val="clear" w:pos="708"/>
          <w:tab w:val="left" w:pos="1410" w:leader="none"/>
        </w:tabs>
        <w:spacing w:before="0" w:after="0"/>
        <w:ind w:firstLine="850" w:left="0" w:right="0"/>
        <w:jc w:val="both"/>
        <w:rPr/>
      </w:pPr>
      <w:r>
        <w:rPr>
          <w:bCs/>
          <w:color w:val="00000A"/>
          <w:sz w:val="20"/>
          <w:szCs w:val="20"/>
        </w:rPr>
        <w:t xml:space="preserve">В случае </w:t>
      </w:r>
      <w:r>
        <w:rPr>
          <w:color w:val="00000A"/>
          <w:sz w:val="20"/>
          <w:szCs w:val="20"/>
        </w:rPr>
        <w:t>нарушения Поставщиком обязательств по поставке Товара (</w:t>
      </w:r>
      <w:r>
        <w:rPr>
          <w:rFonts w:eastAsia="Calibri"/>
          <w:bCs/>
          <w:color w:val="00000A"/>
          <w:sz w:val="20"/>
          <w:szCs w:val="20"/>
        </w:rPr>
        <w:t>нарушение срока поставки, недопоставка)</w:t>
      </w:r>
      <w:r>
        <w:rPr>
          <w:color w:val="00000A"/>
          <w:sz w:val="20"/>
          <w:szCs w:val="20"/>
        </w:rPr>
        <w:t>, а также в случае несвоевременного устранения выявленных недостатков Товара, Покупатель вправе требовать уплаты Поставщиком неустойки в размере 0,1 (ноль целых и одна десятая) процента от Цены Договора за каждый день просрочки.</w:t>
      </w:r>
    </w:p>
    <w:p>
      <w:pPr>
        <w:pStyle w:val="Normal"/>
        <w:tabs>
          <w:tab w:val="clear" w:pos="708"/>
          <w:tab w:val="left" w:pos="1410" w:leader="none"/>
        </w:tabs>
        <w:spacing w:before="0" w:after="0"/>
        <w:ind w:firstLine="850" w:left="0" w:right="0"/>
        <w:rPr>
          <w:color w:val="00000A"/>
          <w:sz w:val="20"/>
          <w:szCs w:val="20"/>
        </w:rPr>
      </w:pPr>
      <w:r>
        <w:rPr>
          <w:color w:val="00000A"/>
          <w:sz w:val="20"/>
          <w:szCs w:val="20"/>
        </w:rPr>
        <w:t xml:space="preserve">В случае несвоевременного устранения Поставщиком выявленных недостатков товара, Покупатель вправе потребовать уплаты Поставщиком: </w:t>
      </w:r>
    </w:p>
    <w:p>
      <w:pPr>
        <w:pStyle w:val="Normal"/>
        <w:widowControl/>
        <w:numPr>
          <w:ilvl w:val="0"/>
          <w:numId w:val="11"/>
        </w:numPr>
        <w:tabs>
          <w:tab w:val="clear" w:pos="708"/>
          <w:tab w:val="left" w:pos="1410" w:leader="none"/>
        </w:tabs>
        <w:spacing w:lineRule="auto" w:line="247" w:before="0" w:after="0"/>
        <w:ind w:firstLine="850" w:left="0" w:right="0"/>
        <w:jc w:val="both"/>
        <w:rPr>
          <w:color w:val="00000A"/>
          <w:sz w:val="20"/>
          <w:szCs w:val="20"/>
        </w:rPr>
      </w:pPr>
      <w:r>
        <w:rPr>
          <w:color w:val="00000A"/>
          <w:sz w:val="20"/>
          <w:szCs w:val="20"/>
        </w:rPr>
        <w:t xml:space="preserve">неустойки в размере 0,1 (ноль целых и одна десятая) процента от цены Договора за каждый день просрочки – в случае несвоевременного устранения выявленных недостатков товара, влияющих на возможность эксплуатации (использования) товара в целом; </w:t>
      </w:r>
    </w:p>
    <w:p>
      <w:pPr>
        <w:pStyle w:val="Normal"/>
        <w:widowControl/>
        <w:numPr>
          <w:ilvl w:val="0"/>
          <w:numId w:val="11"/>
        </w:numPr>
        <w:tabs>
          <w:tab w:val="clear" w:pos="708"/>
          <w:tab w:val="left" w:pos="1410" w:leader="none"/>
        </w:tabs>
        <w:spacing w:lineRule="auto" w:line="247" w:before="0" w:after="0"/>
        <w:ind w:firstLine="850" w:left="0" w:right="0"/>
        <w:jc w:val="both"/>
        <w:rPr>
          <w:color w:val="00000A"/>
          <w:sz w:val="20"/>
          <w:szCs w:val="20"/>
        </w:rPr>
      </w:pPr>
      <w:r>
        <w:rPr>
          <w:color w:val="00000A"/>
          <w:sz w:val="20"/>
          <w:szCs w:val="20"/>
        </w:rPr>
        <w:t xml:space="preserve">неустойки в размере 0,1 (ноль целых и одна десятая) процента от стоимости некачественного товара за каждый день просрочки – в случае несвоевременного устранения выявленных недостатков товара, не влияющих на возможность эксплуатации (использования) товара в целом. </w:t>
      </w:r>
    </w:p>
    <w:p>
      <w:pPr>
        <w:pStyle w:val="ListParagraph"/>
        <w:widowControl/>
        <w:numPr>
          <w:ilvl w:val="1"/>
          <w:numId w:val="2"/>
        </w:numPr>
        <w:tabs>
          <w:tab w:val="clear" w:pos="708"/>
          <w:tab w:val="left" w:pos="1410" w:leader="none"/>
        </w:tabs>
        <w:spacing w:before="0" w:after="0"/>
        <w:ind w:firstLine="850" w:left="0" w:right="0"/>
        <w:contextualSpacing/>
        <w:jc w:val="both"/>
        <w:rPr/>
      </w:pPr>
      <w:r>
        <w:rPr>
          <w:bCs/>
          <w:color w:val="00000A"/>
          <w:sz w:val="20"/>
          <w:szCs w:val="20"/>
        </w:rPr>
        <w:t xml:space="preserve">В случае нарушения Поставщиком требований пропускного и внутриобъектового режима, требований охраны труда, пожарной и промышленной безопасности, если они зафиксированы Покупателем или уполномоченным государственным органом, Покупатель, помимо возмещения убытков, вправе требовать уплаты Поставщиком штрафа в размерах, установленных Приложением № 2 к Договору. </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Если в результате составления и выставления Поставщиком счетов-фактур </w:t>
        <w:br/>
        <w:t>с нарушением порядка и требований, установленных законодательством Российской Федерации, Покупатель понес расходы, связанные с начислением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w:t>
      </w:r>
    </w:p>
    <w:p>
      <w:pPr>
        <w:pStyle w:val="ListParagraph"/>
        <w:widowControl/>
        <w:numPr>
          <w:ilvl w:val="1"/>
          <w:numId w:val="2"/>
        </w:numPr>
        <w:tabs>
          <w:tab w:val="clear" w:pos="708"/>
          <w:tab w:val="left" w:pos="1410" w:leader="none"/>
        </w:tabs>
        <w:spacing w:before="0" w:after="0"/>
        <w:ind w:firstLine="850" w:left="0" w:right="0"/>
        <w:contextualSpacing/>
        <w:jc w:val="both"/>
        <w:rPr/>
      </w:pPr>
      <w:r>
        <w:rPr>
          <w:bCs/>
          <w:color w:val="00000A"/>
          <w:sz w:val="20"/>
          <w:szCs w:val="20"/>
        </w:rPr>
        <w:t>Поставщик несет ответственность перед Покупателем за причиненный ущерб в размере фактически понесенных и документально подтвержденных расходов, возникших в связи с неисполнением (ненадлежащим исполнением) Поставщиком своих обязательств, произведенных для восстановления нарушенного права, а также упущенной выгоды.</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Обязанность по уплате неустойки и/или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Уплата неустойки и/или штрафа не освобождает Стороны от исполнения обязательств по Договору, обязанности по устранению допущенных нарушений условий Договора и/или их последствий.</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Учитывая, что для Покупателя надлежащее и своевременное выполнение Поставщиком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Поставщиком соответствующих обязательств по Договору.</w:t>
      </w:r>
    </w:p>
    <w:p>
      <w:pPr>
        <w:pStyle w:val="ListParagraph"/>
        <w:widowControl/>
        <w:numPr>
          <w:ilvl w:val="1"/>
          <w:numId w:val="2"/>
        </w:numPr>
        <w:tabs>
          <w:tab w:val="clear" w:pos="708"/>
          <w:tab w:val="left" w:pos="1410" w:leader="none"/>
        </w:tabs>
        <w:spacing w:before="0" w:after="0"/>
        <w:ind w:firstLine="850" w:left="0" w:right="0"/>
        <w:contextualSpacing/>
        <w:jc w:val="both"/>
        <w:rPr/>
      </w:pPr>
      <w:r>
        <w:rPr>
          <w:color w:val="00000A"/>
          <w:sz w:val="20"/>
          <w:szCs w:val="20"/>
        </w:rPr>
        <w:t>Удержание пени и штрафов, подлежащих уплате Поставщиком, может быть произведено, по усмотрению Покупателя, путем вычета суммы пени (штрафа) из подлежащей оплате стоимости поставленного Покупателю оборудования. Уплата (удержание) неустойки не освобождает стороны от исполнения своего обязательства в натуре</w:t>
      </w:r>
      <w:r>
        <w:rPr>
          <w:bCs/>
          <w:color w:val="00000A"/>
          <w:sz w:val="20"/>
          <w:szCs w:val="20"/>
        </w:rPr>
        <w:t>.</w:t>
      </w:r>
    </w:p>
    <w:p>
      <w:pPr>
        <w:pStyle w:val="ListParagraph"/>
        <w:widowControl/>
        <w:numPr>
          <w:ilvl w:val="0"/>
          <w:numId w:val="2"/>
        </w:numPr>
        <w:tabs>
          <w:tab w:val="clear" w:pos="708"/>
          <w:tab w:val="left" w:pos="1410" w:leader="none"/>
        </w:tabs>
        <w:spacing w:before="0" w:after="0"/>
        <w:ind w:firstLine="850" w:left="0" w:right="0"/>
        <w:contextualSpacing/>
        <w:jc w:val="center"/>
        <w:rPr/>
      </w:pPr>
      <w:r>
        <w:rPr>
          <w:b/>
          <w:bCs/>
          <w:color w:val="00000A"/>
          <w:sz w:val="20"/>
          <w:szCs w:val="20"/>
        </w:rPr>
        <w:t>Конфиденциальность</w:t>
      </w:r>
    </w:p>
    <w:p>
      <w:pPr>
        <w:pStyle w:val="ListParagraph"/>
        <w:widowControl/>
        <w:numPr>
          <w:ilvl w:val="1"/>
          <w:numId w:val="2"/>
        </w:numPr>
        <w:tabs>
          <w:tab w:val="clear" w:pos="708"/>
          <w:tab w:val="left" w:pos="1410" w:leader="none"/>
        </w:tabs>
        <w:spacing w:before="0" w:after="0"/>
        <w:ind w:firstLine="850" w:left="0" w:right="0"/>
        <w:contextualSpacing/>
        <w:jc w:val="both"/>
        <w:rPr/>
      </w:pPr>
      <w:r>
        <w:rPr>
          <w:bCs/>
          <w:color w:val="00000A"/>
          <w:sz w:val="20"/>
          <w:szCs w:val="20"/>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территорию Покупателя в процессе проведения переговоров, заключения и исполнения Договора, в отношении которой соблюдаются следующие условия:</w:t>
      </w:r>
    </w:p>
    <w:p>
      <w:pPr>
        <w:pStyle w:val="Normal"/>
        <w:widowControl/>
        <w:numPr>
          <w:ilvl w:val="0"/>
          <w:numId w:val="5"/>
        </w:numPr>
        <w:tabs>
          <w:tab w:val="clear" w:pos="708"/>
          <w:tab w:val="left" w:pos="1410" w:leader="none"/>
        </w:tabs>
        <w:spacing w:before="0" w:after="0"/>
        <w:ind w:firstLine="850" w:left="0" w:right="0"/>
        <w:jc w:val="both"/>
        <w:rPr/>
      </w:pPr>
      <w:r>
        <w:rPr>
          <w:bCs/>
          <w:color w:val="00000A"/>
          <w:sz w:val="20"/>
          <w:szCs w:val="20"/>
        </w:rPr>
        <w:t>данная Информация имеет действительную или потенциальную коммерческую ценность для Покупателя в силу неизвестности ее третьим лица</w:t>
      </w:r>
      <w:r>
        <w:rPr>
          <w:color w:val="00000A"/>
          <w:sz w:val="20"/>
          <w:szCs w:val="20"/>
        </w:rPr>
        <w:t xml:space="preserve">м, в том числе по причине </w:t>
      </w:r>
      <w:r>
        <w:rPr>
          <w:bCs/>
          <w:color w:val="00000A"/>
          <w:sz w:val="20"/>
          <w:szCs w:val="20"/>
        </w:rPr>
        <w:t>введения в отношении нее режима Коммерческой тайны;</w:t>
      </w:r>
    </w:p>
    <w:p>
      <w:pPr>
        <w:pStyle w:val="Normal"/>
        <w:widowControl/>
        <w:numPr>
          <w:ilvl w:val="0"/>
          <w:numId w:val="5"/>
        </w:numPr>
        <w:tabs>
          <w:tab w:val="clear" w:pos="708"/>
          <w:tab w:val="left" w:pos="1410" w:leader="none"/>
        </w:tabs>
        <w:spacing w:before="0" w:after="0"/>
        <w:ind w:firstLine="850" w:left="0" w:right="0"/>
        <w:jc w:val="both"/>
        <w:rPr>
          <w:bCs/>
          <w:color w:val="00000A"/>
          <w:sz w:val="20"/>
          <w:szCs w:val="20"/>
        </w:rPr>
      </w:pPr>
      <w:r>
        <w:rPr>
          <w:bCs/>
          <w:color w:val="00000A"/>
          <w:sz w:val="20"/>
          <w:szCs w:val="20"/>
        </w:rPr>
        <w:t>данная Информация не относится к категории общедоступной или обязательной к раскрытию Покупателем в соответствии с законодательством Российской Федерации.</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На документ, содержащий Информацию, Покупателем может быть нанесен гриф «Коммерческая тайна» с указанием обладателя этой информации.</w:t>
      </w:r>
    </w:p>
    <w:p>
      <w:pPr>
        <w:pStyle w:val="ListParagraph"/>
        <w:widowControl/>
        <w:numPr>
          <w:ilvl w:val="1"/>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Информация может включать в себя, в том числе, но не ограничиваясь:</w:t>
      </w:r>
    </w:p>
    <w:p>
      <w:pPr>
        <w:pStyle w:val="Normal"/>
        <w:widowControl/>
        <w:numPr>
          <w:ilvl w:val="0"/>
          <w:numId w:val="5"/>
        </w:numPr>
        <w:tabs>
          <w:tab w:val="clear" w:pos="708"/>
          <w:tab w:val="left" w:pos="1410" w:leader="none"/>
        </w:tabs>
        <w:spacing w:before="0" w:after="0"/>
        <w:ind w:firstLine="850" w:left="0" w:right="0"/>
        <w:jc w:val="both"/>
        <w:rPr/>
      </w:pPr>
      <w:r>
        <w:rPr>
          <w:bCs/>
          <w:color w:val="00000A"/>
          <w:sz w:val="20"/>
          <w:szCs w:val="20"/>
        </w:rPr>
        <w:t xml:space="preserve">финансовую </w:t>
      </w:r>
      <w:r>
        <w:rPr>
          <w:bCs/>
          <w:color w:val="00000A"/>
          <w:sz w:val="20"/>
          <w:szCs w:val="20"/>
          <w:lang w:val="en-US"/>
        </w:rPr>
        <w:t>(</w:t>
      </w:r>
      <w:r>
        <w:rPr>
          <w:bCs/>
          <w:color w:val="00000A"/>
          <w:sz w:val="20"/>
          <w:szCs w:val="20"/>
        </w:rPr>
        <w:t>бухгалтерскую) отчетность;</w:t>
      </w:r>
    </w:p>
    <w:p>
      <w:pPr>
        <w:pStyle w:val="Normal"/>
        <w:widowControl/>
        <w:numPr>
          <w:ilvl w:val="0"/>
          <w:numId w:val="5"/>
        </w:numPr>
        <w:tabs>
          <w:tab w:val="clear" w:pos="708"/>
          <w:tab w:val="left" w:pos="1410" w:leader="none"/>
        </w:tabs>
        <w:spacing w:before="0" w:after="0"/>
        <w:ind w:firstLine="850" w:left="0" w:right="0"/>
        <w:jc w:val="both"/>
        <w:rPr>
          <w:bCs/>
          <w:color w:val="00000A"/>
          <w:sz w:val="20"/>
          <w:szCs w:val="20"/>
        </w:rPr>
      </w:pPr>
      <w:r>
        <w:rPr>
          <w:bCs/>
          <w:color w:val="00000A"/>
          <w:sz w:val="20"/>
          <w:szCs w:val="20"/>
        </w:rPr>
        <w:t>учетные регистры бухгалтерского учета;</w:t>
      </w:r>
    </w:p>
    <w:p>
      <w:pPr>
        <w:pStyle w:val="Normal"/>
        <w:widowControl/>
        <w:numPr>
          <w:ilvl w:val="0"/>
          <w:numId w:val="5"/>
        </w:numPr>
        <w:tabs>
          <w:tab w:val="clear" w:pos="708"/>
          <w:tab w:val="left" w:pos="1410" w:leader="none"/>
        </w:tabs>
        <w:spacing w:before="0" w:after="0"/>
        <w:ind w:firstLine="850" w:left="0" w:right="0"/>
        <w:jc w:val="both"/>
        <w:rPr>
          <w:bCs/>
          <w:color w:val="00000A"/>
          <w:sz w:val="20"/>
          <w:szCs w:val="20"/>
        </w:rPr>
      </w:pPr>
      <w:r>
        <w:rPr>
          <w:bCs/>
          <w:color w:val="00000A"/>
          <w:sz w:val="20"/>
          <w:szCs w:val="20"/>
        </w:rPr>
        <w:t>бизнес-планы;</w:t>
      </w:r>
    </w:p>
    <w:p>
      <w:pPr>
        <w:pStyle w:val="Normal"/>
        <w:widowControl/>
        <w:numPr>
          <w:ilvl w:val="0"/>
          <w:numId w:val="5"/>
        </w:numPr>
        <w:tabs>
          <w:tab w:val="clear" w:pos="708"/>
          <w:tab w:val="left" w:pos="1410" w:leader="none"/>
        </w:tabs>
        <w:spacing w:before="0" w:after="0"/>
        <w:ind w:firstLine="850" w:left="0" w:right="0"/>
        <w:jc w:val="both"/>
        <w:rPr>
          <w:bCs/>
          <w:color w:val="00000A"/>
          <w:sz w:val="20"/>
          <w:szCs w:val="20"/>
        </w:rPr>
      </w:pPr>
      <w:r>
        <w:rPr>
          <w:bCs/>
          <w:color w:val="00000A"/>
          <w:sz w:val="20"/>
          <w:szCs w:val="20"/>
        </w:rPr>
        <w:t>договоры (соглашения), заключаемые или заключенные непосредственно Покупателем либо в его пользу, а также информацию и сведения, содержащиеся в данных договорах (соглашениях);</w:t>
      </w:r>
    </w:p>
    <w:p>
      <w:pPr>
        <w:pStyle w:val="Normal"/>
        <w:widowControl/>
        <w:numPr>
          <w:ilvl w:val="0"/>
          <w:numId w:val="5"/>
        </w:numPr>
        <w:tabs>
          <w:tab w:val="clear" w:pos="708"/>
          <w:tab w:val="left" w:pos="1410" w:leader="none"/>
        </w:tabs>
        <w:spacing w:before="0" w:after="0"/>
        <w:ind w:firstLine="850" w:left="0" w:right="0"/>
        <w:jc w:val="both"/>
        <w:rPr>
          <w:bCs/>
          <w:color w:val="00000A"/>
          <w:sz w:val="20"/>
          <w:szCs w:val="20"/>
        </w:rPr>
      </w:pPr>
      <w:r>
        <w:rPr>
          <w:bCs/>
          <w:color w:val="00000A"/>
          <w:sz w:val="20"/>
          <w:szCs w:val="20"/>
        </w:rPr>
        <w:t>сведения о финансовых, правовых, организационных и других взаимоотношениях между Покупателем и третьими лицами;</w:t>
      </w:r>
    </w:p>
    <w:p>
      <w:pPr>
        <w:pStyle w:val="Normal"/>
        <w:widowControl/>
        <w:numPr>
          <w:ilvl w:val="0"/>
          <w:numId w:val="5"/>
        </w:numPr>
        <w:tabs>
          <w:tab w:val="clear" w:pos="708"/>
          <w:tab w:val="left" w:pos="1410" w:leader="none"/>
        </w:tabs>
        <w:spacing w:before="0" w:after="0"/>
        <w:ind w:firstLine="850" w:left="0" w:right="0"/>
        <w:jc w:val="both"/>
        <w:rPr/>
      </w:pPr>
      <w:r>
        <w:rPr>
          <w:bCs/>
          <w:color w:val="00000A"/>
          <w:sz w:val="20"/>
          <w:szCs w:val="20"/>
        </w:rPr>
        <w:t>сведения о находящихся на регистрации товарных знаках Покупателя, а также об объектах интеллектуальной собственности Покупателя, сведения о которых не являются опубликованными;</w:t>
      </w:r>
    </w:p>
    <w:p>
      <w:pPr>
        <w:pStyle w:val="Normal"/>
        <w:widowControl/>
        <w:numPr>
          <w:ilvl w:val="0"/>
          <w:numId w:val="5"/>
        </w:numPr>
        <w:tabs>
          <w:tab w:val="clear" w:pos="708"/>
          <w:tab w:val="left" w:pos="1410" w:leader="none"/>
        </w:tabs>
        <w:spacing w:before="0" w:after="0"/>
        <w:ind w:firstLine="850" w:left="0" w:right="0"/>
        <w:jc w:val="both"/>
        <w:rPr/>
      </w:pPr>
      <w:r>
        <w:rPr>
          <w:bCs/>
          <w:color w:val="00000A"/>
          <w:sz w:val="20"/>
          <w:szCs w:val="20"/>
        </w:rPr>
        <w:t>сведения о Поставщиках, поставщиках оборудования и материалов, а также о покупателях продукции Покупателя и их аффилированных лицах;</w:t>
      </w:r>
    </w:p>
    <w:p>
      <w:pPr>
        <w:pStyle w:val="Normal"/>
        <w:widowControl/>
        <w:numPr>
          <w:ilvl w:val="0"/>
          <w:numId w:val="5"/>
        </w:numPr>
        <w:tabs>
          <w:tab w:val="clear" w:pos="708"/>
          <w:tab w:val="left" w:pos="1410" w:leader="none"/>
        </w:tabs>
        <w:spacing w:before="0" w:after="0"/>
        <w:ind w:firstLine="850" w:left="0" w:right="0"/>
        <w:jc w:val="both"/>
        <w:rPr/>
      </w:pPr>
      <w:r>
        <w:rPr>
          <w:bCs/>
          <w:color w:val="00000A"/>
          <w:sz w:val="20"/>
          <w:szCs w:val="20"/>
        </w:rPr>
        <w:t>сведения об объемах производства и/или реализации продукции и услуг Покупателя или его ффилированных лиц;</w:t>
      </w:r>
    </w:p>
    <w:p>
      <w:pPr>
        <w:pStyle w:val="Normal"/>
        <w:widowControl/>
        <w:numPr>
          <w:ilvl w:val="0"/>
          <w:numId w:val="5"/>
        </w:numPr>
        <w:tabs>
          <w:tab w:val="clear" w:pos="708"/>
          <w:tab w:val="left" w:pos="1410" w:leader="none"/>
        </w:tabs>
        <w:spacing w:before="0" w:after="0"/>
        <w:ind w:firstLine="850" w:left="0" w:right="0"/>
        <w:jc w:val="both"/>
        <w:rPr>
          <w:bCs/>
          <w:color w:val="00000A"/>
          <w:sz w:val="20"/>
          <w:szCs w:val="20"/>
        </w:rPr>
      </w:pPr>
      <w:r>
        <w:rPr>
          <w:bCs/>
          <w:color w:val="00000A"/>
          <w:sz w:val="20"/>
          <w:szCs w:val="20"/>
        </w:rPr>
        <w:t>материалы обобщения, анализа, оценки, иных действий по обработке вышеуказанной Информации и документов.</w:t>
      </w:r>
    </w:p>
    <w:p>
      <w:pPr>
        <w:pStyle w:val="ListParagraph"/>
        <w:widowControl/>
        <w:numPr>
          <w:ilvl w:val="1"/>
          <w:numId w:val="2"/>
        </w:numPr>
        <w:tabs>
          <w:tab w:val="clear" w:pos="708"/>
          <w:tab w:val="left" w:pos="1410" w:leader="none"/>
        </w:tabs>
        <w:spacing w:before="0" w:after="0"/>
        <w:ind w:firstLine="850" w:left="0" w:right="0"/>
        <w:contextualSpacing/>
        <w:jc w:val="both"/>
        <w:rPr/>
      </w:pPr>
      <w:bookmarkStart w:id="6" w:name="_Ref361337849"/>
      <w:r>
        <w:rPr>
          <w:bCs/>
          <w:color w:val="00000A"/>
          <w:sz w:val="20"/>
          <w:szCs w:val="20"/>
        </w:rPr>
        <w:t>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color w:val="00000A"/>
          <w:sz w:val="20"/>
          <w:szCs w:val="20"/>
        </w:rPr>
        <w:t xml:space="preserve"> </w:t>
      </w:r>
      <w:r>
        <w:rPr>
          <w:bCs/>
          <w:color w:val="00000A"/>
          <w:sz w:val="20"/>
          <w:szCs w:val="20"/>
        </w:rPr>
        <w:t>(расторжения) или исполнения, в том числе:</w:t>
      </w:r>
      <w:bookmarkEnd w:id="6"/>
      <w:r>
        <w:rPr>
          <w:bCs/>
          <w:color w:val="00000A"/>
          <w:sz w:val="20"/>
          <w:szCs w:val="20"/>
        </w:rPr>
        <w:t xml:space="preserve"> </w:t>
      </w:r>
    </w:p>
    <w:p>
      <w:pPr>
        <w:pStyle w:val="ListParagraph"/>
        <w:widowControl/>
        <w:numPr>
          <w:ilvl w:val="2"/>
          <w:numId w:val="2"/>
        </w:numPr>
        <w:tabs>
          <w:tab w:val="clear" w:pos="708"/>
          <w:tab w:val="left" w:pos="1410" w:leader="none"/>
        </w:tabs>
        <w:spacing w:before="0" w:after="0"/>
        <w:ind w:firstLine="850" w:left="0" w:right="0"/>
        <w:contextualSpacing/>
        <w:jc w:val="both"/>
        <w:rPr/>
      </w:pPr>
      <w:r>
        <w:rPr>
          <w:bCs/>
          <w:color w:val="00000A"/>
          <w:sz w:val="20"/>
          <w:szCs w:val="20"/>
        </w:rPr>
        <w:t xml:space="preserve">Не разглашать, не обсуждать содержание, не предоставлять копий, не публиковать и не </w:t>
      </w:r>
      <w:r>
        <w:rPr>
          <w:color w:val="00000A"/>
          <w:sz w:val="20"/>
          <w:szCs w:val="20"/>
        </w:rPr>
        <w:t>раскрывать</w:t>
      </w:r>
      <w:r>
        <w:rPr>
          <w:bCs/>
          <w:color w:val="00000A"/>
          <w:sz w:val="20"/>
          <w:szCs w:val="20"/>
        </w:rPr>
        <w:t xml:space="preserve"> в какой-либо иной форме третьим лицам Информацию без получения предварительного письменного согласия Покупателя, за исключением случаев, предусмотренных законодательством Российской Федерации и пункте 6.6.7 Договора.</w:t>
      </w:r>
    </w:p>
    <w:p>
      <w:pPr>
        <w:pStyle w:val="ListParagraph"/>
        <w:widowControl/>
        <w:numPr>
          <w:ilvl w:val="2"/>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Принимать меры предосторожности, обычно используемые для защиты такого рода информации в деловом обороте, при этом если Поставщиком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Поставщик обязан использовать </w:t>
        <w:br/>
        <w:t>в отношении защиты Информации обычно используемые им меры защиты.</w:t>
      </w:r>
    </w:p>
    <w:p>
      <w:pPr>
        <w:pStyle w:val="ListParagraph"/>
        <w:widowControl/>
        <w:numPr>
          <w:ilvl w:val="2"/>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Использовать Информацию исключительно для целей, для которых она была предоставлена. </w:t>
      </w:r>
    </w:p>
    <w:p>
      <w:pPr>
        <w:pStyle w:val="ListParagraph"/>
        <w:widowControl/>
        <w:numPr>
          <w:ilvl w:val="2"/>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widowControl/>
        <w:numPr>
          <w:ilvl w:val="2"/>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такого несанкционированного раскрытия.</w:t>
      </w:r>
    </w:p>
    <w:p>
      <w:pPr>
        <w:pStyle w:val="ListParagraph"/>
        <w:widowControl/>
        <w:numPr>
          <w:ilvl w:val="2"/>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на технических средствах Поставщика. При этом Покупатель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ListParagraph"/>
        <w:widowControl/>
        <w:numPr>
          <w:ilvl w:val="2"/>
          <w:numId w:val="2"/>
        </w:numPr>
        <w:tabs>
          <w:tab w:val="clear" w:pos="708"/>
          <w:tab w:val="left" w:pos="1410" w:leader="none"/>
        </w:tabs>
        <w:spacing w:before="0" w:after="0"/>
        <w:ind w:firstLine="850" w:left="0" w:right="0"/>
        <w:contextualSpacing/>
        <w:jc w:val="both"/>
        <w:rPr/>
      </w:pPr>
      <w:bookmarkStart w:id="7" w:name="_Ref361337832"/>
      <w:bookmarkEnd w:id="7"/>
      <w:r>
        <w:rPr>
          <w:bCs/>
          <w:color w:val="00000A"/>
          <w:sz w:val="20"/>
          <w:szCs w:val="20"/>
        </w:rPr>
        <w:t>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p>
    <w:p>
      <w:pPr>
        <w:pStyle w:val="ListParagraph"/>
        <w:widowControl/>
        <w:numPr>
          <w:ilvl w:val="2"/>
          <w:numId w:val="2"/>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Не разглашать третьим лицам факты передачи или получения Информации.</w:t>
      </w:r>
    </w:p>
    <w:p>
      <w:pPr>
        <w:pStyle w:val="ListParagraph"/>
        <w:widowControl/>
        <w:numPr>
          <w:ilvl w:val="1"/>
          <w:numId w:val="2"/>
        </w:numPr>
        <w:tabs>
          <w:tab w:val="clear" w:pos="708"/>
          <w:tab w:val="left" w:pos="1410" w:leader="none"/>
        </w:tabs>
        <w:spacing w:before="0" w:after="0"/>
        <w:ind w:firstLine="850" w:left="0" w:right="0"/>
        <w:contextualSpacing/>
        <w:jc w:val="both"/>
        <w:rPr/>
      </w:pPr>
      <w:bookmarkStart w:id="8" w:name="_Ref361337863"/>
      <w:bookmarkEnd w:id="8"/>
      <w:r>
        <w:rPr>
          <w:bCs/>
          <w:color w:val="00000A"/>
          <w:sz w:val="20"/>
          <w:szCs w:val="20"/>
        </w:rPr>
        <w:t>Поставщик, нарушивший условия настоящего раздела Договора, возмещает Покупателю убытки, вызванные таким нарушением, в течение 10 (десяти) календарных дней с даты получения соответствующего письменного требования Покупателя.</w:t>
      </w:r>
    </w:p>
    <w:p>
      <w:pPr>
        <w:pStyle w:val="Normal"/>
        <w:numPr>
          <w:ilvl w:val="1"/>
          <w:numId w:val="2"/>
        </w:numPr>
        <w:tabs>
          <w:tab w:val="clear" w:pos="708"/>
          <w:tab w:val="left" w:pos="1410" w:leader="none"/>
        </w:tabs>
        <w:spacing w:before="0" w:after="0"/>
        <w:ind w:firstLine="850" w:left="0" w:right="0"/>
        <w:jc w:val="both"/>
        <w:rPr>
          <w:bCs/>
          <w:color w:val="00000A"/>
          <w:sz w:val="20"/>
          <w:szCs w:val="20"/>
        </w:rPr>
      </w:pPr>
      <w:r>
        <w:rPr>
          <w:bCs/>
          <w:color w:val="00000A"/>
          <w:sz w:val="20"/>
          <w:szCs w:val="20"/>
        </w:rPr>
        <w:t xml:space="preserve">Условия защиты Информации, представляемой Поставщиком Покупателю, могут быть дополнительно урегулированы отдельно заключаемым Сторонами соглашением. </w:t>
      </w:r>
    </w:p>
    <w:p>
      <w:pPr>
        <w:pStyle w:val="ListParagraph"/>
        <w:widowControl/>
        <w:numPr>
          <w:ilvl w:val="0"/>
          <w:numId w:val="10"/>
        </w:numPr>
        <w:tabs>
          <w:tab w:val="clear" w:pos="708"/>
          <w:tab w:val="left" w:pos="1410" w:leader="none"/>
        </w:tabs>
        <w:spacing w:before="0" w:after="0"/>
        <w:ind w:firstLine="850" w:left="0" w:right="0"/>
        <w:contextualSpacing/>
        <w:jc w:val="center"/>
        <w:rPr/>
      </w:pPr>
      <w:r>
        <w:rPr>
          <w:b/>
          <w:bCs/>
          <w:color w:val="00000A"/>
          <w:sz w:val="20"/>
          <w:szCs w:val="20"/>
        </w:rPr>
        <w:t>Антикоррупционная оговорка</w:t>
      </w:r>
    </w:p>
    <w:p>
      <w:pPr>
        <w:pStyle w:val="ListParagraph"/>
        <w:widowControl/>
        <w:numPr>
          <w:ilvl w:val="1"/>
          <w:numId w:val="10"/>
        </w:numPr>
        <w:tabs>
          <w:tab w:val="clear" w:pos="708"/>
          <w:tab w:val="left" w:pos="1410" w:leader="none"/>
        </w:tabs>
        <w:spacing w:before="0" w:after="0"/>
        <w:ind w:firstLine="850" w:left="0" w:right="0"/>
        <w:contextualSpacing/>
        <w:jc w:val="both"/>
        <w:rPr/>
      </w:pPr>
      <w:r>
        <w:rPr>
          <w:color w:val="00000A"/>
          <w:sz w:val="20"/>
          <w:szCs w:val="20"/>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и/или представители не осуществляли, прямо или косвенно не </w:t>
      </w:r>
      <w:r>
        <w:rPr>
          <w:bCs/>
          <w:color w:val="00000A"/>
          <w:sz w:val="20"/>
          <w:szCs w:val="20"/>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и/или представителям другой Стороны, а также лицам, аффилированным по отношению к таким работникам и/или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При исполнении своих обязательств по Договору, Стороны, их аффилированные лица, работники и/или представители также обязуются не осуществлять действия, квалифицируемые Применимым правом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ListParagraph"/>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Каналы связи Линия доверия Группы РусГидро: </w:t>
      </w:r>
    </w:p>
    <w:p>
      <w:pPr>
        <w:pStyle w:val="ListParagraph"/>
        <w:numPr>
          <w:ilvl w:val="2"/>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Электронная почта: ld@rushydro.ru.</w:t>
      </w:r>
    </w:p>
    <w:p>
      <w:pPr>
        <w:pStyle w:val="ListParagraph"/>
        <w:numPr>
          <w:ilvl w:val="2"/>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pPr>
        <w:pStyle w:val="ListParagraph"/>
        <w:widowControl/>
        <w:numPr>
          <w:ilvl w:val="2"/>
          <w:numId w:val="10"/>
        </w:numPr>
        <w:tabs>
          <w:tab w:val="clear" w:pos="708"/>
          <w:tab w:val="left" w:pos="1410" w:leader="none"/>
        </w:tabs>
        <w:spacing w:lineRule="auto" w:line="259" w:before="0" w:after="0"/>
        <w:ind w:firstLine="850" w:left="0" w:right="0"/>
        <w:contextualSpacing/>
        <w:jc w:val="both"/>
        <w:rPr/>
      </w:pPr>
      <w:r>
        <w:rPr>
          <w:color w:val="00000A"/>
          <w:sz w:val="20"/>
          <w:szCs w:val="20"/>
        </w:rPr>
        <w:t>Телефонный автоответчик (необходимо позвонить по телефону +7(495)785-09-37 (круглосуточно), дождаться сигнала о начале записи и оставить устное обращение).</w:t>
      </w:r>
    </w:p>
    <w:p>
      <w:pPr>
        <w:pStyle w:val="ListParagraph"/>
        <w:widowControl/>
        <w:numPr>
          <w:ilvl w:val="0"/>
          <w:numId w:val="10"/>
        </w:numPr>
        <w:tabs>
          <w:tab w:val="clear" w:pos="708"/>
          <w:tab w:val="left" w:pos="1410" w:leader="none"/>
        </w:tabs>
        <w:spacing w:before="0" w:after="0"/>
        <w:ind w:firstLine="850" w:left="0" w:right="0"/>
        <w:contextualSpacing/>
        <w:jc w:val="center"/>
        <w:rPr/>
      </w:pPr>
      <w:r>
        <w:rPr>
          <w:b/>
          <w:bCs/>
          <w:color w:val="00000A"/>
          <w:sz w:val="20"/>
          <w:szCs w:val="20"/>
        </w:rPr>
        <w:t>Обстоятельства непреодолимой силы (форс-мажор)</w:t>
      </w:r>
    </w:p>
    <w:p>
      <w:pPr>
        <w:pStyle w:val="ListParagraph"/>
        <w:widowControl/>
        <w:numPr>
          <w:ilvl w:val="1"/>
          <w:numId w:val="10"/>
        </w:numPr>
        <w:tabs>
          <w:tab w:val="clear" w:pos="708"/>
          <w:tab w:val="left" w:pos="1410" w:leader="none"/>
        </w:tabs>
        <w:spacing w:before="0" w:after="0"/>
        <w:ind w:firstLine="850" w:left="0" w:right="0"/>
        <w:contextualSpacing/>
        <w:jc w:val="both"/>
        <w:rPr/>
      </w:pPr>
      <w:r>
        <w:rPr>
          <w:bCs/>
          <w:color w:val="00000A"/>
          <w:sz w:val="20"/>
          <w:szCs w:val="20"/>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При этом любая из Сторон вправе отказаться от исполнения Договора в одностороннем внесудебном порядке.</w:t>
      </w:r>
    </w:p>
    <w:p>
      <w:pPr>
        <w:pStyle w:val="Normal"/>
        <w:widowControl/>
        <w:numPr>
          <w:ilvl w:val="0"/>
          <w:numId w:val="10"/>
        </w:numPr>
        <w:spacing w:before="0" w:after="0"/>
        <w:ind w:firstLine="850" w:left="0" w:right="0"/>
        <w:jc w:val="center"/>
        <w:rPr/>
      </w:pPr>
      <w:r>
        <w:rPr>
          <w:b/>
          <w:bCs/>
          <w:color w:val="00000A"/>
          <w:sz w:val="20"/>
          <w:szCs w:val="20"/>
        </w:rPr>
        <w:t>Особые положения</w:t>
      </w:r>
    </w:p>
    <w:p>
      <w:pPr>
        <w:pStyle w:val="ListParagraph"/>
        <w:widowControl/>
        <w:numPr>
          <w:ilvl w:val="1"/>
          <w:numId w:val="10"/>
        </w:numPr>
        <w:tabs>
          <w:tab w:val="clear" w:pos="708"/>
          <w:tab w:val="left" w:pos="1410" w:leader="none"/>
        </w:tabs>
        <w:spacing w:before="0" w:after="0"/>
        <w:ind w:firstLine="850" w:left="0" w:right="0"/>
        <w:contextualSpacing/>
        <w:jc w:val="both"/>
        <w:rPr/>
      </w:pPr>
      <w:r>
        <w:rPr>
          <w:bCs/>
          <w:color w:val="00000A"/>
          <w:sz w:val="20"/>
          <w:szCs w:val="20"/>
        </w:rPr>
        <w:t xml:space="preserve">Поставщик обязуется не привлекать и не допускать привлечения к исполнению обязательств по Договору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rStyle w:val="Hyperlink"/>
            <w:bCs/>
            <w:color w:val="00000A"/>
            <w:sz w:val="20"/>
            <w:szCs w:val="20"/>
          </w:rPr>
          <w:t>№ 18162/09</w:t>
        </w:r>
      </w:hyperlink>
      <w:r>
        <w:rPr>
          <w:bCs/>
          <w:color w:val="00000A"/>
          <w:sz w:val="20"/>
          <w:szCs w:val="20"/>
        </w:rPr>
        <w:t xml:space="preserve"> и от 25.05.2010 </w:t>
      </w:r>
      <w:hyperlink r:id="rId3">
        <w:r>
          <w:rPr>
            <w:rStyle w:val="Hyperlink"/>
            <w:bCs/>
            <w:color w:val="00000A"/>
            <w:sz w:val="20"/>
            <w:szCs w:val="20"/>
          </w:rPr>
          <w:t>№ 15658/09</w:t>
        </w:r>
      </w:hyperlink>
      <w:r>
        <w:rPr>
          <w:bCs/>
          <w:color w:val="00000A"/>
          <w:sz w:val="20"/>
          <w:szCs w:val="20"/>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rStyle w:val="Hyperlink"/>
            <w:bCs/>
            <w:color w:val="00000A"/>
            <w:sz w:val="20"/>
            <w:szCs w:val="20"/>
          </w:rPr>
          <w:t>Критери</w:t>
        </w:r>
      </w:hyperlink>
      <w:r>
        <w:rPr>
          <w:bCs/>
          <w:color w:val="00000A"/>
          <w:sz w:val="20"/>
          <w:szCs w:val="20"/>
        </w:rPr>
        <w:t>ям оценки рисков, используемым налоговыми органами в процессе отбора объектов для проведения выездных налоговых проверок (утв. приказом ФНС России от 30.05.2007 № ММ-3-06/333@ или заменяющий его документ).</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Поставщик обязуется незамедлительно уведомить Покупателя о появлении в ходе исполнения Договора у привлеченных организаций признаков недобросовестности, указанных в пункте 9.1 Договора, а также обеспечить прекращение участия таких организаций в исполнении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В случае нарушения Поставщиком обязательств, установленных пунктами 9.1, 9.2 Договора, Покупатель в дополнение к основаниям, предусмотренным Договором,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должна наступать ранее 10 (десяти) рабочих дней с даты получения Поставщиком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Покупатель не отзовет указанное Уведомление по итогам рассмотрения мотивированных письменных возражений Поставщика, представленных до наступления указанной Покупателем даты расторжения.</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Поставщик обязан уплатить Покупателю штраф в размере суммы денежных средств, перечисленной организации, отвечающей признакам недобросовестности, а также дополнительно компенсировать Покупателю убытки, причиненные в результате нарушения обязательств, установленных пунктами 9.1, 9.2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Штраф, предусмотренный пунктом 9.4 Договора, оплачивается Поставщиком в течение 10 (десяти) рабочих дней с даты получения соответствующего письменного требования Покупателя. Покупатель вправе предъявить требование об уплате штрафа вне зависимости от направления уведомления об отказе от Договора (исполнения Договора), предусмотренного пунктом 9.3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Покупатель вправе приостановить осуществление любых платежей по Договору, причитающихся Поставщику, независимо от наличия оснований и наступления сроков таких платежей, до уплаты Поставщиком штрафа, предусмотренного пунктом 9.4 Договора. При этом Покупатель не будет считаться просрочившим и/или нарушившим свои обязательства по Договору.</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Независимо от других положений Договора, положения пунктов 9.4, 9.5 Договора продолжают действовать в течение 4 (четырех) лет после его прекращения (расторжения) или исполнения.</w:t>
      </w:r>
    </w:p>
    <w:p>
      <w:pPr>
        <w:pStyle w:val="ListParagraph"/>
        <w:widowControl/>
        <w:numPr>
          <w:ilvl w:val="0"/>
          <w:numId w:val="10"/>
        </w:numPr>
        <w:tabs>
          <w:tab w:val="clear" w:pos="708"/>
          <w:tab w:val="left" w:pos="1410" w:leader="none"/>
        </w:tabs>
        <w:spacing w:before="0" w:after="0"/>
        <w:ind w:firstLine="850" w:left="0" w:right="0"/>
        <w:contextualSpacing/>
        <w:jc w:val="center"/>
        <w:rPr/>
      </w:pPr>
      <w:r>
        <w:rPr>
          <w:b/>
          <w:bCs/>
          <w:color w:val="00000A"/>
          <w:sz w:val="20"/>
          <w:szCs w:val="20"/>
        </w:rPr>
        <w:t>Заверения</w:t>
      </w:r>
      <w:r>
        <w:rPr>
          <w:b/>
          <w:color w:val="00000A"/>
          <w:sz w:val="20"/>
          <w:szCs w:val="20"/>
        </w:rPr>
        <w:t xml:space="preserve"> Сторон</w:t>
      </w:r>
    </w:p>
    <w:p>
      <w:pPr>
        <w:pStyle w:val="ListParagraph"/>
        <w:widowControl/>
        <w:numPr>
          <w:ilvl w:val="1"/>
          <w:numId w:val="10"/>
        </w:numPr>
        <w:tabs>
          <w:tab w:val="clear" w:pos="708"/>
          <w:tab w:val="left" w:pos="1410" w:leader="none"/>
        </w:tabs>
        <w:spacing w:before="0" w:after="0"/>
        <w:ind w:firstLine="850" w:left="0" w:right="0"/>
        <w:contextualSpacing/>
        <w:jc w:val="both"/>
        <w:rPr/>
      </w:pPr>
      <w:r>
        <w:rPr>
          <w:bCs/>
          <w:color w:val="00000A"/>
          <w:sz w:val="20"/>
          <w:szCs w:val="20"/>
        </w:rPr>
        <w:t>Каждая</w:t>
      </w:r>
      <w:r>
        <w:rPr>
          <w:color w:val="00000A"/>
          <w:sz w:val="20"/>
          <w:szCs w:val="20"/>
        </w:rPr>
        <w:t xml:space="preserve"> из Сторон заявляет и подтверждает другой Стороне, что: </w:t>
      </w:r>
    </w:p>
    <w:p>
      <w:pPr>
        <w:pStyle w:val="ListParagraph"/>
        <w:widowControl/>
        <w:numPr>
          <w:ilvl w:val="0"/>
          <w:numId w:val="6"/>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ListParagraph"/>
        <w:widowControl/>
        <w:numPr>
          <w:ilvl w:val="0"/>
          <w:numId w:val="6"/>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ListParagraph"/>
        <w:widowControl/>
        <w:numPr>
          <w:ilvl w:val="0"/>
          <w:numId w:val="6"/>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она получила все корпоративные одобрения Договора органами управления по основаниям, установленным законодательством Российской Федерации и/или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pPr>
        <w:pStyle w:val="ListParagraph"/>
        <w:widowControl/>
        <w:numPr>
          <w:ilvl w:val="0"/>
          <w:numId w:val="6"/>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лица, подписывающие от имени Сторон Договор, надлежащим образом уполномочены на его подписание;</w:t>
      </w:r>
    </w:p>
    <w:p>
      <w:pPr>
        <w:pStyle w:val="ListParagraph"/>
        <w:widowControl/>
        <w:numPr>
          <w:ilvl w:val="0"/>
          <w:numId w:val="6"/>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Поставщик заявляет и заверяет Покупателя в том, что на момент заключения Договора:</w:t>
      </w:r>
    </w:p>
    <w:p>
      <w:pPr>
        <w:pStyle w:val="ListParagraph"/>
        <w:widowControl/>
        <w:numPr>
          <w:ilvl w:val="0"/>
          <w:numId w:val="8"/>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учредителем / учредителями Поставщика являются лица, не являющиеся массовыми учредителем / учредителями;</w:t>
      </w:r>
    </w:p>
    <w:p>
      <w:pPr>
        <w:pStyle w:val="ListParagraph"/>
        <w:widowControl/>
        <w:numPr>
          <w:ilvl w:val="0"/>
          <w:numId w:val="8"/>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руководителем Поставщика является лицо, не являющееся массовым руководителем;</w:t>
      </w:r>
    </w:p>
    <w:p>
      <w:pPr>
        <w:pStyle w:val="ListParagraph"/>
        <w:widowControl/>
        <w:numPr>
          <w:ilvl w:val="0"/>
          <w:numId w:val="8"/>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Поставщик фактически находится по адресу, указанному в Едином государственном реестре юридических лиц; </w:t>
      </w:r>
    </w:p>
    <w:p>
      <w:pPr>
        <w:pStyle w:val="ListParagraph"/>
        <w:widowControl/>
        <w:numPr>
          <w:ilvl w:val="0"/>
          <w:numId w:val="8"/>
        </w:numPr>
        <w:tabs>
          <w:tab w:val="clear" w:pos="708"/>
          <w:tab w:val="left" w:pos="1410" w:leader="none"/>
        </w:tabs>
        <w:spacing w:before="0" w:after="0"/>
        <w:ind w:firstLine="850" w:left="0" w:right="0"/>
        <w:contextualSpacing/>
        <w:jc w:val="both"/>
        <w:rPr/>
      </w:pPr>
      <w:r>
        <w:rPr>
          <w:color w:val="00000A"/>
          <w:sz w:val="20"/>
          <w:szCs w:val="20"/>
        </w:rPr>
        <w:t>Поставщик своевременно и в полном объеме уплачивает налоги и сборы в соответствии с законодательством Российской Федерации;</w:t>
      </w:r>
    </w:p>
    <w:p>
      <w:pPr>
        <w:pStyle w:val="ListParagraph"/>
        <w:widowControl/>
        <w:numPr>
          <w:ilvl w:val="0"/>
          <w:numId w:val="7"/>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Поставщик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Договору или в связи с ним;</w:t>
      </w:r>
    </w:p>
    <w:p>
      <w:pPr>
        <w:pStyle w:val="ListParagraph"/>
        <w:widowControl/>
        <w:numPr>
          <w:ilvl w:val="0"/>
          <w:numId w:val="7"/>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Поставщик тщательно изучил всю информацию, связанную с Договором, в том числе по вопросам, влияющим на сроки, стоимость и качество Товара, полностью ознакомлен со всеми условиями поставки Товара, и принимает на себя все расходы, риски и трудности исполнения обязательств, возникающих из Договора или в связи с ним;</w:t>
      </w:r>
    </w:p>
    <w:p>
      <w:pPr>
        <w:pStyle w:val="ListParagraph"/>
        <w:widowControl/>
        <w:numPr>
          <w:ilvl w:val="0"/>
          <w:numId w:val="7"/>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Поставщик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widowControl/>
        <w:numPr>
          <w:ilvl w:val="0"/>
          <w:numId w:val="7"/>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вся информация, предоставленная Покупателю, является достоверной, полной и точной, и Поставщик не скрыл никаких обстоятельств, которые при их обнаружении могли бы негативно повлиять на решение Покупателя заключить Договор на указанных в нем условиях.</w:t>
      </w:r>
    </w:p>
    <w:p>
      <w:pPr>
        <w:pStyle w:val="Normal"/>
        <w:widowControl/>
        <w:numPr>
          <w:ilvl w:val="1"/>
          <w:numId w:val="10"/>
        </w:numPr>
        <w:tabs>
          <w:tab w:val="clear" w:pos="708"/>
          <w:tab w:val="left" w:pos="1410" w:leader="none"/>
        </w:tabs>
        <w:spacing w:before="0" w:after="0"/>
        <w:ind w:firstLine="850" w:left="0" w:right="0"/>
        <w:jc w:val="both"/>
        <w:rPr>
          <w:color w:val="00000A"/>
          <w:sz w:val="20"/>
          <w:szCs w:val="20"/>
        </w:rPr>
      </w:pPr>
      <w:r>
        <w:rPr>
          <w:color w:val="00000A"/>
          <w:sz w:val="20"/>
          <w:szCs w:val="20"/>
        </w:rPr>
        <w:t xml:space="preserve">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ListParagraph"/>
        <w:widowControl/>
        <w:numPr>
          <w:ilvl w:val="1"/>
          <w:numId w:val="10"/>
        </w:numPr>
        <w:tabs>
          <w:tab w:val="clear" w:pos="708"/>
          <w:tab w:val="left" w:pos="1410" w:leader="none"/>
        </w:tabs>
        <w:spacing w:before="0" w:after="0"/>
        <w:ind w:firstLine="850" w:left="0" w:right="0"/>
        <w:contextualSpacing/>
        <w:jc w:val="both"/>
        <w:rPr/>
      </w:pPr>
      <w:r>
        <w:rPr>
          <w:color w:val="00000A"/>
          <w:sz w:val="20"/>
          <w:szCs w:val="20"/>
        </w:rPr>
        <w:t xml:space="preserve">В случае, если </w:t>
      </w:r>
      <w:r>
        <w:rPr>
          <w:bCs/>
          <w:color w:val="00000A"/>
          <w:sz w:val="20"/>
          <w:szCs w:val="20"/>
        </w:rPr>
        <w:t xml:space="preserve">Поставщик </w:t>
      </w:r>
      <w:r>
        <w:rPr>
          <w:color w:val="00000A"/>
          <w:sz w:val="20"/>
          <w:szCs w:val="20"/>
        </w:rPr>
        <w:t xml:space="preserve">при заключении Договора предоставил Покупателю недостоверные заверения о любом из указанных в настоящем разделе Договора обстоятельств, имеющих существенное значение для заключения и исполнения Договора, </w:t>
      </w:r>
      <w:r>
        <w:rPr>
          <w:bCs/>
          <w:color w:val="00000A"/>
          <w:sz w:val="20"/>
          <w:szCs w:val="20"/>
        </w:rPr>
        <w:t xml:space="preserve">Поставщик </w:t>
      </w:r>
      <w:r>
        <w:rPr>
          <w:color w:val="00000A"/>
          <w:sz w:val="20"/>
          <w:szCs w:val="20"/>
        </w:rPr>
        <w:t>обязан по письменному требованию Покупателя уплатить последнему штраф в размере 5 (пяти) процентов от Цены Договора, указанной в пункте 2.1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Недостоверность,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widowControl/>
        <w:numPr>
          <w:ilvl w:val="0"/>
          <w:numId w:val="10"/>
        </w:numPr>
        <w:spacing w:before="0" w:after="0"/>
        <w:ind w:firstLine="850" w:left="0" w:right="0"/>
        <w:contextualSpacing/>
        <w:jc w:val="center"/>
        <w:rPr/>
      </w:pPr>
      <w:r>
        <w:rPr>
          <w:b/>
          <w:bCs/>
          <w:color w:val="00000A"/>
          <w:sz w:val="20"/>
          <w:szCs w:val="20"/>
        </w:rPr>
        <w:t>П</w:t>
      </w:r>
      <w:r>
        <w:rPr>
          <w:b/>
          <w:color w:val="00000A"/>
          <w:sz w:val="20"/>
          <w:szCs w:val="20"/>
        </w:rPr>
        <w:t>рекращение (расторжение)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pPr>
      <w:r>
        <w:rPr>
          <w:color w:val="00000A"/>
          <w:sz w:val="20"/>
          <w:szCs w:val="20"/>
        </w:rPr>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13.7 Договора, с приложением подписанного соглашения о расторжении Договора. Уведомление должно быть рассмотрено Стороной</w:t>
      </w:r>
      <w:r>
        <w:rPr>
          <w:color w:val="00000A"/>
          <w:spacing w:val="2"/>
          <w:sz w:val="20"/>
          <w:szCs w:val="20"/>
        </w:rPr>
        <w:t>–</w:t>
      </w:r>
      <w:r>
        <w:rPr>
          <w:color w:val="00000A"/>
          <w:sz w:val="20"/>
          <w:szCs w:val="20"/>
        </w:rPr>
        <w:t>получателем в течение 30 (тридцати) календарных дней со дня его получения.</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Покупатель вправе в одностороннем внесудебном порядке отказаться от Договора при условии обязательного направления письменного уведомления об этом Поставщику не позднее чем за 30 (тридцать) календарных дней до предполагаемой даты расторжения Договора. В этом случае Договор считается прекращенным (расторгнутым) со дня, следующего за днем получения Поставщиком уведомления Покупателя об отказе от Договора (исполнения Договора). </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В случае существенного нарушения Договора Поставщиком Покупатель вправе в одностороннем внесудебном порядке отказаться от Договора. </w:t>
      </w:r>
    </w:p>
    <w:p>
      <w:pPr>
        <w:pStyle w:val="ListParagraph"/>
        <w:widowControl/>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Стороны установили, что существенным нарушением Договора Поставщиком является: </w:t>
      </w:r>
    </w:p>
    <w:p>
      <w:pPr>
        <w:pStyle w:val="NormalWeb"/>
        <w:numPr>
          <w:ilvl w:val="0"/>
          <w:numId w:val="9"/>
        </w:numPr>
        <w:tabs>
          <w:tab w:val="clear" w:pos="708"/>
          <w:tab w:val="left" w:pos="1410" w:leader="none"/>
        </w:tabs>
        <w:spacing w:before="0" w:after="0"/>
        <w:ind w:firstLine="850" w:left="0" w:right="0"/>
        <w:jc w:val="both"/>
        <w:rPr>
          <w:color w:val="00000A"/>
          <w:sz w:val="20"/>
          <w:szCs w:val="20"/>
        </w:rPr>
      </w:pPr>
      <w:r>
        <w:rPr>
          <w:color w:val="00000A"/>
          <w:sz w:val="20"/>
          <w:szCs w:val="20"/>
        </w:rPr>
        <w:t xml:space="preserve">нарушение Поставщиком общего срока поставки Товара по Договору, а также промежуточных сроков поставки Товара (партий Товара), установленных Заявками Покупателя, более чем на 30 (тридцать) календарных дней по причинам, не зависящим от Покупателя; </w:t>
      </w:r>
    </w:p>
    <w:p>
      <w:pPr>
        <w:pStyle w:val="NormalWeb"/>
        <w:numPr>
          <w:ilvl w:val="0"/>
          <w:numId w:val="9"/>
        </w:numPr>
        <w:tabs>
          <w:tab w:val="clear" w:pos="708"/>
          <w:tab w:val="left" w:pos="1410" w:leader="none"/>
        </w:tabs>
        <w:spacing w:before="0" w:after="0"/>
        <w:ind w:firstLine="850" w:left="0" w:right="0"/>
        <w:jc w:val="both"/>
        <w:rPr>
          <w:color w:val="00000A"/>
          <w:sz w:val="20"/>
          <w:szCs w:val="20"/>
        </w:rPr>
      </w:pPr>
      <w:r>
        <w:rPr>
          <w:color w:val="00000A"/>
          <w:sz w:val="20"/>
          <w:szCs w:val="20"/>
        </w:rPr>
        <w:t xml:space="preserve">несоблюдение Поставщиком требований к качеству Товара, если исправление выявленных Покупателем недостатков (дефектов) Товара влечет нарушение сроков поставки Товара более чем на 30 (тридцать) календарных дней, либо такие недостатки (дефекты) являются неустранимыми; </w:t>
      </w:r>
    </w:p>
    <w:p>
      <w:pPr>
        <w:pStyle w:val="NormalWeb"/>
        <w:numPr>
          <w:ilvl w:val="0"/>
          <w:numId w:val="9"/>
        </w:numPr>
        <w:tabs>
          <w:tab w:val="clear" w:pos="708"/>
          <w:tab w:val="left" w:pos="1410" w:leader="none"/>
        </w:tabs>
        <w:spacing w:before="0" w:after="0"/>
        <w:ind w:firstLine="850" w:left="0" w:right="0"/>
        <w:jc w:val="both"/>
        <w:rPr>
          <w:color w:val="00000A"/>
          <w:sz w:val="20"/>
          <w:szCs w:val="20"/>
        </w:rPr>
      </w:pPr>
      <w:r>
        <w:rPr>
          <w:color w:val="00000A"/>
          <w:sz w:val="20"/>
          <w:szCs w:val="20"/>
        </w:rPr>
        <w:t xml:space="preserve">наложение ареста на имущество Поставщика, введение арбитражным судом процедуры несостоятельности (банкротства) в отношении Поставщика; </w:t>
      </w:r>
    </w:p>
    <w:p>
      <w:pPr>
        <w:pStyle w:val="NormalWeb"/>
        <w:widowControl/>
        <w:numPr>
          <w:ilvl w:val="0"/>
          <w:numId w:val="9"/>
        </w:numPr>
        <w:tabs>
          <w:tab w:val="clear" w:pos="708"/>
          <w:tab w:val="left" w:pos="1410" w:leader="none"/>
        </w:tabs>
        <w:spacing w:before="0" w:after="0"/>
        <w:ind w:firstLine="850" w:left="0" w:right="0"/>
        <w:jc w:val="both"/>
        <w:rPr>
          <w:color w:val="00000A"/>
          <w:sz w:val="20"/>
          <w:szCs w:val="20"/>
        </w:rPr>
      </w:pPr>
      <w:r>
        <w:rPr>
          <w:color w:val="00000A"/>
          <w:sz w:val="20"/>
          <w:szCs w:val="20"/>
        </w:rPr>
        <w:t xml:space="preserve">установление в ходе исполнения Договора фактов несоответствия Поставщика установленным документацией о закупке требованиям к участникам закупки и/или предоставления недостоверной информации о своем соответствии таким требованиям, а также недостоверности, неточности или неполноты заверений Поставщика об обстоятельствах, указанных в разделе 10 Договора, и имеющих существенное значение для его заключения и исполнения. </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 </w:t>
      </w:r>
      <w:r>
        <w:rPr>
          <w:color w:val="00000A"/>
          <w:sz w:val="20"/>
          <w:szCs w:val="20"/>
        </w:rPr>
        <w:t>случае отказа Покупателя от Договора в случаях, предусмотренных пунктами 11.2, 11.3 Договора, последний считается прекращенным (расторгнутым) со дня, следующего за днем получения Поставщиком уведомления Покупателя об отказе от Договора (исполнения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С даты прекращения (расторжения) Договора Поставщик обязан прекратить поставку Товара.</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При прекращении (расторжении) Договора по основаниям, указанным в настоящем разделе Договора, все обязательства Сторон по Договору считаются прекратившимися, за исключением обязательств по незавершенным расчетам, гарантийных обязательств Поставщика в соответствии с разделом 4 Договора, а также обязательств Поставщика по оплате неустойки, штрафов, возмещению убытков в случаях и размерах, предусмотренных Договором.</w:t>
      </w:r>
    </w:p>
    <w:p>
      <w:pPr>
        <w:pStyle w:val="ListParagraph"/>
        <w:widowControl/>
        <w:numPr>
          <w:ilvl w:val="0"/>
          <w:numId w:val="10"/>
        </w:numPr>
        <w:tabs>
          <w:tab w:val="clear" w:pos="708"/>
          <w:tab w:val="left" w:pos="1410" w:leader="none"/>
        </w:tabs>
        <w:spacing w:before="0" w:after="0"/>
        <w:ind w:firstLine="850" w:left="0" w:right="0"/>
        <w:contextualSpacing/>
        <w:jc w:val="center"/>
        <w:rPr/>
      </w:pPr>
      <w:r>
        <w:rPr>
          <w:b/>
          <w:bCs/>
          <w:color w:val="00000A"/>
          <w:sz w:val="20"/>
          <w:szCs w:val="20"/>
        </w:rPr>
        <w:t>Разрешение споров</w:t>
      </w:r>
    </w:p>
    <w:p>
      <w:pPr>
        <w:pStyle w:val="ListParagraph"/>
        <w:widowControl/>
        <w:numPr>
          <w:ilvl w:val="1"/>
          <w:numId w:val="10"/>
        </w:numPr>
        <w:tabs>
          <w:tab w:val="clear" w:pos="708"/>
          <w:tab w:val="left" w:pos="1410" w:leader="none"/>
        </w:tabs>
        <w:spacing w:before="0" w:after="0"/>
        <w:ind w:firstLine="850" w:left="0" w:right="0"/>
        <w:contextualSpacing/>
        <w:jc w:val="both"/>
        <w:rPr/>
      </w:pPr>
      <w:r>
        <w:rPr>
          <w:bCs/>
          <w:color w:val="00000A"/>
          <w:sz w:val="20"/>
          <w:szCs w:val="20"/>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и/или действительностью, разрешаются путем переговоров.</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Споры, указанные в пункте 12.1 Договора, которые не были урегулированы Сторонами путем переговоров, подлежат разрешению в Арбитражном суде Амурской области в соответствии с законодательством Российской Федерации. </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13.7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pPr>
      <w:r>
        <w:rPr>
          <w:bCs/>
          <w:color w:val="00000A"/>
          <w:sz w:val="20"/>
          <w:szCs w:val="20"/>
        </w:rPr>
        <w:t>Срок для рассмотрения претензии – 15 (пятнадцать) рабочих дней со дня 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с иском в суд.</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Условия настоящего раздела сохраняют свою силу в случае признания Договора незаключенным и/или недействительным.</w:t>
      </w:r>
    </w:p>
    <w:p>
      <w:pPr>
        <w:pStyle w:val="ListParagraph"/>
        <w:widowControl/>
        <w:numPr>
          <w:ilvl w:val="0"/>
          <w:numId w:val="10"/>
        </w:numPr>
        <w:tabs>
          <w:tab w:val="clear" w:pos="708"/>
          <w:tab w:val="left" w:pos="1410" w:leader="none"/>
        </w:tabs>
        <w:spacing w:before="0" w:after="0"/>
        <w:ind w:firstLine="850" w:left="0" w:right="0"/>
        <w:contextualSpacing/>
        <w:jc w:val="center"/>
        <w:rPr/>
      </w:pPr>
      <w:r>
        <w:rPr>
          <w:b/>
          <w:bCs/>
          <w:color w:val="00000A"/>
          <w:sz w:val="20"/>
          <w:szCs w:val="20"/>
        </w:rPr>
        <w:t>Заключительные положения</w:t>
      </w:r>
    </w:p>
    <w:p>
      <w:pPr>
        <w:pStyle w:val="ListParagraph"/>
        <w:widowControl/>
        <w:numPr>
          <w:ilvl w:val="1"/>
          <w:numId w:val="10"/>
        </w:numPr>
        <w:tabs>
          <w:tab w:val="clear" w:pos="708"/>
          <w:tab w:val="left" w:pos="1410" w:leader="none"/>
        </w:tabs>
        <w:spacing w:before="0" w:after="0"/>
        <w:ind w:firstLine="850" w:left="0" w:right="0"/>
        <w:contextualSpacing/>
        <w:jc w:val="both"/>
        <w:rPr/>
      </w:pPr>
      <w:r>
        <w:rPr>
          <w:color w:val="00000A"/>
          <w:sz w:val="20"/>
          <w:szCs w:val="20"/>
        </w:rPr>
        <w:t xml:space="preserve">Договор вступает в силу с даты его подписания Сторонами и действует до полного исполнения ими принятых на себя обязательств. </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Сторона, за исключением случаев изменения реквизитов Сторон, предусмотренных пунктом 13.6 Договора. </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В случае наличия любых расхождений между содержанием Договора и приложений к нему, приоритет имеет текст Договора.</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13.7 Договора. Использование средств факсимильной или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pPr>
        <w:pStyle w:val="ListParagraph"/>
        <w:widowControl/>
        <w:numPr>
          <w:ilvl w:val="1"/>
          <w:numId w:val="10"/>
        </w:numPr>
        <w:tabs>
          <w:tab w:val="clear" w:pos="708"/>
          <w:tab w:val="left" w:pos="1410" w:leader="none"/>
        </w:tabs>
        <w:spacing w:before="0" w:after="0"/>
        <w:ind w:firstLine="850" w:left="0" w:right="0"/>
        <w:contextualSpacing/>
        <w:jc w:val="both"/>
        <w:rPr/>
      </w:pPr>
      <w:bookmarkStart w:id="9" w:name="_Ref361338004"/>
      <w:r>
        <w:rPr>
          <w:color w:val="00000A"/>
          <w:sz w:val="20"/>
          <w:szCs w:val="20"/>
        </w:rPr>
        <w:t>Стороны обязуются уведомлять друг друга об изменении адреса и/или реквизитов, указанных в разделе 15 Договора, не позднее 3 (трех) рабочих дней после такого изменения в порядке, установленном пунктом 13.7 Договора.</w:t>
      </w:r>
      <w:bookmarkEnd w:id="9"/>
      <w:r>
        <w:rPr>
          <w:color w:val="00000A"/>
          <w:sz w:val="20"/>
          <w:szCs w:val="20"/>
        </w:rPr>
        <w:t xml:space="preserve"> </w:t>
      </w:r>
    </w:p>
    <w:p>
      <w:pPr>
        <w:pStyle w:val="ListParagraph"/>
        <w:widowControl/>
        <w:numPr>
          <w:ilvl w:val="1"/>
          <w:numId w:val="10"/>
        </w:numPr>
        <w:tabs>
          <w:tab w:val="clear" w:pos="708"/>
          <w:tab w:val="left" w:pos="1410" w:leader="none"/>
        </w:tabs>
        <w:spacing w:before="0" w:after="0"/>
        <w:ind w:firstLine="850" w:left="0" w:right="0"/>
        <w:contextualSpacing/>
        <w:jc w:val="both"/>
        <w:rPr/>
      </w:pPr>
      <w:bookmarkStart w:id="10" w:name="_Ref361338019"/>
      <w:bookmarkEnd w:id="10"/>
      <w:r>
        <w:rPr>
          <w:color w:val="00000A"/>
          <w:sz w:val="20"/>
          <w:szCs w:val="20"/>
        </w:rPr>
        <w:t>Письма, уведомления и/или сообщения направляются Стороне</w:t>
      </w:r>
      <w:r>
        <w:rPr>
          <w:bCs/>
          <w:color w:val="00000A"/>
          <w:sz w:val="20"/>
          <w:szCs w:val="20"/>
        </w:rPr>
        <w:t>-</w:t>
      </w:r>
      <w:r>
        <w:rPr>
          <w:color w:val="00000A"/>
          <w:sz w:val="20"/>
          <w:szCs w:val="20"/>
        </w:rPr>
        <w:t>получателю по адресу ее места нахождения, указанному в разделе 15 Договора, или в ранее полученном уведомлении Стороны об изменении адреса, одним из следующих способов, при этом документ</w:t>
      </w:r>
      <w:r>
        <w:rPr>
          <w:bCs/>
          <w:color w:val="00000A"/>
          <w:sz w:val="20"/>
          <w:szCs w:val="20"/>
        </w:rPr>
        <w:t xml:space="preserve"> будет считаться полученным</w:t>
      </w:r>
      <w:r>
        <w:rPr>
          <w:color w:val="00000A"/>
          <w:sz w:val="20"/>
          <w:szCs w:val="20"/>
        </w:rPr>
        <w:t xml:space="preserve">: </w:t>
      </w:r>
    </w:p>
    <w:p>
      <w:pPr>
        <w:pStyle w:val="ListParagraph"/>
        <w:numPr>
          <w:ilvl w:val="2"/>
          <w:numId w:val="10"/>
        </w:numPr>
        <w:tabs>
          <w:tab w:val="clear" w:pos="708"/>
          <w:tab w:val="left" w:pos="1410" w:leader="none"/>
        </w:tabs>
        <w:spacing w:before="0" w:after="0"/>
        <w:ind w:firstLine="850" w:left="0" w:right="0"/>
        <w:contextualSpacing/>
        <w:jc w:val="both"/>
        <w:rPr/>
      </w:pPr>
      <w:r>
        <w:rPr>
          <w:bCs/>
          <w:color w:val="00000A"/>
          <w:sz w:val="20"/>
          <w:szCs w:val="20"/>
        </w:rPr>
        <w:t xml:space="preserve">Заказным почтовым отправлением с уведомлением о вручении </w:t>
      </w:r>
      <w:r>
        <w:rPr>
          <w:color w:val="00000A"/>
          <w:sz w:val="20"/>
          <w:szCs w:val="20"/>
        </w:rPr>
        <w:t xml:space="preserve">по адресу ее места нахождения / почтовому адресу, указанному в разделе 15 Договора, или в ранее полученном уведомлении Стороны об изменении адреса </w:t>
      </w:r>
      <w:r>
        <w:rPr>
          <w:bCs/>
          <w:color w:val="00000A"/>
          <w:sz w:val="20"/>
          <w:szCs w:val="20"/>
        </w:rPr>
        <w:t xml:space="preserve">– </w:t>
      </w:r>
      <w:r>
        <w:rPr>
          <w:color w:val="00000A"/>
          <w:sz w:val="20"/>
          <w:szCs w:val="20"/>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numPr>
          <w:ilvl w:val="2"/>
          <w:numId w:val="10"/>
        </w:numPr>
        <w:tabs>
          <w:tab w:val="clear" w:pos="708"/>
          <w:tab w:val="left" w:pos="1410" w:leader="none"/>
        </w:tabs>
        <w:spacing w:before="0" w:after="0"/>
        <w:ind w:firstLine="850" w:left="0" w:right="0"/>
        <w:contextualSpacing/>
        <w:jc w:val="both"/>
        <w:rPr/>
      </w:pPr>
      <w:r>
        <w:rPr>
          <w:color w:val="00000A"/>
          <w:sz w:val="20"/>
          <w:szCs w:val="20"/>
        </w:rPr>
        <w:t>Д</w:t>
      </w:r>
      <w:r>
        <w:rPr>
          <w:bCs/>
          <w:color w:val="00000A"/>
          <w:sz w:val="20"/>
          <w:szCs w:val="20"/>
        </w:rPr>
        <w:t xml:space="preserve">оставкой лично или курьером Стороны-отправителя </w:t>
      </w:r>
      <w:r>
        <w:rPr>
          <w:color w:val="00000A"/>
          <w:sz w:val="20"/>
          <w:szCs w:val="20"/>
        </w:rPr>
        <w:t>по адресу ее места нахождения / почтовому адресу, указанному в разделе 15 Договора, или в ранее полученном уведомлении Стороны об изменении адреса</w:t>
      </w:r>
      <w:r>
        <w:rPr>
          <w:bCs/>
          <w:color w:val="00000A"/>
          <w:sz w:val="20"/>
          <w:szCs w:val="20"/>
        </w:rPr>
        <w:t xml:space="preserve"> – в дату и время фактического приема уведомления Стороной-получателем с отметкой о получении</w:t>
      </w:r>
      <w:r>
        <w:rPr>
          <w:color w:val="00000A"/>
          <w:sz w:val="20"/>
          <w:szCs w:val="20"/>
        </w:rPr>
        <w:t xml:space="preserve">. </w:t>
      </w:r>
    </w:p>
    <w:p>
      <w:pPr>
        <w:pStyle w:val="ListParagraph"/>
        <w:numPr>
          <w:ilvl w:val="2"/>
          <w:numId w:val="10"/>
        </w:numPr>
        <w:tabs>
          <w:tab w:val="clear" w:pos="708"/>
          <w:tab w:val="left" w:pos="1410" w:leader="none"/>
        </w:tabs>
        <w:spacing w:before="0" w:after="0"/>
        <w:ind w:firstLine="850" w:left="0" w:right="0"/>
        <w:contextualSpacing/>
        <w:jc w:val="both"/>
        <w:rPr/>
      </w:pPr>
      <w:r>
        <w:rPr>
          <w:color w:val="00000A"/>
          <w:sz w:val="20"/>
          <w:szCs w:val="20"/>
        </w:rPr>
        <w:t>П</w:t>
      </w:r>
      <w:r>
        <w:rPr>
          <w:bCs/>
          <w:color w:val="00000A"/>
          <w:sz w:val="20"/>
          <w:szCs w:val="20"/>
        </w:rPr>
        <w:t>осредством электронной почты (</w:t>
      </w:r>
      <w:r>
        <w:rPr>
          <w:bCs/>
          <w:color w:val="00000A"/>
          <w:sz w:val="20"/>
          <w:szCs w:val="20"/>
          <w:lang w:val="en-US"/>
        </w:rPr>
        <w:t>e</w:t>
      </w:r>
      <w:r>
        <w:rPr>
          <w:bCs/>
          <w:color w:val="00000A"/>
          <w:sz w:val="20"/>
          <w:szCs w:val="20"/>
        </w:rPr>
        <w:t>-</w:t>
      </w:r>
      <w:r>
        <w:rPr>
          <w:bCs/>
          <w:color w:val="00000A"/>
          <w:sz w:val="20"/>
          <w:szCs w:val="20"/>
          <w:lang w:val="en-US"/>
        </w:rPr>
        <w:t>mail</w:t>
      </w:r>
      <w:r>
        <w:rPr>
          <w:bCs/>
          <w:color w:val="00000A"/>
          <w:sz w:val="20"/>
          <w:szCs w:val="20"/>
        </w:rPr>
        <w:t>) – в дату направления электронного сообщения, зафиксированную на почтовом сервере отправителя.</w:t>
      </w:r>
    </w:p>
    <w:p>
      <w:pPr>
        <w:pStyle w:val="ListParagraph"/>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13.7.1 – 13.7.2 Договора.</w:t>
      </w:r>
    </w:p>
    <w:p>
      <w:pPr>
        <w:pStyle w:val="ListParagraph"/>
        <w:tabs>
          <w:tab w:val="clear" w:pos="708"/>
          <w:tab w:val="left" w:pos="1410" w:leader="none"/>
        </w:tabs>
        <w:spacing w:before="0" w:after="0"/>
        <w:ind w:firstLine="850" w:left="0" w:right="0"/>
        <w:contextualSpacing/>
        <w:jc w:val="both"/>
        <w:rPr/>
      </w:pPr>
      <w:r>
        <w:rPr>
          <w:bCs/>
          <w:color w:val="00000A"/>
          <w:sz w:val="20"/>
          <w:szCs w:val="20"/>
        </w:rPr>
        <w:t xml:space="preserve">В случае заключения Соглашения, согласно которому </w:t>
      </w:r>
      <w:r>
        <w:rPr>
          <w:color w:val="00000A"/>
          <w:sz w:val="20"/>
          <w:szCs w:val="20"/>
        </w:rPr>
        <w:t xml:space="preserve">обмен документами / информацией между сторонами осуществляется в электронной форме через операторов электронного документооборота, </w:t>
      </w:r>
      <w:r>
        <w:rPr>
          <w:bCs/>
          <w:iCs/>
          <w:color w:val="00000A"/>
          <w:sz w:val="20"/>
          <w:szCs w:val="20"/>
        </w:rPr>
        <w:t>определение порядка и условий взаимодействия Сторон в процессе обмена документами в электронной форме во исполнение своих обязательств по настоящему Договору устанавливается таким Соглашением.</w:t>
      </w:r>
    </w:p>
    <w:p>
      <w:pPr>
        <w:pStyle w:val="ListParagraph"/>
        <w:widowControl/>
        <w:numPr>
          <w:ilvl w:val="1"/>
          <w:numId w:val="10"/>
        </w:numPr>
        <w:tabs>
          <w:tab w:val="clear" w:pos="708"/>
          <w:tab w:val="left" w:pos="1410" w:leader="none"/>
        </w:tabs>
        <w:spacing w:before="0" w:after="0"/>
        <w:ind w:firstLine="850" w:left="0" w:right="0"/>
        <w:contextualSpacing/>
        <w:jc w:val="both"/>
        <w:rPr>
          <w:bCs/>
          <w:color w:val="00000A"/>
          <w:sz w:val="20"/>
          <w:szCs w:val="20"/>
        </w:rPr>
      </w:pPr>
      <w:r>
        <w:rPr>
          <w:bCs/>
          <w:color w:val="00000A"/>
          <w:sz w:val="20"/>
          <w:szCs w:val="20"/>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widowControl/>
        <w:numPr>
          <w:ilvl w:val="1"/>
          <w:numId w:val="10"/>
        </w:numPr>
        <w:tabs>
          <w:tab w:val="clear" w:pos="708"/>
          <w:tab w:val="left" w:pos="1410" w:leader="none"/>
        </w:tabs>
        <w:spacing w:before="0" w:after="0"/>
        <w:ind w:firstLine="850" w:left="0" w:right="0"/>
        <w:contextualSpacing/>
        <w:jc w:val="both"/>
        <w:rPr/>
      </w:pPr>
      <w:r>
        <w:rPr>
          <w:color w:val="00000A"/>
          <w:sz w:val="20"/>
          <w:szCs w:val="20"/>
        </w:rPr>
        <w:t>Уступка (передача), в том числе в залог, прав (требований) к Покупателю по денежным обязательствам, возникших из Договора и принадлежащих Поставщику, допускается только с предварительного письменного согласия Покупателя и оформляется трехсторонним договором</w:t>
      </w:r>
      <w:r>
        <w:rPr>
          <w:bCs/>
          <w:color w:val="00000A"/>
          <w:sz w:val="20"/>
          <w:szCs w:val="20"/>
        </w:rPr>
        <w:t>.</w:t>
      </w:r>
      <w:r>
        <w:rPr>
          <w:color w:val="00000A"/>
          <w:sz w:val="20"/>
          <w:szCs w:val="20"/>
        </w:rPr>
        <w:t xml:space="preserve"> </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Договор составлен в 2 (двух) оригинальных экземплярах, имеющих равную юридическую силу, по 1 (одному) для каждой из Сторон.</w:t>
      </w:r>
    </w:p>
    <w:p>
      <w:pPr>
        <w:pStyle w:val="ListParagraph"/>
        <w:widowControl/>
        <w:numPr>
          <w:ilvl w:val="1"/>
          <w:numId w:val="10"/>
        </w:numPr>
        <w:tabs>
          <w:tab w:val="clear" w:pos="708"/>
          <w:tab w:val="left" w:pos="1410" w:leader="none"/>
        </w:tabs>
        <w:spacing w:before="0" w:after="0"/>
        <w:ind w:firstLine="850" w:left="0" w:right="0"/>
        <w:contextualSpacing/>
        <w:jc w:val="both"/>
        <w:rPr>
          <w:color w:val="00000A"/>
          <w:sz w:val="20"/>
          <w:szCs w:val="20"/>
        </w:rPr>
      </w:pPr>
      <w:r>
        <w:rPr>
          <w:color w:val="00000A"/>
          <w:sz w:val="20"/>
          <w:szCs w:val="20"/>
        </w:rPr>
        <w:t xml:space="preserve">Со стороны Покупателя контроль и исполнение обязательств по настоящему договору осуществляет филиал Акционерного общества «Дальневосточная распределительная сетевая компания» (Хабаровские электрические сети, расположенный по адресу: 680009, Российская Федерация, Хабаровский край, г. Хабаровск, ул. Промышленная,13) ИНН 2801108200; КПП 272402001, в лице директора филиала, действующего на основании доверенности и наделенного правом подписи документов, подтверждающих исполнение обязательств по договору. </w:t>
      </w:r>
    </w:p>
    <w:p>
      <w:pPr>
        <w:pStyle w:val="Normal"/>
        <w:tabs>
          <w:tab w:val="clear" w:pos="708"/>
          <w:tab w:val="left" w:pos="1410" w:leader="none"/>
        </w:tabs>
        <w:spacing w:before="0" w:after="0"/>
        <w:ind w:firstLine="850" w:left="0" w:right="0"/>
        <w:jc w:val="both"/>
        <w:rPr>
          <w:bCs/>
          <w:iCs/>
          <w:color w:val="00000A"/>
          <w:sz w:val="20"/>
          <w:szCs w:val="20"/>
        </w:rPr>
      </w:pPr>
      <w:r>
        <w:rPr>
          <w:bCs/>
          <w:iCs/>
          <w:color w:val="00000A"/>
          <w:sz w:val="20"/>
          <w:szCs w:val="20"/>
        </w:rPr>
        <w:t>АО «ДРСК» в течение двух рабочих дней с момента заключения договора направляет в адрес стороны по договору информацию о контактных данных и ФИО ответственного исполнителя по договору со стороны АО «ДРСК»/филиала АО «ДРСК».</w:t>
      </w:r>
    </w:p>
    <w:p>
      <w:pPr>
        <w:pStyle w:val="Normal"/>
        <w:tabs>
          <w:tab w:val="clear" w:pos="708"/>
          <w:tab w:val="left" w:pos="1410" w:leader="none"/>
        </w:tabs>
        <w:spacing w:before="0" w:after="0"/>
        <w:ind w:firstLine="850" w:left="0" w:right="0"/>
        <w:jc w:val="both"/>
        <w:rPr/>
      </w:pPr>
      <w:r>
        <w:rPr>
          <w:bCs/>
          <w:iCs/>
          <w:color w:val="00000A"/>
          <w:sz w:val="20"/>
          <w:szCs w:val="20"/>
        </w:rPr>
        <w:t>Любая переписка, а также документы по исполнению договора (акты, счета-фактуры, УПД и т.п.), оформляемые на бумажном носителе, направляются контрагентом в адрес АО «ДРСК» с сопроводительным письмом, с указанием контактных данных и ФИО ответственного исполнителя по договору со стороны АО «ДРСК»/филиала АО «ДРСК». В случае отсутствия контактной информации поступившие документы не считаются поступившими в АО «ДРСК»/филиал АО «ДРСК.</w:t>
      </w:r>
    </w:p>
    <w:p>
      <w:pPr>
        <w:pStyle w:val="Normal"/>
        <w:widowControl/>
        <w:numPr>
          <w:ilvl w:val="0"/>
          <w:numId w:val="10"/>
        </w:numPr>
        <w:tabs>
          <w:tab w:val="clear" w:pos="708"/>
          <w:tab w:val="left" w:pos="1410" w:leader="none"/>
        </w:tabs>
        <w:spacing w:before="0" w:after="0"/>
        <w:ind w:firstLine="850" w:left="0" w:right="0"/>
        <w:jc w:val="center"/>
        <w:rPr>
          <w:b/>
          <w:bCs/>
          <w:color w:val="00000A"/>
          <w:sz w:val="20"/>
          <w:szCs w:val="20"/>
        </w:rPr>
      </w:pPr>
      <w:r>
        <w:rPr>
          <w:b/>
          <w:bCs/>
          <w:color w:val="00000A"/>
          <w:sz w:val="20"/>
          <w:szCs w:val="20"/>
        </w:rPr>
        <w:t xml:space="preserve">Список приложений </w:t>
      </w:r>
    </w:p>
    <w:p>
      <w:pPr>
        <w:pStyle w:val="Normal"/>
        <w:widowControl/>
        <w:tabs>
          <w:tab w:val="clear" w:pos="708"/>
          <w:tab w:val="left" w:pos="1410" w:leader="none"/>
        </w:tabs>
        <w:suppressAutoHyphens w:val="true"/>
        <w:spacing w:before="0" w:after="0"/>
        <w:ind w:firstLine="850" w:left="0" w:right="0"/>
        <w:jc w:val="both"/>
        <w:rPr>
          <w:rFonts w:eastAsia="Calibri"/>
          <w:color w:val="00000A"/>
          <w:sz w:val="20"/>
          <w:szCs w:val="20"/>
          <w:lang w:eastAsia="en-US"/>
        </w:rPr>
      </w:pPr>
      <w:bookmarkStart w:id="11" w:name="sub_1"/>
      <w:bookmarkEnd w:id="11"/>
      <w:r>
        <w:rPr>
          <w:rFonts w:eastAsia="Calibri"/>
          <w:color w:val="00000A"/>
          <w:sz w:val="20"/>
          <w:szCs w:val="20"/>
          <w:lang w:eastAsia="en-US"/>
        </w:rPr>
        <w:t>Приложение № 1 – Спецификация</w:t>
      </w:r>
    </w:p>
    <w:p>
      <w:pPr>
        <w:pStyle w:val="Normal"/>
        <w:tabs>
          <w:tab w:val="clear" w:pos="708"/>
          <w:tab w:val="left" w:pos="1410" w:leader="none"/>
        </w:tabs>
        <w:spacing w:before="0" w:after="0"/>
        <w:ind w:firstLine="850" w:left="0" w:right="0"/>
        <w:jc w:val="both"/>
        <w:rPr/>
      </w:pPr>
      <w:r>
        <w:rPr>
          <w:bCs/>
          <w:color w:val="00000A"/>
          <w:sz w:val="20"/>
          <w:szCs w:val="20"/>
        </w:rPr>
        <w:t xml:space="preserve">Приложение №2 </w:t>
      </w:r>
      <w:r>
        <w:rPr>
          <w:rFonts w:eastAsia="Calibri"/>
          <w:color w:val="00000A"/>
          <w:sz w:val="20"/>
          <w:szCs w:val="20"/>
          <w:lang w:eastAsia="en-US"/>
        </w:rPr>
        <w:t>–</w:t>
      </w:r>
      <w:r>
        <w:rPr>
          <w:bCs/>
          <w:color w:val="00000A"/>
          <w:sz w:val="20"/>
          <w:szCs w:val="20"/>
        </w:rPr>
        <w:t xml:space="preserve"> Размер ответственности Поставщика за нарушения пропускного и внутриобъектового режима, требований охраны труда, пожарной и промышленной безопасности</w:t>
      </w:r>
    </w:p>
    <w:p>
      <w:pPr>
        <w:pStyle w:val="Normal"/>
        <w:tabs>
          <w:tab w:val="clear" w:pos="708"/>
          <w:tab w:val="left" w:pos="1410" w:leader="none"/>
        </w:tabs>
        <w:spacing w:before="0" w:after="0"/>
        <w:ind w:firstLine="850" w:left="0" w:right="0"/>
        <w:jc w:val="both"/>
        <w:rPr>
          <w:rFonts w:ascii="Times New Roman" w:hAnsi="Times New Roman"/>
          <w:bCs/>
          <w:color w:val="00000A"/>
          <w:sz w:val="20"/>
          <w:szCs w:val="20"/>
        </w:rPr>
      </w:pPr>
      <w:r>
        <w:rPr>
          <w:bCs/>
          <w:color w:val="00000A"/>
          <w:sz w:val="20"/>
          <w:szCs w:val="20"/>
        </w:rPr>
        <w:t>Приложение № 3 – Уведомление (форма).</w:t>
      </w:r>
    </w:p>
    <w:p>
      <w:pPr>
        <w:pStyle w:val="ListParagraph"/>
        <w:widowControl/>
        <w:numPr>
          <w:ilvl w:val="0"/>
          <w:numId w:val="10"/>
        </w:numPr>
        <w:ind w:hanging="0" w:left="0" w:right="0"/>
        <w:jc w:val="center"/>
        <w:rPr/>
      </w:pPr>
      <w:r>
        <w:rPr>
          <w:b/>
          <w:bCs/>
          <w:color w:val="00000A"/>
          <w:sz w:val="20"/>
          <w:szCs w:val="20"/>
        </w:rPr>
        <w:t>Адреса и платежные реквизиты Сторон</w:t>
      </w:r>
    </w:p>
    <w:tbl>
      <w:tblPr>
        <w:tblW w:w="10126" w:type="dxa"/>
        <w:jc w:val="left"/>
        <w:tblInd w:w="105" w:type="dxa"/>
        <w:tblLayout w:type="fixed"/>
        <w:tblCellMar>
          <w:top w:w="0" w:type="dxa"/>
          <w:left w:w="40" w:type="dxa"/>
          <w:bottom w:w="0" w:type="dxa"/>
          <w:right w:w="40" w:type="dxa"/>
        </w:tblCellMar>
      </w:tblPr>
      <w:tblGrid>
        <w:gridCol w:w="5049"/>
        <w:gridCol w:w="5076"/>
      </w:tblGrid>
      <w:tr>
        <w:trPr>
          <w:trHeight w:val="3555" w:hRule="exact"/>
        </w:trPr>
        <w:tc>
          <w:tcPr>
            <w:tcW w:w="5049" w:type="dxa"/>
            <w:tcBorders/>
            <w:shd w:fill="FFFFFF" w:val="clear"/>
          </w:tcPr>
          <w:p>
            <w:pPr>
              <w:pStyle w:val="Normal"/>
              <w:widowControl w:val="false"/>
              <w:spacing w:lineRule="auto" w:line="240"/>
              <w:ind w:hanging="0" w:left="34" w:right="176"/>
              <w:rPr/>
            </w:pPr>
            <w:r>
              <w:rPr>
                <w:rFonts w:ascii="Liberation Serif" w:hAnsi="Liberation Serif"/>
                <w:color w:val="00000A"/>
                <w:sz w:val="20"/>
                <w:szCs w:val="20"/>
              </w:rPr>
              <w:t>ПОСТАВЩИК:</w:t>
            </w:r>
          </w:p>
          <w:p>
            <w:pPr>
              <w:pStyle w:val="Normal"/>
              <w:widowControl w:val="false"/>
              <w:spacing w:lineRule="auto" w:line="240"/>
              <w:ind w:hanging="0" w:left="34" w:right="176"/>
              <w:jc w:val="both"/>
              <w:rPr/>
            </w:pPr>
            <w:r>
              <w:rPr>
                <w:rFonts w:ascii="Liberation Serif" w:hAnsi="Liberation Serif"/>
                <w:b/>
                <w:color w:val="00000A"/>
                <w:sz w:val="20"/>
                <w:szCs w:val="20"/>
              </w:rPr>
              <w:t>_________________</w:t>
            </w:r>
          </w:p>
          <w:p>
            <w:pPr>
              <w:pStyle w:val="Normal"/>
              <w:widowControl w:val="false"/>
              <w:spacing w:lineRule="auto" w:line="240"/>
              <w:ind w:hanging="0" w:left="34" w:right="176"/>
              <w:jc w:val="both"/>
              <w:rPr>
                <w:rFonts w:ascii="Liberation Serif" w:hAnsi="Liberation Serif"/>
                <w:color w:val="00000A"/>
                <w:sz w:val="20"/>
                <w:szCs w:val="20"/>
              </w:rPr>
            </w:pPr>
            <w:r>
              <w:rPr>
                <w:rFonts w:ascii="Liberation Serif" w:hAnsi="Liberation Serif"/>
                <w:color w:val="00000A"/>
                <w:sz w:val="20"/>
                <w:szCs w:val="20"/>
              </w:rPr>
            </w:r>
          </w:p>
          <w:p>
            <w:pPr>
              <w:pStyle w:val="Normal"/>
              <w:widowControl w:val="false"/>
              <w:spacing w:lineRule="auto" w:line="240"/>
              <w:ind w:hanging="0" w:left="34" w:right="176"/>
              <w:rPr/>
            </w:pPr>
            <w:r>
              <w:rPr>
                <w:rFonts w:ascii="Liberation Serif" w:hAnsi="Liberation Serif"/>
                <w:b w:val="false"/>
                <w:bCs w:val="false"/>
                <w:iCs/>
                <w:color w:val="00000A"/>
                <w:sz w:val="20"/>
                <w:szCs w:val="20"/>
                <w:lang w:val="en-US"/>
              </w:rPr>
              <w:t>_____________________________</w:t>
            </w:r>
          </w:p>
          <w:p>
            <w:pPr>
              <w:pStyle w:val="Normal"/>
              <w:widowControl w:val="false"/>
              <w:spacing w:lineRule="auto" w:line="240"/>
              <w:ind w:hanging="0" w:left="34" w:right="176"/>
              <w:rPr/>
            </w:pPr>
            <w:r>
              <w:rPr>
                <w:rFonts w:ascii="Liberation Serif" w:hAnsi="Liberation Serif"/>
                <w:b w:val="false"/>
                <w:bCs w:val="false"/>
                <w:iCs/>
                <w:color w:val="00000A"/>
                <w:sz w:val="20"/>
                <w:szCs w:val="20"/>
                <w:lang w:val="en-US"/>
              </w:rPr>
              <w:t>_________________________________</w:t>
            </w:r>
          </w:p>
          <w:p>
            <w:pPr>
              <w:pStyle w:val="Normal"/>
              <w:widowControl w:val="false"/>
              <w:spacing w:lineRule="auto" w:line="240"/>
              <w:ind w:hanging="0" w:left="34" w:right="176"/>
              <w:jc w:val="both"/>
              <w:rPr>
                <w:rFonts w:ascii="Liberation Serif" w:hAnsi="Liberation Serif"/>
                <w:b w:val="false"/>
                <w:bCs w:val="false"/>
                <w:color w:val="00000A"/>
                <w:sz w:val="20"/>
                <w:szCs w:val="20"/>
              </w:rPr>
            </w:pPr>
            <w:r>
              <w:rPr>
                <w:rFonts w:ascii="Liberation Serif" w:hAnsi="Liberation Serif"/>
                <w:b w:val="false"/>
                <w:bCs w:val="false"/>
                <w:color w:val="00000A"/>
                <w:sz w:val="20"/>
                <w:szCs w:val="20"/>
              </w:rPr>
            </w:r>
          </w:p>
          <w:p>
            <w:pPr>
              <w:pStyle w:val="Normal"/>
              <w:widowControl w:val="false"/>
              <w:spacing w:lineRule="auto" w:line="240"/>
              <w:ind w:hanging="0" w:left="34" w:right="176"/>
              <w:rPr>
                <w:rFonts w:ascii="Liberation Serif" w:hAnsi="Liberation Serif"/>
                <w:color w:val="00000A"/>
                <w:sz w:val="20"/>
                <w:szCs w:val="20"/>
              </w:rPr>
            </w:pPr>
            <w:r>
              <w:rPr>
                <w:rFonts w:ascii="Liberation Serif" w:hAnsi="Liberation Serif"/>
                <w:color w:val="00000A"/>
                <w:sz w:val="20"/>
                <w:szCs w:val="20"/>
              </w:rPr>
            </w:r>
          </w:p>
          <w:p>
            <w:pPr>
              <w:pStyle w:val="Normal"/>
              <w:widowControl w:val="false"/>
              <w:spacing w:lineRule="auto" w:line="240"/>
              <w:ind w:hanging="0" w:left="34" w:right="176"/>
              <w:rPr>
                <w:rFonts w:ascii="Liberation Serif" w:hAnsi="Liberation Serif"/>
                <w:color w:val="00000A"/>
                <w:sz w:val="20"/>
                <w:szCs w:val="20"/>
              </w:rPr>
            </w:pPr>
            <w:r>
              <w:rPr>
                <w:rFonts w:ascii="Liberation Serif" w:hAnsi="Liberation Serif"/>
                <w:color w:val="00000A"/>
                <w:sz w:val="20"/>
                <w:szCs w:val="20"/>
              </w:rPr>
            </w:r>
          </w:p>
          <w:p>
            <w:pPr>
              <w:pStyle w:val="Normal"/>
              <w:widowControl w:val="false"/>
              <w:spacing w:lineRule="auto" w:line="240"/>
              <w:ind w:hanging="0" w:left="34" w:right="176"/>
              <w:rPr>
                <w:rFonts w:ascii="Liberation Serif" w:hAnsi="Liberation Serif"/>
                <w:color w:val="00000A"/>
                <w:sz w:val="20"/>
                <w:szCs w:val="20"/>
              </w:rPr>
            </w:pPr>
            <w:r>
              <w:rPr>
                <w:rFonts w:ascii="Liberation Serif" w:hAnsi="Liberation Serif"/>
                <w:color w:val="00000A"/>
                <w:sz w:val="20"/>
                <w:szCs w:val="20"/>
              </w:rPr>
            </w:r>
          </w:p>
          <w:p>
            <w:pPr>
              <w:pStyle w:val="Normal"/>
              <w:widowControl w:val="false"/>
              <w:spacing w:lineRule="auto" w:line="240"/>
              <w:ind w:hanging="0" w:left="34" w:right="176"/>
              <w:rPr>
                <w:rFonts w:ascii="Liberation Serif" w:hAnsi="Liberation Serif"/>
                <w:color w:val="00000A"/>
                <w:sz w:val="20"/>
                <w:szCs w:val="20"/>
              </w:rPr>
            </w:pPr>
            <w:r>
              <w:rPr>
                <w:rFonts w:ascii="Liberation Serif" w:hAnsi="Liberation Serif"/>
                <w:color w:val="00000A"/>
                <w:sz w:val="20"/>
                <w:szCs w:val="20"/>
              </w:rPr>
            </w:r>
          </w:p>
          <w:p>
            <w:pPr>
              <w:pStyle w:val="Normal"/>
              <w:widowControl w:val="false"/>
              <w:spacing w:lineRule="auto" w:line="240"/>
              <w:ind w:hanging="0" w:left="34" w:right="176"/>
              <w:rPr>
                <w:rFonts w:ascii="Liberation Serif" w:hAnsi="Liberation Serif"/>
                <w:color w:val="00000A"/>
                <w:sz w:val="20"/>
                <w:szCs w:val="20"/>
              </w:rPr>
            </w:pPr>
            <w:r>
              <w:rPr>
                <w:rFonts w:ascii="Liberation Serif" w:hAnsi="Liberation Serif"/>
                <w:color w:val="00000A"/>
                <w:sz w:val="20"/>
                <w:szCs w:val="20"/>
              </w:rPr>
            </w:r>
          </w:p>
          <w:p>
            <w:pPr>
              <w:pStyle w:val="Normal"/>
              <w:widowControl w:val="false"/>
              <w:spacing w:lineRule="auto" w:line="240"/>
              <w:ind w:hanging="0" w:left="34" w:right="176"/>
              <w:rPr>
                <w:rFonts w:ascii="Liberation Serif" w:hAnsi="Liberation Serif"/>
                <w:color w:val="00000A"/>
                <w:sz w:val="20"/>
                <w:szCs w:val="20"/>
              </w:rPr>
            </w:pPr>
            <w:r>
              <w:rPr>
                <w:rFonts w:ascii="Liberation Serif" w:hAnsi="Liberation Serif"/>
                <w:color w:val="00000A"/>
                <w:sz w:val="20"/>
                <w:szCs w:val="20"/>
              </w:rPr>
            </w:r>
          </w:p>
        </w:tc>
        <w:tc>
          <w:tcPr>
            <w:tcW w:w="5076" w:type="dxa"/>
            <w:tcBorders/>
            <w:shd w:fill="FFFFFF" w:val="clear"/>
          </w:tcPr>
          <w:p>
            <w:pPr>
              <w:pStyle w:val="Heading8"/>
              <w:widowControl w:val="false"/>
              <w:ind w:hanging="0" w:left="34" w:right="176"/>
              <w:rPr>
                <w:rFonts w:ascii="Times New Roman" w:hAnsi="Times New Roman"/>
                <w:b w:val="false"/>
                <w:i w:val="false"/>
                <w:i w:val="false"/>
                <w:iCs w:val="false"/>
                <w:color w:val="00000A"/>
                <w:sz w:val="20"/>
                <w:szCs w:val="20"/>
              </w:rPr>
            </w:pPr>
            <w:r>
              <w:rPr>
                <w:b w:val="false"/>
                <w:i w:val="false"/>
                <w:iCs w:val="false"/>
                <w:color w:val="00000A"/>
                <w:sz w:val="20"/>
                <w:szCs w:val="20"/>
              </w:rPr>
              <w:t>ПОКУПАТЕЛЬ:</w:t>
            </w:r>
          </w:p>
          <w:p>
            <w:pPr>
              <w:pStyle w:val="Heading8"/>
              <w:widowControl w:val="false"/>
              <w:ind w:hanging="0" w:left="34" w:right="176"/>
              <w:rPr>
                <w:rFonts w:ascii="Times New Roman" w:hAnsi="Times New Roman"/>
                <w:i w:val="false"/>
                <w:i w:val="false"/>
                <w:iCs w:val="false"/>
                <w:color w:val="00000A"/>
                <w:sz w:val="20"/>
                <w:szCs w:val="20"/>
              </w:rPr>
            </w:pPr>
            <w:r>
              <w:rPr>
                <w:i w:val="false"/>
                <w:iCs w:val="false"/>
                <w:color w:val="00000A"/>
                <w:sz w:val="20"/>
                <w:szCs w:val="20"/>
              </w:rPr>
              <w:t>АО «ДРСК»</w:t>
            </w:r>
          </w:p>
          <w:p>
            <w:pPr>
              <w:pStyle w:val="Normal"/>
              <w:widowControl w:val="false"/>
              <w:ind w:hanging="0" w:left="34" w:right="176"/>
              <w:rPr>
                <w:rFonts w:ascii="Times New Roman" w:hAnsi="Times New Roman"/>
                <w:color w:val="00000A"/>
                <w:sz w:val="20"/>
                <w:szCs w:val="20"/>
              </w:rPr>
            </w:pPr>
            <w:r>
              <w:rPr>
                <w:color w:val="00000A"/>
                <w:sz w:val="20"/>
                <w:szCs w:val="20"/>
              </w:rPr>
              <w:t>Юридический адрес: 675004, РФ, Амурская область,</w:t>
            </w:r>
          </w:p>
          <w:p>
            <w:pPr>
              <w:pStyle w:val="Normal"/>
              <w:widowControl w:val="false"/>
              <w:ind w:hanging="0" w:left="34" w:right="176"/>
              <w:rPr>
                <w:rFonts w:ascii="Times New Roman" w:hAnsi="Times New Roman"/>
                <w:color w:val="00000A"/>
                <w:sz w:val="20"/>
                <w:szCs w:val="20"/>
              </w:rPr>
            </w:pPr>
            <w:r>
              <w:rPr>
                <w:color w:val="00000A"/>
                <w:sz w:val="20"/>
                <w:szCs w:val="20"/>
              </w:rPr>
              <w:t>г. Благовещенск, ул. Шевченко,32</w:t>
            </w:r>
          </w:p>
          <w:p>
            <w:pPr>
              <w:pStyle w:val="Normal"/>
              <w:widowControl w:val="false"/>
              <w:ind w:hanging="0" w:left="34" w:right="176"/>
              <w:rPr>
                <w:rFonts w:ascii="Times New Roman" w:hAnsi="Times New Roman"/>
                <w:color w:val="00000A"/>
                <w:sz w:val="20"/>
                <w:szCs w:val="20"/>
              </w:rPr>
            </w:pPr>
            <w:r>
              <w:rPr>
                <w:color w:val="00000A"/>
                <w:sz w:val="20"/>
                <w:szCs w:val="20"/>
              </w:rPr>
              <w:t>ИНН 2801108200; КПП 272402001</w:t>
            </w:r>
          </w:p>
          <w:p>
            <w:pPr>
              <w:pStyle w:val="Normal"/>
              <w:widowControl w:val="false"/>
              <w:ind w:hanging="0" w:left="34" w:right="176"/>
              <w:rPr>
                <w:rFonts w:ascii="Times New Roman" w:hAnsi="Times New Roman"/>
                <w:color w:val="00000A"/>
                <w:sz w:val="20"/>
                <w:szCs w:val="20"/>
              </w:rPr>
            </w:pPr>
            <w:r>
              <w:rPr>
                <w:color w:val="00000A"/>
                <w:sz w:val="20"/>
                <w:szCs w:val="20"/>
              </w:rPr>
              <w:t>р/с 40702810003010113258 Дальневосточный банк ПАО Сбербанк г. Хабаровск</w:t>
            </w:r>
          </w:p>
          <w:p>
            <w:pPr>
              <w:pStyle w:val="Normal"/>
              <w:widowControl w:val="false"/>
              <w:ind w:hanging="0" w:left="34" w:right="176"/>
              <w:rPr>
                <w:rFonts w:ascii="Times New Roman" w:hAnsi="Times New Roman"/>
                <w:color w:val="00000A"/>
                <w:sz w:val="20"/>
                <w:szCs w:val="20"/>
              </w:rPr>
            </w:pPr>
            <w:r>
              <w:rPr>
                <w:color w:val="00000A"/>
                <w:sz w:val="20"/>
                <w:szCs w:val="20"/>
              </w:rPr>
              <w:t>ИНН 7707083893</w:t>
            </w:r>
          </w:p>
          <w:p>
            <w:pPr>
              <w:pStyle w:val="Normal"/>
              <w:widowControl w:val="false"/>
              <w:ind w:hanging="0" w:left="34" w:right="176"/>
              <w:rPr>
                <w:rFonts w:ascii="Times New Roman" w:hAnsi="Times New Roman"/>
                <w:color w:val="00000A"/>
                <w:sz w:val="20"/>
                <w:szCs w:val="20"/>
              </w:rPr>
            </w:pPr>
            <w:r>
              <w:rPr>
                <w:color w:val="00000A"/>
                <w:sz w:val="20"/>
                <w:szCs w:val="20"/>
              </w:rPr>
              <w:t>к/с 30101810600000000608</w:t>
            </w:r>
          </w:p>
          <w:p>
            <w:pPr>
              <w:pStyle w:val="Footer"/>
              <w:widowControl w:val="false"/>
              <w:ind w:hanging="0" w:left="34" w:right="176"/>
              <w:rPr>
                <w:rFonts w:ascii="Times New Roman" w:hAnsi="Times New Roman"/>
                <w:color w:val="00000A"/>
                <w:sz w:val="20"/>
                <w:szCs w:val="20"/>
              </w:rPr>
            </w:pPr>
            <w:r>
              <w:rPr>
                <w:color w:val="00000A"/>
                <w:sz w:val="20"/>
                <w:szCs w:val="20"/>
              </w:rPr>
              <w:t>БИК 040813608</w:t>
            </w:r>
          </w:p>
          <w:p>
            <w:pPr>
              <w:pStyle w:val="Footer"/>
              <w:widowControl w:val="false"/>
              <w:ind w:hanging="0" w:left="34" w:right="176"/>
              <w:rPr>
                <w:rFonts w:ascii="Times New Roman" w:hAnsi="Times New Roman"/>
                <w:b/>
                <w:color w:val="00000A"/>
                <w:sz w:val="20"/>
                <w:szCs w:val="20"/>
              </w:rPr>
            </w:pPr>
            <w:r>
              <w:rPr>
                <w:b/>
                <w:color w:val="00000A"/>
                <w:sz w:val="20"/>
                <w:szCs w:val="20"/>
              </w:rPr>
              <w:t>Филиал АО «ДРСК» «ХЭС»</w:t>
            </w:r>
          </w:p>
          <w:p>
            <w:pPr>
              <w:pStyle w:val="Normal"/>
              <w:widowControl w:val="false"/>
              <w:ind w:hanging="0" w:left="34" w:right="176"/>
              <w:rPr>
                <w:rFonts w:ascii="Times New Roman" w:hAnsi="Times New Roman"/>
                <w:color w:val="00000A"/>
                <w:sz w:val="20"/>
                <w:szCs w:val="20"/>
              </w:rPr>
            </w:pPr>
            <w:r>
              <w:rPr>
                <w:color w:val="00000A"/>
                <w:sz w:val="20"/>
                <w:szCs w:val="20"/>
              </w:rPr>
              <w:t>680009, Российская Федерация, Хабаровский край, г. Хабаровск, ул. Промышленная,13</w:t>
            </w:r>
          </w:p>
          <w:p>
            <w:pPr>
              <w:pStyle w:val="Normal"/>
              <w:widowControl w:val="false"/>
              <w:ind w:hanging="0" w:left="34" w:right="176"/>
              <w:rPr>
                <w:rFonts w:ascii="Times New Roman" w:hAnsi="Times New Roman"/>
                <w:color w:val="00000A"/>
                <w:sz w:val="20"/>
                <w:szCs w:val="20"/>
              </w:rPr>
            </w:pPr>
            <w:r>
              <w:rPr>
                <w:color w:val="00000A"/>
                <w:sz w:val="20"/>
                <w:szCs w:val="20"/>
              </w:rPr>
              <w:t>Тел.: 8(4212) 59-99-67</w:t>
            </w:r>
          </w:p>
          <w:p>
            <w:pPr>
              <w:pStyle w:val="Normal"/>
              <w:widowControl w:val="false"/>
              <w:ind w:hanging="0" w:left="34" w:right="176"/>
              <w:rPr>
                <w:rFonts w:ascii="Times New Roman" w:hAnsi="Times New Roman"/>
                <w:color w:val="00000A"/>
                <w:sz w:val="20"/>
                <w:szCs w:val="20"/>
              </w:rPr>
            </w:pPr>
            <w:r>
              <w:rPr>
                <w:color w:val="00000A"/>
                <w:sz w:val="20"/>
                <w:szCs w:val="20"/>
              </w:rPr>
              <w:t>Факс: 8(4212) 27-16-77</w:t>
            </w:r>
          </w:p>
        </w:tc>
      </w:tr>
      <w:tr>
        <w:trPr>
          <w:trHeight w:val="769" w:hRule="atLeast"/>
        </w:trPr>
        <w:tc>
          <w:tcPr>
            <w:tcW w:w="5049" w:type="dxa"/>
            <w:tcBorders/>
            <w:shd w:fill="FFFFFF" w:val="clear"/>
          </w:tcPr>
          <w:p>
            <w:pPr>
              <w:pStyle w:val="Normal"/>
              <w:widowControl w:val="false"/>
              <w:ind w:hanging="0" w:left="34" w:right="176"/>
              <w:rPr>
                <w:rFonts w:ascii="Liberation Serif" w:hAnsi="Liberation Serif"/>
                <w:b/>
                <w:color w:val="00000A"/>
                <w:sz w:val="20"/>
                <w:szCs w:val="20"/>
              </w:rPr>
            </w:pPr>
            <w:r>
              <w:rPr>
                <w:rFonts w:ascii="Liberation Serif" w:hAnsi="Liberation Serif"/>
                <w:b/>
                <w:color w:val="00000A"/>
                <w:sz w:val="20"/>
                <w:szCs w:val="20"/>
              </w:rPr>
            </w:r>
          </w:p>
          <w:p>
            <w:pPr>
              <w:pStyle w:val="Normal"/>
              <w:widowControl w:val="false"/>
              <w:ind w:hanging="0" w:left="34" w:right="176"/>
              <w:rPr>
                <w:rFonts w:ascii="Liberation Serif" w:hAnsi="Liberation Serif"/>
                <w:b/>
                <w:color w:val="00000A"/>
                <w:sz w:val="20"/>
                <w:szCs w:val="20"/>
              </w:rPr>
            </w:pPr>
            <w:r>
              <w:rPr>
                <w:rFonts w:ascii="Liberation Serif" w:hAnsi="Liberation Serif"/>
                <w:b/>
                <w:color w:val="00000A"/>
                <w:sz w:val="20"/>
                <w:szCs w:val="20"/>
              </w:rPr>
            </w:r>
          </w:p>
          <w:p>
            <w:pPr>
              <w:pStyle w:val="Normal"/>
              <w:widowControl w:val="false"/>
              <w:ind w:hanging="0" w:left="34" w:right="176"/>
              <w:rPr/>
            </w:pPr>
            <w:r>
              <w:rPr>
                <w:rFonts w:ascii="Liberation Serif" w:hAnsi="Liberation Serif"/>
                <w:b/>
                <w:bCs/>
                <w:color w:val="00000A"/>
                <w:sz w:val="20"/>
                <w:szCs w:val="20"/>
              </w:rPr>
              <w:t>___________________________</w:t>
            </w:r>
          </w:p>
        </w:tc>
        <w:tc>
          <w:tcPr>
            <w:tcW w:w="5076" w:type="dxa"/>
            <w:tcBorders/>
            <w:shd w:fill="FFFFFF" w:val="clear"/>
          </w:tcPr>
          <w:p>
            <w:pPr>
              <w:pStyle w:val="Normal"/>
              <w:widowControl w:val="false"/>
              <w:ind w:hanging="0" w:left="34" w:right="176"/>
              <w:jc w:val="both"/>
              <w:rPr>
                <w:rFonts w:ascii="Times New Roman" w:hAnsi="Times New Roman"/>
                <w:b/>
                <w:bCs/>
                <w:color w:val="00000A"/>
                <w:sz w:val="20"/>
                <w:szCs w:val="20"/>
              </w:rPr>
            </w:pPr>
            <w:r>
              <w:rPr>
                <w:b/>
                <w:bCs/>
                <w:color w:val="00000A"/>
                <w:sz w:val="20"/>
                <w:szCs w:val="20"/>
              </w:rPr>
              <w:t>Директор филиала АО «ДРСК» «ХЭС»</w:t>
            </w:r>
          </w:p>
          <w:p>
            <w:pPr>
              <w:pStyle w:val="Normal"/>
              <w:widowControl w:val="false"/>
              <w:ind w:hanging="0" w:left="34" w:right="176"/>
              <w:jc w:val="both"/>
              <w:rPr>
                <w:rFonts w:ascii="Times New Roman" w:hAnsi="Times New Roman"/>
                <w:b/>
                <w:bCs/>
                <w:color w:val="00000A"/>
                <w:sz w:val="20"/>
                <w:szCs w:val="20"/>
              </w:rPr>
            </w:pPr>
            <w:r>
              <w:rPr>
                <w:b/>
                <w:bCs/>
                <w:color w:val="00000A"/>
                <w:sz w:val="20"/>
                <w:szCs w:val="20"/>
              </w:rPr>
            </w:r>
          </w:p>
          <w:p>
            <w:pPr>
              <w:pStyle w:val="Normal"/>
              <w:widowControl w:val="false"/>
              <w:ind w:hanging="0" w:left="34" w:right="176"/>
              <w:jc w:val="right"/>
              <w:rPr>
                <w:rFonts w:ascii="Times New Roman" w:hAnsi="Times New Roman"/>
                <w:b/>
                <w:bCs/>
                <w:color w:val="00000A"/>
                <w:sz w:val="20"/>
                <w:szCs w:val="20"/>
              </w:rPr>
            </w:pPr>
            <w:r>
              <w:rPr>
                <w:b/>
                <w:bCs/>
                <w:color w:val="00000A"/>
                <w:sz w:val="20"/>
                <w:szCs w:val="20"/>
              </w:rPr>
              <w:t>_______________________ Сугоровский М.А</w:t>
            </w:r>
          </w:p>
        </w:tc>
      </w:tr>
    </w:tbl>
    <w:p>
      <w:pPr>
        <w:pStyle w:val="Normal"/>
        <w:suppressAutoHyphens w:val="true"/>
        <w:ind w:hanging="0" w:left="0" w:right="0"/>
        <w:jc w:val="right"/>
        <w:rPr>
          <w:rFonts w:ascii="Times New Roman" w:hAnsi="Times New Roman"/>
          <w:sz w:val="20"/>
          <w:szCs w:val="20"/>
        </w:rPr>
      </w:pPr>
      <w:r>
        <w:rPr>
          <w:sz w:val="20"/>
          <w:szCs w:val="20"/>
        </w:rPr>
      </w:r>
    </w:p>
    <w:p>
      <w:pPr>
        <w:pStyle w:val="Normal"/>
        <w:widowControl w:val="false"/>
        <w:jc w:val="right"/>
        <w:rPr/>
      </w:pPr>
      <w:r>
        <w:rPr/>
      </w:r>
    </w:p>
    <w:p>
      <w:pPr>
        <w:pStyle w:val="Normal"/>
        <w:widowControl w:val="false"/>
        <w:spacing w:before="0" w:after="0"/>
        <w:jc w:val="right"/>
        <w:rPr/>
      </w:pPr>
      <w:r>
        <w:rPr>
          <w:b w:val="false"/>
          <w:bCs w:val="false"/>
          <w:sz w:val="18"/>
          <w:szCs w:val="18"/>
        </w:rPr>
        <w:t>Приложение №1 к договору поставки № ________/ХЭС от "_____" _______ 2026 г.</w:t>
      </w:r>
    </w:p>
    <w:p>
      <w:pPr>
        <w:pStyle w:val="Normal"/>
        <w:widowControl w:val="false"/>
        <w:spacing w:before="0" w:after="0"/>
        <w:jc w:val="center"/>
        <w:rPr>
          <w:rFonts w:ascii="Times New Roman" w:hAnsi="Times New Roman"/>
          <w:b/>
          <w:bCs/>
          <w:sz w:val="28"/>
          <w:szCs w:val="24"/>
        </w:rPr>
      </w:pPr>
      <w:r>
        <w:rPr>
          <w:b/>
          <w:bCs/>
          <w:sz w:val="28"/>
          <w:szCs w:val="24"/>
        </w:rPr>
      </w:r>
    </w:p>
    <w:p>
      <w:pPr>
        <w:pStyle w:val="Normal"/>
        <w:widowControl w:val="false"/>
        <w:spacing w:before="0" w:after="0"/>
        <w:jc w:val="center"/>
        <w:rPr/>
      </w:pPr>
      <w:r>
        <w:rPr>
          <w:b/>
          <w:bCs/>
          <w:sz w:val="28"/>
          <w:szCs w:val="24"/>
        </w:rPr>
        <w:t>Спецификация к договору с поставщиком № _______/ХЭС от "____" _____ 2026 г.</w:t>
      </w:r>
    </w:p>
    <w:p>
      <w:pPr>
        <w:pStyle w:val="Normal"/>
        <w:widowControl w:val="false"/>
        <w:spacing w:before="0" w:after="0"/>
        <w:jc w:val="center"/>
        <w:rPr>
          <w:rFonts w:ascii="Times New Roman" w:hAnsi="Times New Roman"/>
          <w:b/>
          <w:bCs/>
          <w:sz w:val="28"/>
          <w:szCs w:val="24"/>
        </w:rPr>
      </w:pPr>
      <w:r>
        <w:rPr>
          <w:b/>
          <w:bCs/>
          <w:sz w:val="28"/>
          <w:szCs w:val="24"/>
        </w:rPr>
      </w:r>
    </w:p>
    <w:tbl>
      <w:tblPr>
        <w:tblStyle w:val="a3"/>
        <w:tblW w:w="10772" w:type="dxa"/>
        <w:jc w:val="left"/>
        <w:tblInd w:w="140" w:type="dxa"/>
        <w:tblLayout w:type="fixed"/>
        <w:tblCellMar>
          <w:top w:w="0" w:type="dxa"/>
          <w:left w:w="68" w:type="dxa"/>
          <w:bottom w:w="0" w:type="dxa"/>
          <w:right w:w="108" w:type="dxa"/>
        </w:tblCellMar>
        <w:tblLook w:val="04a0" w:noHBand="0" w:noVBand="1" w:firstColumn="1" w:lastRow="0" w:lastColumn="0" w:firstRow="1"/>
      </w:tblPr>
      <w:tblGrid>
        <w:gridCol w:w="789"/>
        <w:gridCol w:w="5521"/>
        <w:gridCol w:w="1192"/>
        <w:gridCol w:w="1015"/>
        <w:gridCol w:w="1130"/>
        <w:gridCol w:w="1124"/>
      </w:tblGrid>
      <w:tr>
        <w:trPr/>
        <w:tc>
          <w:tcPr>
            <w:tcW w:w="789" w:type="dxa"/>
            <w:tcBorders/>
            <w:shd w:fill="auto" w:val="clear"/>
            <w:vAlign w:val="center"/>
          </w:tcPr>
          <w:p>
            <w:pPr>
              <w:pStyle w:val="Normal"/>
              <w:keepNext w:val="true"/>
              <w:widowControl w:val="false"/>
              <w:suppressAutoHyphens w:val="true"/>
              <w:spacing w:lineRule="auto" w:line="240" w:before="0" w:after="0"/>
              <w:jc w:val="center"/>
              <w:rPr/>
            </w:pPr>
            <w:r>
              <w:rPr>
                <w:b/>
                <w:bCs/>
                <w:sz w:val="24"/>
                <w:szCs w:val="24"/>
              </w:rPr>
              <w:t xml:space="preserve">№ </w:t>
            </w:r>
            <w:r>
              <w:rPr>
                <w:b/>
                <w:bCs/>
                <w:sz w:val="24"/>
                <w:szCs w:val="24"/>
              </w:rPr>
              <w:t>п/п</w:t>
            </w:r>
          </w:p>
        </w:tc>
        <w:tc>
          <w:tcPr>
            <w:tcW w:w="5521" w:type="dxa"/>
            <w:tcBorders/>
            <w:shd w:fill="auto" w:val="clear"/>
            <w:vAlign w:val="center"/>
          </w:tcPr>
          <w:p>
            <w:pPr>
              <w:pStyle w:val="Normal"/>
              <w:widowControl w:val="false"/>
              <w:suppressAutoHyphens w:val="true"/>
              <w:spacing w:lineRule="auto" w:line="240" w:before="0" w:after="0"/>
              <w:jc w:val="center"/>
              <w:rPr/>
            </w:pPr>
            <w:r>
              <w:rPr>
                <w:rFonts w:eastAsia="Calibri" w:cs="Times New Roman"/>
                <w:b/>
                <w:bCs/>
                <w:sz w:val="24"/>
                <w:szCs w:val="24"/>
                <w:lang w:val="ru-RU" w:eastAsia="en-US" w:bidi="ar-SA"/>
              </w:rPr>
              <w:t>Наименование</w:t>
            </w:r>
          </w:p>
        </w:tc>
        <w:tc>
          <w:tcPr>
            <w:tcW w:w="1192" w:type="dxa"/>
            <w:tcBorders/>
            <w:shd w:fill="auto" w:val="clear"/>
            <w:tcMar>
              <w:left w:w="98" w:type="dxa"/>
            </w:tcMar>
            <w:vAlign w:val="center"/>
          </w:tcPr>
          <w:p>
            <w:pPr>
              <w:pStyle w:val="Normal"/>
              <w:widowControl w:val="false"/>
              <w:suppressAutoHyphens w:val="true"/>
              <w:spacing w:lineRule="auto" w:line="240" w:before="0" w:after="0"/>
              <w:jc w:val="center"/>
              <w:rPr/>
            </w:pPr>
            <w:r>
              <w:rPr>
                <w:rFonts w:eastAsia="Calibri" w:cs="Times New Roman"/>
                <w:b/>
                <w:bCs/>
                <w:sz w:val="24"/>
                <w:szCs w:val="24"/>
                <w:lang w:val="ru-RU" w:eastAsia="en-US" w:bidi="ar-SA"/>
              </w:rPr>
              <w:t>Ед. изм.</w:t>
            </w:r>
          </w:p>
        </w:tc>
        <w:tc>
          <w:tcPr>
            <w:tcW w:w="1015" w:type="dxa"/>
            <w:tcBorders/>
            <w:shd w:fill="auto" w:val="clear"/>
            <w:tcMar>
              <w:left w:w="98" w:type="dxa"/>
            </w:tcMar>
            <w:vAlign w:val="center"/>
          </w:tcPr>
          <w:p>
            <w:pPr>
              <w:pStyle w:val="Normal"/>
              <w:widowControl w:val="false"/>
              <w:suppressAutoHyphens w:val="true"/>
              <w:spacing w:lineRule="auto" w:line="240" w:before="0" w:after="0"/>
              <w:jc w:val="center"/>
              <w:rPr/>
            </w:pPr>
            <w:r>
              <w:rPr>
                <w:rFonts w:eastAsia="Calibri" w:cs="Times New Roman"/>
                <w:b/>
                <w:bCs/>
                <w:sz w:val="24"/>
                <w:szCs w:val="24"/>
                <w:lang w:val="ru-RU" w:eastAsia="en-US" w:bidi="ar-SA"/>
              </w:rPr>
              <w:t>Кол-во</w:t>
            </w:r>
          </w:p>
        </w:tc>
        <w:tc>
          <w:tcPr>
            <w:tcW w:w="1130" w:type="dxa"/>
            <w:tcBorders/>
            <w:shd w:fill="auto" w:val="clear"/>
            <w:tcMar>
              <w:left w:w="98" w:type="dxa"/>
            </w:tcMar>
            <w:vAlign w:val="center"/>
          </w:tcPr>
          <w:p>
            <w:pPr>
              <w:pStyle w:val="Normal"/>
              <w:widowControl w:val="false"/>
              <w:suppressAutoHyphens w:val="true"/>
              <w:spacing w:lineRule="auto" w:line="240" w:before="0" w:after="0"/>
              <w:jc w:val="center"/>
              <w:rPr/>
            </w:pPr>
            <w:r>
              <w:rPr>
                <w:rFonts w:eastAsia="Calibri" w:cs="Times New Roman"/>
                <w:b/>
                <w:bCs/>
                <w:sz w:val="24"/>
                <w:szCs w:val="24"/>
                <w:lang w:val="ru-RU" w:eastAsia="en-US" w:bidi="ar-SA"/>
              </w:rPr>
              <w:t>Цена, руб. с НДС</w:t>
            </w:r>
          </w:p>
        </w:tc>
        <w:tc>
          <w:tcPr>
            <w:tcW w:w="1124" w:type="dxa"/>
            <w:tcBorders/>
            <w:shd w:fill="auto" w:val="clear"/>
            <w:vAlign w:val="center"/>
          </w:tcPr>
          <w:p>
            <w:pPr>
              <w:pStyle w:val="Normal"/>
              <w:widowControl w:val="false"/>
              <w:suppressAutoHyphens w:val="true"/>
              <w:spacing w:lineRule="auto" w:line="240" w:before="0" w:after="0"/>
              <w:jc w:val="center"/>
              <w:rPr/>
            </w:pPr>
            <w:r>
              <w:rPr>
                <w:rFonts w:eastAsia="Calibri" w:cs="Times New Roman"/>
                <w:b/>
                <w:bCs/>
                <w:sz w:val="24"/>
                <w:szCs w:val="24"/>
                <w:lang w:val="ru-RU" w:eastAsia="en-US" w:bidi="ar-SA"/>
              </w:rPr>
              <w:t>Сумма, руб. НДС</w:t>
            </w:r>
          </w:p>
        </w:tc>
      </w:tr>
      <w:tr>
        <w:trPr/>
        <w:tc>
          <w:tcPr>
            <w:tcW w:w="789" w:type="dxa"/>
            <w:tcBorders/>
            <w:shd w:fill="auto" w:val="clear"/>
          </w:tcPr>
          <w:p>
            <w:pPr>
              <w:pStyle w:val="Normal"/>
              <w:keepNext w:val="true"/>
              <w:widowControl w:val="false"/>
              <w:suppressAutoHyphens w:val="true"/>
              <w:overflowPunct w:val="true"/>
              <w:bidi w:val="0"/>
              <w:spacing w:lineRule="auto" w:line="240" w:before="0" w:after="0"/>
              <w:ind w:hanging="454" w:left="737" w:right="510"/>
              <w:jc w:val="center"/>
              <w:rPr>
                <w:rFonts w:ascii="Times New Roman" w:hAnsi="Times New Roman"/>
                <w:b w:val="false"/>
                <w:bCs w:val="false"/>
                <w:sz w:val="20"/>
                <w:szCs w:val="20"/>
              </w:rPr>
            </w:pPr>
            <w:r>
              <w:rPr>
                <w:b w:val="false"/>
                <w:bCs w:val="false"/>
                <w:sz w:val="20"/>
                <w:szCs w:val="20"/>
              </w:rPr>
              <w:t>1</w:t>
            </w:r>
          </w:p>
        </w:tc>
        <w:tc>
          <w:tcPr>
            <w:tcW w:w="5521" w:type="dxa"/>
            <w:tcBorders/>
            <w:shd w:fill="auto" w:val="clear"/>
          </w:tcPr>
          <w:p>
            <w:pPr>
              <w:pStyle w:val="Normal"/>
              <w:widowControl w:val="false"/>
              <w:suppressAutoHyphens w:val="true"/>
              <w:bidi w:val="0"/>
              <w:spacing w:lineRule="auto" w:line="240" w:before="0" w:after="0"/>
              <w:ind w:hanging="0" w:left="0" w:right="0"/>
              <w:jc w:val="left"/>
              <w:textAlignment w:val="top"/>
              <w:rPr>
                <w:rFonts w:ascii="Liberation Serif" w:hAnsi="Liberation Serif" w:eastAsia="Calibri"/>
                <w:b w:val="false"/>
                <w:bCs w:val="false"/>
                <w:sz w:val="20"/>
                <w:szCs w:val="20"/>
                <w:lang w:val="ru-RU" w:eastAsia="en-US" w:bidi="ar-SA"/>
              </w:rPr>
            </w:pPr>
            <w:r>
              <w:rPr>
                <w:rFonts w:eastAsia="Calibri" w:ascii="Liberation Serif" w:hAnsi="Liberation Serif"/>
                <w:b w:val="false"/>
                <w:bCs w:val="false"/>
                <w:sz w:val="20"/>
                <w:szCs w:val="20"/>
                <w:lang w:val="ru-RU" w:eastAsia="en-US" w:bidi="ar-SA"/>
              </w:rPr>
            </w:r>
          </w:p>
        </w:tc>
        <w:tc>
          <w:tcPr>
            <w:tcW w:w="1192"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eastAsia="Calibri"/>
                <w:b w:val="false"/>
                <w:bCs w:val="false"/>
                <w:sz w:val="20"/>
                <w:szCs w:val="20"/>
                <w:lang w:val="ru-RU" w:eastAsia="en-US" w:bidi="ar-SA"/>
              </w:rPr>
            </w:pPr>
            <w:r>
              <w:rPr>
                <w:rFonts w:eastAsia="Calibri"/>
                <w:b w:val="false"/>
                <w:bCs w:val="false"/>
                <w:sz w:val="20"/>
                <w:szCs w:val="20"/>
                <w:lang w:val="ru-RU" w:eastAsia="en-US" w:bidi="ar-SA"/>
              </w:rPr>
            </w:r>
          </w:p>
        </w:tc>
        <w:tc>
          <w:tcPr>
            <w:tcW w:w="1015"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eastAsia="Calibri"/>
                <w:b w:val="false"/>
                <w:bCs w:val="false"/>
                <w:sz w:val="20"/>
                <w:szCs w:val="20"/>
                <w:lang w:val="ru-RU" w:eastAsia="en-US" w:bidi="ar-SA"/>
              </w:rPr>
            </w:pPr>
            <w:r>
              <w:rPr>
                <w:rFonts w:eastAsia="Calibri"/>
                <w:b w:val="false"/>
                <w:bCs w:val="false"/>
                <w:sz w:val="20"/>
                <w:szCs w:val="20"/>
                <w:lang w:val="ru-RU" w:eastAsia="en-US" w:bidi="ar-SA"/>
              </w:rPr>
            </w:r>
          </w:p>
        </w:tc>
        <w:tc>
          <w:tcPr>
            <w:tcW w:w="1130"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sz w:val="20"/>
                <w:szCs w:val="20"/>
              </w:rPr>
            </w:pPr>
            <w:r>
              <w:rPr>
                <w:sz w:val="20"/>
                <w:szCs w:val="20"/>
              </w:rPr>
            </w:r>
          </w:p>
        </w:tc>
        <w:tc>
          <w:tcPr>
            <w:tcW w:w="1124" w:type="dxa"/>
            <w:tcBorders/>
            <w:shd w:fill="auto" w:val="clear"/>
          </w:tcPr>
          <w:p>
            <w:pPr>
              <w:pStyle w:val="Normal"/>
              <w:widowControl w:val="false"/>
              <w:suppressAutoHyphens w:val="true"/>
              <w:spacing w:lineRule="auto" w:line="240" w:before="0" w:after="0"/>
              <w:jc w:val="center"/>
              <w:rPr>
                <w:rFonts w:ascii="Times New Roman" w:hAnsi="Times New Roman"/>
                <w:sz w:val="20"/>
                <w:szCs w:val="20"/>
              </w:rPr>
            </w:pPr>
            <w:r>
              <w:rPr>
                <w:sz w:val="20"/>
                <w:szCs w:val="20"/>
              </w:rPr>
            </w:r>
          </w:p>
        </w:tc>
      </w:tr>
      <w:tr>
        <w:trPr/>
        <w:tc>
          <w:tcPr>
            <w:tcW w:w="789" w:type="dxa"/>
            <w:tcBorders/>
            <w:shd w:fill="auto" w:val="clear"/>
          </w:tcPr>
          <w:p>
            <w:pPr>
              <w:pStyle w:val="Normal"/>
              <w:keepNext w:val="true"/>
              <w:widowControl w:val="false"/>
              <w:suppressAutoHyphens w:val="true"/>
              <w:overflowPunct w:val="true"/>
              <w:bidi w:val="0"/>
              <w:spacing w:lineRule="auto" w:line="240" w:before="0" w:after="0"/>
              <w:ind w:hanging="454" w:left="737" w:right="510"/>
              <w:jc w:val="center"/>
              <w:rPr>
                <w:rFonts w:ascii="Times New Roman" w:hAnsi="Times New Roman"/>
                <w:b w:val="false"/>
                <w:bCs w:val="false"/>
                <w:sz w:val="20"/>
                <w:szCs w:val="20"/>
              </w:rPr>
            </w:pPr>
            <w:r>
              <w:rPr>
                <w:b w:val="false"/>
                <w:bCs w:val="false"/>
                <w:sz w:val="20"/>
                <w:szCs w:val="20"/>
              </w:rPr>
              <w:t>2</w:t>
            </w:r>
          </w:p>
        </w:tc>
        <w:tc>
          <w:tcPr>
            <w:tcW w:w="5521" w:type="dxa"/>
            <w:tcBorders/>
            <w:shd w:fill="auto" w:val="clear"/>
          </w:tcPr>
          <w:p>
            <w:pPr>
              <w:pStyle w:val="Normal"/>
              <w:widowControl w:val="false"/>
              <w:suppressAutoHyphens w:val="true"/>
              <w:bidi w:val="0"/>
              <w:spacing w:lineRule="auto" w:line="240" w:before="0" w:after="0"/>
              <w:ind w:hanging="0" w:left="0" w:right="0"/>
              <w:jc w:val="left"/>
              <w:textAlignment w:val="top"/>
              <w:rPr>
                <w:rFonts w:ascii="Liberation Serif" w:hAnsi="Liberation Serif" w:eastAsia="Calibri"/>
                <w:b w:val="false"/>
                <w:bCs w:val="false"/>
                <w:sz w:val="20"/>
                <w:szCs w:val="20"/>
                <w:lang w:val="ru-RU" w:eastAsia="en-US" w:bidi="ar-SA"/>
              </w:rPr>
            </w:pPr>
            <w:r>
              <w:rPr>
                <w:rFonts w:eastAsia="Calibri" w:ascii="Liberation Serif" w:hAnsi="Liberation Serif"/>
                <w:b w:val="false"/>
                <w:bCs w:val="false"/>
                <w:sz w:val="20"/>
                <w:szCs w:val="20"/>
                <w:lang w:val="ru-RU" w:eastAsia="en-US" w:bidi="ar-SA"/>
              </w:rPr>
            </w:r>
          </w:p>
        </w:tc>
        <w:tc>
          <w:tcPr>
            <w:tcW w:w="1192"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eastAsia="Calibri"/>
                <w:b w:val="false"/>
                <w:bCs w:val="false"/>
                <w:sz w:val="20"/>
                <w:szCs w:val="20"/>
                <w:lang w:val="ru-RU" w:eastAsia="en-US" w:bidi="ar-SA"/>
              </w:rPr>
            </w:pPr>
            <w:r>
              <w:rPr>
                <w:rFonts w:eastAsia="Calibri"/>
                <w:b w:val="false"/>
                <w:bCs w:val="false"/>
                <w:sz w:val="20"/>
                <w:szCs w:val="20"/>
                <w:lang w:val="ru-RU" w:eastAsia="en-US" w:bidi="ar-SA"/>
              </w:rPr>
            </w:r>
          </w:p>
        </w:tc>
        <w:tc>
          <w:tcPr>
            <w:tcW w:w="1015"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eastAsia="Calibri"/>
                <w:b w:val="false"/>
                <w:bCs w:val="false"/>
                <w:sz w:val="20"/>
                <w:szCs w:val="20"/>
                <w:lang w:val="ru-RU" w:eastAsia="en-US" w:bidi="ar-SA"/>
              </w:rPr>
            </w:pPr>
            <w:r>
              <w:rPr>
                <w:rFonts w:eastAsia="Calibri"/>
                <w:b w:val="false"/>
                <w:bCs w:val="false"/>
                <w:sz w:val="20"/>
                <w:szCs w:val="20"/>
                <w:lang w:val="ru-RU" w:eastAsia="en-US" w:bidi="ar-SA"/>
              </w:rPr>
            </w:r>
          </w:p>
        </w:tc>
        <w:tc>
          <w:tcPr>
            <w:tcW w:w="1130"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sz w:val="20"/>
                <w:szCs w:val="20"/>
              </w:rPr>
            </w:pPr>
            <w:r>
              <w:rPr>
                <w:sz w:val="20"/>
                <w:szCs w:val="20"/>
              </w:rPr>
            </w:r>
          </w:p>
        </w:tc>
        <w:tc>
          <w:tcPr>
            <w:tcW w:w="1124" w:type="dxa"/>
            <w:tcBorders/>
            <w:shd w:fill="auto" w:val="clear"/>
          </w:tcPr>
          <w:p>
            <w:pPr>
              <w:pStyle w:val="Normal"/>
              <w:widowControl w:val="false"/>
              <w:suppressAutoHyphens w:val="true"/>
              <w:spacing w:lineRule="auto" w:line="240" w:before="0" w:after="0"/>
              <w:jc w:val="center"/>
              <w:rPr>
                <w:rFonts w:ascii="Times New Roman" w:hAnsi="Times New Roman"/>
                <w:sz w:val="20"/>
                <w:szCs w:val="20"/>
              </w:rPr>
            </w:pPr>
            <w:r>
              <w:rPr>
                <w:sz w:val="20"/>
                <w:szCs w:val="20"/>
              </w:rPr>
            </w:r>
          </w:p>
        </w:tc>
      </w:tr>
      <w:tr>
        <w:trPr>
          <w:trHeight w:val="408" w:hRule="atLeast"/>
        </w:trPr>
        <w:tc>
          <w:tcPr>
            <w:tcW w:w="789" w:type="dxa"/>
            <w:tcBorders/>
            <w:shd w:fill="auto" w:val="clear"/>
          </w:tcPr>
          <w:p>
            <w:pPr>
              <w:pStyle w:val="Normal"/>
              <w:keepNext w:val="true"/>
              <w:widowControl w:val="false"/>
              <w:numPr>
                <w:ilvl w:val="0"/>
                <w:numId w:val="0"/>
              </w:numPr>
              <w:suppressAutoHyphens w:val="true"/>
              <w:overflowPunct w:val="true"/>
              <w:bidi w:val="0"/>
              <w:spacing w:lineRule="auto" w:line="240" w:beforeAutospacing="1" w:after="0"/>
              <w:ind w:hanging="454" w:left="794" w:right="510"/>
              <w:jc w:val="center"/>
              <w:outlineLvl w:val="0"/>
              <w:rPr>
                <w:rFonts w:ascii="Times New Roman" w:hAnsi="Times New Roman"/>
                <w:b w:val="false"/>
                <w:bCs w:val="false"/>
                <w:sz w:val="20"/>
                <w:szCs w:val="20"/>
              </w:rPr>
            </w:pPr>
            <w:r>
              <w:rPr>
                <w:b w:val="false"/>
                <w:bCs w:val="false"/>
                <w:sz w:val="20"/>
                <w:szCs w:val="20"/>
              </w:rPr>
              <w:t>……</w:t>
            </w:r>
            <w:r>
              <w:rPr>
                <w:b w:val="false"/>
                <w:bCs w:val="false"/>
                <w:sz w:val="20"/>
                <w:szCs w:val="20"/>
              </w:rPr>
              <w:t>.</w:t>
            </w:r>
          </w:p>
        </w:tc>
        <w:tc>
          <w:tcPr>
            <w:tcW w:w="5521" w:type="dxa"/>
            <w:tcBorders/>
            <w:shd w:fill="auto" w:val="clear"/>
          </w:tcPr>
          <w:p>
            <w:pPr>
              <w:pStyle w:val="Heading1"/>
              <w:widowControl w:val="false"/>
              <w:numPr>
                <w:ilvl w:val="0"/>
                <w:numId w:val="0"/>
              </w:numPr>
              <w:bidi w:val="0"/>
              <w:spacing w:lineRule="auto" w:line="240" w:before="0" w:after="0"/>
              <w:ind w:hanging="0" w:left="0" w:right="0"/>
              <w:jc w:val="left"/>
              <w:textAlignment w:val="top"/>
              <w:rPr>
                <w:rFonts w:ascii="Liberation Serif" w:hAnsi="Liberation Serif" w:eastAsia="Times New Roman" w:cs="Times New Roman"/>
                <w:b w:val="false"/>
                <w:bCs w:val="false"/>
                <w:i w:val="false"/>
                <w:i w:val="false"/>
                <w:caps w:val="false"/>
                <w:smallCaps w:val="false"/>
                <w:strike w:val="false"/>
                <w:dstrike w:val="false"/>
                <w:spacing w:val="0"/>
                <w:sz w:val="20"/>
                <w:szCs w:val="20"/>
                <w:u w:val="none"/>
                <w:effect w:val="none"/>
                <w:lang w:eastAsia="ru-RU"/>
              </w:rPr>
            </w:pPr>
            <w:r>
              <w:rPr>
                <w:rFonts w:eastAsia="Times New Roman" w:cs="Times New Roman" w:ascii="Liberation Serif" w:hAnsi="Liberation Serif"/>
                <w:b w:val="false"/>
                <w:bCs w:val="false"/>
                <w:i w:val="false"/>
                <w:caps w:val="false"/>
                <w:smallCaps w:val="false"/>
                <w:strike w:val="false"/>
                <w:dstrike w:val="false"/>
                <w:spacing w:val="0"/>
                <w:sz w:val="20"/>
                <w:szCs w:val="20"/>
                <w:u w:val="none"/>
                <w:effect w:val="none"/>
                <w:lang w:eastAsia="ru-RU"/>
              </w:rPr>
            </w:r>
          </w:p>
        </w:tc>
        <w:tc>
          <w:tcPr>
            <w:tcW w:w="1192"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b w:val="false"/>
                <w:bCs w:val="false"/>
                <w:color w:val="000000"/>
                <w:sz w:val="20"/>
                <w:szCs w:val="20"/>
              </w:rPr>
            </w:pPr>
            <w:r>
              <w:rPr>
                <w:b w:val="false"/>
                <w:bCs w:val="false"/>
                <w:color w:val="000000"/>
                <w:sz w:val="20"/>
                <w:szCs w:val="20"/>
              </w:rPr>
            </w:r>
          </w:p>
        </w:tc>
        <w:tc>
          <w:tcPr>
            <w:tcW w:w="1015"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b w:val="false"/>
                <w:bCs w:val="false"/>
                <w:sz w:val="20"/>
                <w:szCs w:val="20"/>
              </w:rPr>
            </w:pPr>
            <w:r>
              <w:rPr>
                <w:b w:val="false"/>
                <w:bCs w:val="false"/>
                <w:sz w:val="20"/>
                <w:szCs w:val="20"/>
              </w:rPr>
            </w:r>
          </w:p>
        </w:tc>
        <w:tc>
          <w:tcPr>
            <w:tcW w:w="1130" w:type="dxa"/>
            <w:tcBorders/>
            <w:shd w:fill="auto" w:val="clear"/>
            <w:tcMar>
              <w:left w:w="98" w:type="dxa"/>
            </w:tcMar>
          </w:tcPr>
          <w:p>
            <w:pPr>
              <w:pStyle w:val="Normal"/>
              <w:widowControl w:val="false"/>
              <w:suppressAutoHyphens w:val="true"/>
              <w:spacing w:lineRule="auto" w:line="240" w:before="0" w:after="0"/>
              <w:jc w:val="center"/>
              <w:rPr>
                <w:rFonts w:ascii="Times New Roman" w:hAnsi="Times New Roman"/>
                <w:sz w:val="20"/>
                <w:szCs w:val="20"/>
              </w:rPr>
            </w:pPr>
            <w:r>
              <w:rPr>
                <w:sz w:val="20"/>
                <w:szCs w:val="20"/>
              </w:rPr>
            </w:r>
          </w:p>
        </w:tc>
        <w:tc>
          <w:tcPr>
            <w:tcW w:w="1124" w:type="dxa"/>
            <w:tcBorders/>
            <w:shd w:fill="auto" w:val="clear"/>
          </w:tcPr>
          <w:p>
            <w:pPr>
              <w:pStyle w:val="Normal"/>
              <w:widowControl w:val="false"/>
              <w:suppressAutoHyphens w:val="true"/>
              <w:spacing w:lineRule="auto" w:line="240" w:before="0" w:after="0"/>
              <w:jc w:val="center"/>
              <w:rPr>
                <w:rFonts w:ascii="Times New Roman" w:hAnsi="Times New Roman"/>
                <w:sz w:val="20"/>
                <w:szCs w:val="20"/>
              </w:rPr>
            </w:pPr>
            <w:r>
              <w:rPr>
                <w:sz w:val="20"/>
                <w:szCs w:val="20"/>
              </w:rPr>
            </w:r>
          </w:p>
        </w:tc>
      </w:tr>
      <w:tr>
        <w:trPr>
          <w:trHeight w:val="408" w:hRule="atLeast"/>
        </w:trPr>
        <w:tc>
          <w:tcPr>
            <w:tcW w:w="9647" w:type="dxa"/>
            <w:gridSpan w:val="5"/>
            <w:tcBorders/>
            <w:shd w:fill="auto" w:val="clear"/>
          </w:tcPr>
          <w:p>
            <w:pPr>
              <w:pStyle w:val="Normal"/>
              <w:keepNext w:val="true"/>
              <w:widowControl w:val="false"/>
              <w:numPr>
                <w:ilvl w:val="0"/>
                <w:numId w:val="0"/>
              </w:numPr>
              <w:suppressAutoHyphens w:val="true"/>
              <w:bidi w:val="0"/>
              <w:spacing w:lineRule="auto" w:line="240" w:before="0" w:after="0"/>
              <w:ind w:hanging="0" w:left="1060" w:right="510"/>
              <w:jc w:val="right"/>
              <w:outlineLvl w:val="0"/>
              <w:rPr/>
            </w:pPr>
            <w:r>
              <w:rPr>
                <w:b/>
                <w:bCs/>
                <w:i w:val="false"/>
                <w:strike w:val="false"/>
                <w:dstrike w:val="false"/>
                <w:outline w:val="false"/>
                <w:shadow w:val="false"/>
                <w:sz w:val="20"/>
                <w:szCs w:val="20"/>
                <w:u w:val="none"/>
                <w:em w:val="none"/>
              </w:rPr>
              <w:t>Итого с НДС и транспортными услугами:</w:t>
            </w:r>
          </w:p>
        </w:tc>
        <w:tc>
          <w:tcPr>
            <w:tcW w:w="1124" w:type="dxa"/>
            <w:tcBorders/>
            <w:shd w:fill="auto" w:val="clear"/>
          </w:tcPr>
          <w:p>
            <w:pPr>
              <w:pStyle w:val="Normal"/>
              <w:widowControl w:val="false"/>
              <w:suppressAutoHyphens w:val="true"/>
              <w:bidi w:val="0"/>
              <w:spacing w:lineRule="auto" w:line="240" w:before="0" w:after="0"/>
              <w:jc w:val="center"/>
              <w:rPr>
                <w:rFonts w:ascii="Times New Roman" w:hAnsi="Times New Roman"/>
                <w:b/>
                <w:bCs/>
                <w:sz w:val="20"/>
                <w:szCs w:val="20"/>
              </w:rPr>
            </w:pPr>
            <w:r>
              <w:rPr>
                <w:b/>
                <w:bCs/>
                <w:sz w:val="20"/>
                <w:szCs w:val="20"/>
              </w:rPr>
            </w:r>
          </w:p>
        </w:tc>
      </w:tr>
      <w:tr>
        <w:trPr>
          <w:trHeight w:val="408" w:hRule="atLeast"/>
        </w:trPr>
        <w:tc>
          <w:tcPr>
            <w:tcW w:w="9647" w:type="dxa"/>
            <w:gridSpan w:val="5"/>
            <w:tcBorders/>
            <w:shd w:fill="auto" w:val="clear"/>
          </w:tcPr>
          <w:p>
            <w:pPr>
              <w:pStyle w:val="Normal"/>
              <w:keepNext w:val="true"/>
              <w:widowControl w:val="false"/>
              <w:numPr>
                <w:ilvl w:val="0"/>
                <w:numId w:val="0"/>
              </w:numPr>
              <w:suppressAutoHyphens w:val="true"/>
              <w:bidi w:val="0"/>
              <w:spacing w:lineRule="auto" w:line="240" w:before="0" w:after="0"/>
              <w:ind w:hanging="0" w:left="1060" w:right="510"/>
              <w:jc w:val="right"/>
              <w:outlineLvl w:val="0"/>
              <w:rPr/>
            </w:pPr>
            <w:r>
              <w:rPr>
                <w:b/>
                <w:bCs/>
                <w:sz w:val="20"/>
                <w:szCs w:val="20"/>
              </w:rPr>
              <w:t>в т.ч НДС:</w:t>
            </w:r>
          </w:p>
        </w:tc>
        <w:tc>
          <w:tcPr>
            <w:tcW w:w="1124" w:type="dxa"/>
            <w:tcBorders/>
            <w:shd w:fill="auto" w:val="clear"/>
          </w:tcPr>
          <w:p>
            <w:pPr>
              <w:pStyle w:val="Normal"/>
              <w:widowControl w:val="false"/>
              <w:suppressAutoHyphens w:val="true"/>
              <w:bidi w:val="0"/>
              <w:spacing w:lineRule="auto" w:line="240" w:before="0" w:after="0"/>
              <w:jc w:val="center"/>
              <w:rPr>
                <w:rFonts w:ascii="Times New Roman" w:hAnsi="Times New Roman"/>
                <w:b/>
                <w:bCs/>
                <w:sz w:val="20"/>
                <w:szCs w:val="20"/>
              </w:rPr>
            </w:pPr>
            <w:r>
              <w:rPr>
                <w:b/>
                <w:bCs/>
                <w:sz w:val="20"/>
                <w:szCs w:val="20"/>
              </w:rPr>
            </w:r>
          </w:p>
        </w:tc>
      </w:tr>
    </w:tbl>
    <w:p>
      <w:pPr>
        <w:pStyle w:val="Normal"/>
        <w:widowControl w:val="false"/>
        <w:spacing w:before="0" w:after="0"/>
        <w:rPr>
          <w:rFonts w:ascii="Times New Roman" w:hAnsi="Times New Roman"/>
          <w:sz w:val="24"/>
          <w:szCs w:val="24"/>
        </w:rPr>
      </w:pPr>
      <w:r>
        <w:rPr>
          <w:sz w:val="24"/>
          <w:szCs w:val="24"/>
        </w:rPr>
      </w:r>
    </w:p>
    <w:p>
      <w:pPr>
        <w:pStyle w:val="Normal"/>
        <w:widowControl w:val="false"/>
        <w:spacing w:before="0" w:after="0"/>
        <w:rPr/>
      </w:pPr>
      <w:r>
        <w:rPr>
          <w:b w:val="false"/>
          <w:i w:val="false"/>
          <w:strike w:val="false"/>
          <w:dstrike w:val="false"/>
          <w:outline w:val="false"/>
          <w:shadow w:val="false"/>
          <w:sz w:val="24"/>
          <w:szCs w:val="24"/>
          <w:u w:val="none"/>
          <w:em w:val="none"/>
        </w:rPr>
        <w:t xml:space="preserve">Срок поставки продукции:  </w:t>
      </w:r>
      <w:r>
        <w:rPr>
          <w:b/>
          <w:bCs/>
          <w:i w:val="false"/>
          <w:strike w:val="false"/>
          <w:dstrike w:val="false"/>
          <w:outline w:val="false"/>
          <w:shadow w:val="false"/>
          <w:sz w:val="24"/>
          <w:szCs w:val="24"/>
          <w:u w:val="none"/>
          <w:em w:val="none"/>
        </w:rPr>
        <w:t>до</w:t>
      </w:r>
      <w:r>
        <w:rPr>
          <w:b w:val="false"/>
          <w:i w:val="false"/>
          <w:strike w:val="false"/>
          <w:dstrike w:val="false"/>
          <w:outline w:val="false"/>
          <w:shadow w:val="false"/>
          <w:sz w:val="24"/>
          <w:szCs w:val="24"/>
          <w:u w:val="none"/>
          <w:em w:val="none"/>
        </w:rPr>
        <w:t xml:space="preserve"> </w:t>
      </w:r>
      <w:r>
        <w:rPr>
          <w:b/>
          <w:bCs/>
          <w:i w:val="false"/>
          <w:iCs w:val="false"/>
          <w:strike w:val="false"/>
          <w:dstrike w:val="false"/>
          <w:outline w:val="false"/>
          <w:shadow w:val="false"/>
          <w:color w:val="00000A"/>
          <w:sz w:val="24"/>
          <w:szCs w:val="24"/>
          <w:u w:val="none"/>
          <w:em w:val="none"/>
        </w:rPr>
        <w:t>31.12.2026 с возможностью досрочной поставки</w:t>
      </w:r>
    </w:p>
    <w:p>
      <w:pPr>
        <w:pStyle w:val="Normal"/>
        <w:widowControl w:val="false"/>
        <w:spacing w:before="0" w:after="0"/>
        <w:rPr/>
      </w:pPr>
      <w:r>
        <w:rPr>
          <w:b w:val="false"/>
          <w:bCs/>
          <w:i w:val="false"/>
          <w:iCs w:val="false"/>
          <w:strike w:val="false"/>
          <w:dstrike w:val="false"/>
          <w:outline w:val="false"/>
          <w:shadow w:val="false"/>
          <w:color w:val="00000A"/>
          <w:sz w:val="24"/>
          <w:szCs w:val="24"/>
          <w:u w:val="none"/>
          <w:em w:val="none"/>
        </w:rPr>
        <w:t>Г</w:t>
      </w:r>
      <w:r>
        <w:rPr>
          <w:b w:val="false"/>
          <w:i w:val="false"/>
          <w:strike w:val="false"/>
          <w:dstrike w:val="false"/>
          <w:outline w:val="false"/>
          <w:shadow w:val="false"/>
          <w:sz w:val="24"/>
          <w:szCs w:val="24"/>
          <w:u w:val="none"/>
          <w:em w:val="none"/>
        </w:rPr>
        <w:t xml:space="preserve">рузополучатель: </w:t>
      </w:r>
      <w:r>
        <w:rPr>
          <w:b/>
          <w:i w:val="false"/>
          <w:strike w:val="false"/>
          <w:dstrike w:val="false"/>
          <w:outline w:val="false"/>
          <w:shadow w:val="false"/>
          <w:sz w:val="24"/>
          <w:szCs w:val="24"/>
          <w:u w:val="none"/>
          <w:em w:val="none"/>
        </w:rPr>
        <w:t>Филиал АО "ДРСК" "Хабаровские электрические сети"</w:t>
      </w:r>
    </w:p>
    <w:p>
      <w:pPr>
        <w:pStyle w:val="Normal"/>
        <w:widowControl w:val="false"/>
        <w:spacing w:before="0" w:after="0"/>
        <w:rPr/>
      </w:pPr>
      <w:r>
        <w:rPr>
          <w:b w:val="false"/>
          <w:i w:val="false"/>
          <w:strike w:val="false"/>
          <w:dstrike w:val="false"/>
          <w:outline w:val="false"/>
          <w:shadow w:val="false"/>
          <w:sz w:val="24"/>
          <w:szCs w:val="24"/>
          <w:u w:val="none"/>
          <w:em w:val="none"/>
        </w:rPr>
        <w:t xml:space="preserve">Адрес доставки: </w:t>
      </w:r>
      <w:r>
        <w:rPr>
          <w:b/>
          <w:i w:val="false"/>
          <w:strike w:val="false"/>
          <w:dstrike w:val="false"/>
          <w:outline w:val="false"/>
          <w:shadow w:val="false"/>
          <w:sz w:val="24"/>
          <w:szCs w:val="24"/>
          <w:u w:val="none"/>
          <w:em w:val="none"/>
        </w:rPr>
        <w:t>680009, Хабаровский край, Хабаровск г, Промышленная ул, дом № 13</w:t>
      </w:r>
    </w:p>
    <w:p>
      <w:pPr>
        <w:pStyle w:val="Normal"/>
        <w:widowControl w:val="false"/>
        <w:spacing w:before="0" w:after="0"/>
        <w:rPr>
          <w:rFonts w:ascii="Times New Roman" w:hAnsi="Times New Roman"/>
          <w:b/>
          <w:i w:val="false"/>
          <w:i w:val="false"/>
          <w:strike w:val="false"/>
          <w:dstrike w:val="false"/>
          <w:outline w:val="false"/>
          <w:shadow w:val="false"/>
          <w:sz w:val="24"/>
          <w:szCs w:val="24"/>
          <w:u w:val="none"/>
          <w:em w:val="none"/>
        </w:rPr>
      </w:pPr>
      <w:r>
        <w:rPr>
          <w:b/>
          <w:i w:val="false"/>
          <w:strike w:val="false"/>
          <w:dstrike w:val="false"/>
          <w:outline w:val="false"/>
          <w:shadow w:val="false"/>
          <w:sz w:val="24"/>
          <w:szCs w:val="24"/>
          <w:u w:val="none"/>
          <w:em w:val="none"/>
        </w:rPr>
      </w:r>
    </w:p>
    <w:p>
      <w:pPr>
        <w:pStyle w:val="Normal"/>
        <w:widowControl w:val="false"/>
        <w:spacing w:before="0" w:after="0"/>
        <w:rPr>
          <w:rFonts w:ascii="Times New Roman" w:hAnsi="Times New Roman"/>
          <w:b/>
          <w:i w:val="false"/>
          <w:i w:val="false"/>
          <w:strike w:val="false"/>
          <w:dstrike w:val="false"/>
          <w:outline w:val="false"/>
          <w:shadow w:val="false"/>
          <w:sz w:val="24"/>
          <w:szCs w:val="24"/>
          <w:u w:val="none"/>
          <w:em w:val="none"/>
        </w:rPr>
      </w:pPr>
      <w:r>
        <w:rPr>
          <w:b/>
          <w:i w:val="false"/>
          <w:strike w:val="false"/>
          <w:dstrike w:val="false"/>
          <w:outline w:val="false"/>
          <w:shadow w:val="false"/>
          <w:sz w:val="24"/>
          <w:szCs w:val="24"/>
          <w:u w:val="none"/>
          <w:em w:val="none"/>
        </w:rPr>
      </w:r>
    </w:p>
    <w:p>
      <w:pPr>
        <w:pStyle w:val="Normal"/>
        <w:widowControl w:val="false"/>
        <w:spacing w:before="0" w:after="0"/>
        <w:rPr>
          <w:rFonts w:ascii="Times New Roman" w:hAnsi="Times New Roman"/>
          <w:b/>
          <w:i w:val="false"/>
          <w:i w:val="false"/>
          <w:strike w:val="false"/>
          <w:dstrike w:val="false"/>
          <w:outline w:val="false"/>
          <w:shadow w:val="false"/>
          <w:sz w:val="24"/>
          <w:szCs w:val="24"/>
          <w:u w:val="none"/>
          <w:em w:val="none"/>
        </w:rPr>
      </w:pPr>
      <w:r>
        <w:rPr>
          <w:b/>
          <w:i w:val="false"/>
          <w:strike w:val="false"/>
          <w:dstrike w:val="false"/>
          <w:outline w:val="false"/>
          <w:shadow w:val="false"/>
          <w:sz w:val="24"/>
          <w:szCs w:val="24"/>
          <w:u w:val="none"/>
          <w:em w:val="none"/>
        </w:rPr>
      </w:r>
    </w:p>
    <w:p>
      <w:pPr>
        <w:pStyle w:val="Normal"/>
        <w:widowControl w:val="false"/>
        <w:spacing w:before="0" w:after="0"/>
        <w:rPr>
          <w:rFonts w:ascii="Times New Roman" w:hAnsi="Times New Roman"/>
          <w:b/>
          <w:i w:val="false"/>
          <w:i w:val="false"/>
          <w:strike w:val="false"/>
          <w:dstrike w:val="false"/>
          <w:outline w:val="false"/>
          <w:shadow w:val="false"/>
          <w:sz w:val="24"/>
          <w:szCs w:val="24"/>
          <w:u w:val="none"/>
          <w:em w:val="none"/>
        </w:rPr>
      </w:pPr>
      <w:r>
        <w:rPr>
          <w:b/>
          <w:i w:val="false"/>
          <w:strike w:val="false"/>
          <w:dstrike w:val="false"/>
          <w:outline w:val="false"/>
          <w:shadow w:val="false"/>
          <w:sz w:val="24"/>
          <w:szCs w:val="24"/>
          <w:u w:val="none"/>
          <w:em w:val="none"/>
        </w:rPr>
      </w:r>
    </w:p>
    <w:p>
      <w:pPr>
        <w:pStyle w:val="Normal"/>
        <w:widowControl w:val="false"/>
        <w:spacing w:before="0" w:after="0"/>
        <w:rPr>
          <w:rFonts w:ascii="Arial" w:hAnsi="Arial"/>
          <w:b w:val="false"/>
          <w:i w:val="false"/>
          <w:i w:val="false"/>
          <w:strike w:val="false"/>
          <w:dstrike w:val="false"/>
          <w:outline w:val="false"/>
          <w:shadow w:val="false"/>
          <w:sz w:val="20"/>
          <w:u w:val="none"/>
          <w:em w:val="none"/>
        </w:rPr>
      </w:pPr>
      <w:r>
        <w:rPr>
          <w:rFonts w:ascii="Arial" w:hAnsi="Arial"/>
          <w:b w:val="false"/>
          <w:i w:val="false"/>
          <w:strike w:val="false"/>
          <w:dstrike w:val="false"/>
          <w:outline w:val="false"/>
          <w:shadow w:val="false"/>
          <w:sz w:val="20"/>
          <w:u w:val="none"/>
          <w:em w:val="none"/>
        </w:rPr>
      </w:r>
    </w:p>
    <w:tbl>
      <w:tblPr>
        <w:tblW w:w="10772" w:type="dxa"/>
        <w:jc w:val="left"/>
        <w:tblInd w:w="110" w:type="dxa"/>
        <w:tblLayout w:type="fixed"/>
        <w:tblCellMar>
          <w:top w:w="55" w:type="dxa"/>
          <w:left w:w="55" w:type="dxa"/>
          <w:bottom w:w="55" w:type="dxa"/>
          <w:right w:w="55" w:type="dxa"/>
        </w:tblCellMar>
      </w:tblPr>
      <w:tblGrid>
        <w:gridCol w:w="5386"/>
        <w:gridCol w:w="5385"/>
      </w:tblGrid>
      <w:tr>
        <w:trPr/>
        <w:tc>
          <w:tcPr>
            <w:tcW w:w="5386" w:type="dxa"/>
            <w:tcBorders/>
            <w:shd w:fill="auto" w:val="clear"/>
          </w:tcPr>
          <w:p>
            <w:pPr>
              <w:pStyle w:val="Style28"/>
              <w:widowControl w:val="false"/>
              <w:bidi w:val="0"/>
              <w:spacing w:before="0" w:after="0"/>
              <w:jc w:val="left"/>
              <w:rPr/>
            </w:pPr>
            <w:r>
              <w:rPr>
                <w:b w:val="false"/>
                <w:bCs w:val="false"/>
                <w:sz w:val="24"/>
                <w:szCs w:val="24"/>
              </w:rPr>
              <w:t>ПОСТАВЩИК</w:t>
            </w:r>
          </w:p>
          <w:p>
            <w:pPr>
              <w:pStyle w:val="Style28"/>
              <w:widowControl w:val="false"/>
              <w:bidi w:val="0"/>
              <w:spacing w:before="0" w:after="0"/>
              <w:jc w:val="left"/>
              <w:rPr/>
            </w:pPr>
            <w:r>
              <w:rPr>
                <w:b w:val="false"/>
                <w:bCs w:val="false"/>
                <w:sz w:val="24"/>
                <w:szCs w:val="24"/>
              </w:rPr>
              <w:t>_________________</w:t>
            </w:r>
          </w:p>
        </w:tc>
        <w:tc>
          <w:tcPr>
            <w:tcW w:w="5385" w:type="dxa"/>
            <w:tcBorders/>
            <w:shd w:fill="auto" w:val="clear"/>
          </w:tcPr>
          <w:p>
            <w:pPr>
              <w:pStyle w:val="Style28"/>
              <w:widowControl w:val="false"/>
              <w:bidi w:val="0"/>
              <w:spacing w:before="0" w:after="0"/>
              <w:jc w:val="left"/>
              <w:rPr/>
            </w:pPr>
            <w:r>
              <w:rPr>
                <w:b w:val="false"/>
                <w:bCs w:val="false"/>
                <w:sz w:val="24"/>
                <w:szCs w:val="24"/>
              </w:rPr>
              <w:t>ПОКУПАТЕЛЬ</w:t>
            </w:r>
          </w:p>
          <w:p>
            <w:pPr>
              <w:pStyle w:val="Style28"/>
              <w:widowControl w:val="false"/>
              <w:bidi w:val="0"/>
              <w:spacing w:before="0" w:after="0"/>
              <w:jc w:val="left"/>
              <w:rPr/>
            </w:pPr>
            <w:r>
              <w:rPr>
                <w:b w:val="false"/>
                <w:bCs w:val="false"/>
                <w:sz w:val="24"/>
                <w:szCs w:val="24"/>
              </w:rPr>
              <w:t>АО «ДРСК»</w:t>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tc>
      </w:tr>
      <w:tr>
        <w:trPr/>
        <w:tc>
          <w:tcPr>
            <w:tcW w:w="5386" w:type="dxa"/>
            <w:tcBorders/>
            <w:shd w:fill="auto" w:val="clear"/>
          </w:tcPr>
          <w:p>
            <w:pPr>
              <w:pStyle w:val="Style28"/>
              <w:widowControl w:val="false"/>
              <w:bidi w:val="0"/>
              <w:spacing w:before="0" w:after="0"/>
              <w:jc w:val="left"/>
              <w:rPr/>
            </w:pPr>
            <w:r>
              <w:rPr>
                <w:b w:val="false"/>
                <w:bCs w:val="false"/>
                <w:sz w:val="24"/>
                <w:szCs w:val="24"/>
              </w:rPr>
              <w:t>______________________</w:t>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pPr>
            <w:r>
              <w:rPr>
                <w:b w:val="false"/>
                <w:bCs w:val="false"/>
                <w:sz w:val="24"/>
                <w:szCs w:val="24"/>
              </w:rPr>
              <w:t>_____________________________</w:t>
            </w:r>
          </w:p>
        </w:tc>
        <w:tc>
          <w:tcPr>
            <w:tcW w:w="5385" w:type="dxa"/>
            <w:tcBorders/>
            <w:shd w:fill="auto" w:val="clear"/>
          </w:tcPr>
          <w:p>
            <w:pPr>
              <w:pStyle w:val="Normal"/>
              <w:widowControl w:val="false"/>
              <w:bidi w:val="0"/>
              <w:spacing w:before="0" w:after="0"/>
              <w:jc w:val="left"/>
              <w:rPr/>
            </w:pPr>
            <w:r>
              <w:rPr>
                <w:b w:val="false"/>
                <w:bCs w:val="false"/>
                <w:i w:val="false"/>
                <w:strike w:val="false"/>
                <w:dstrike w:val="false"/>
                <w:outline w:val="false"/>
                <w:shadow w:val="false"/>
                <w:sz w:val="24"/>
                <w:szCs w:val="24"/>
                <w:u w:val="none"/>
                <w:em w:val="none"/>
              </w:rPr>
              <w:t>Директор филиала АО «ДРСК» «Хабаровские электрические сети»</w:t>
            </w:r>
          </w:p>
          <w:p>
            <w:pPr>
              <w:pStyle w:val="Normal"/>
              <w:widowControl w:val="false"/>
              <w:bidi w:val="0"/>
              <w:spacing w:before="0" w:after="0"/>
              <w:jc w:val="left"/>
              <w:rPr>
                <w:i w:val="false"/>
                <w:i w:val="false"/>
                <w:strike w:val="false"/>
                <w:dstrike w:val="false"/>
                <w:outline w:val="false"/>
                <w:shadow w:val="false"/>
                <w:u w:val="none"/>
                <w:em w:val="none"/>
              </w:rPr>
            </w:pPr>
            <w:r>
              <w:rPr>
                <w:i w:val="false"/>
                <w:strike w:val="false"/>
                <w:dstrike w:val="false"/>
                <w:outline w:val="false"/>
                <w:shadow w:val="false"/>
                <w:u w:val="none"/>
                <w:em w:val="none"/>
              </w:rPr>
            </w:r>
          </w:p>
          <w:p>
            <w:pPr>
              <w:pStyle w:val="Normal"/>
              <w:widowControl w:val="false"/>
              <w:bidi w:val="0"/>
              <w:spacing w:before="0" w:after="0"/>
              <w:jc w:val="left"/>
              <w:rPr>
                <w:i w:val="false"/>
                <w:i w:val="false"/>
                <w:strike w:val="false"/>
                <w:dstrike w:val="false"/>
                <w:outline w:val="false"/>
                <w:shadow w:val="false"/>
                <w:u w:val="none"/>
                <w:em w:val="none"/>
              </w:rPr>
            </w:pPr>
            <w:r>
              <w:rPr>
                <w:i w:val="false"/>
                <w:strike w:val="false"/>
                <w:dstrike w:val="false"/>
                <w:outline w:val="false"/>
                <w:shadow w:val="false"/>
                <w:u w:val="none"/>
                <w:em w:val="none"/>
              </w:rPr>
            </w:r>
          </w:p>
          <w:p>
            <w:pPr>
              <w:pStyle w:val="Normal"/>
              <w:widowControl w:val="false"/>
              <w:bidi w:val="0"/>
              <w:spacing w:before="0" w:after="0"/>
              <w:jc w:val="left"/>
              <w:rPr/>
            </w:pPr>
            <w:r>
              <w:rPr>
                <w:b w:val="false"/>
                <w:bCs w:val="false"/>
                <w:i w:val="false"/>
                <w:strike w:val="false"/>
                <w:dstrike w:val="false"/>
                <w:outline w:val="false"/>
                <w:shadow w:val="false"/>
                <w:sz w:val="24"/>
                <w:szCs w:val="24"/>
                <w:u w:val="none"/>
                <w:em w:val="none"/>
              </w:rPr>
              <w:t>__________________________ Сугоровский М.А.</w:t>
            </w:r>
          </w:p>
          <w:p>
            <w:pPr>
              <w:pStyle w:val="Normal"/>
              <w:widowControl w:val="false"/>
              <w:bidi w:val="0"/>
              <w:spacing w:before="0" w:after="0"/>
              <w:jc w:val="left"/>
              <w:rPr>
                <w:rFonts w:ascii="Times New Roman" w:hAnsi="Times New Roman"/>
                <w:b w:val="false"/>
                <w:bCs w:val="false"/>
                <w:sz w:val="24"/>
                <w:szCs w:val="24"/>
              </w:rPr>
            </w:pPr>
            <w:r>
              <w:rPr>
                <w:b w:val="false"/>
                <w:bCs w:val="false"/>
                <w:sz w:val="24"/>
                <w:szCs w:val="24"/>
              </w:rPr>
            </w:r>
          </w:p>
        </w:tc>
      </w:tr>
    </w:tbl>
    <w:p>
      <w:pPr>
        <w:pStyle w:val="Normal"/>
        <w:widowControl w:val="false"/>
        <w:spacing w:before="0" w:after="0"/>
        <w:rPr>
          <w:rFonts w:ascii="Liberation Serif" w:hAnsi="Liberation Serif"/>
          <w:b/>
          <w:bCs/>
          <w:i w:val="false"/>
          <w:i w:val="false"/>
          <w:iCs w:val="false"/>
          <w:strike w:val="false"/>
          <w:dstrike w:val="false"/>
          <w:outline w:val="false"/>
          <w:shadow w:val="false"/>
          <w:color w:val="00000A"/>
          <w:sz w:val="20"/>
          <w:szCs w:val="20"/>
          <w:u w:val="none"/>
          <w:em w:val="none"/>
        </w:rPr>
      </w:pPr>
      <w:r>
        <w:rPr>
          <w:rFonts w:ascii="Liberation Serif" w:hAnsi="Liberation Serif"/>
          <w:b/>
          <w:bCs/>
          <w:i w:val="false"/>
          <w:iCs w:val="false"/>
          <w:strike w:val="false"/>
          <w:dstrike w:val="false"/>
          <w:outline w:val="false"/>
          <w:shadow w:val="false"/>
          <w:color w:val="00000A"/>
          <w:sz w:val="20"/>
          <w:szCs w:val="20"/>
          <w:u w:val="none"/>
          <w:em w:val="none"/>
        </w:rPr>
      </w:r>
    </w:p>
    <w:p>
      <w:pPr>
        <w:pStyle w:val="Normal"/>
        <w:widowControl w:val="false"/>
        <w:spacing w:before="0" w:after="0"/>
        <w:jc w:val="right"/>
        <w:rPr/>
      </w:pPr>
      <w:r>
        <w:rPr/>
      </w:r>
    </w:p>
    <w:p>
      <w:pPr>
        <w:pStyle w:val="Normal"/>
        <w:widowControl w:val="false"/>
        <w:jc w:val="right"/>
        <w:rPr/>
      </w:pPr>
      <w:r>
        <w:rPr/>
      </w:r>
    </w:p>
    <w:p>
      <w:pPr>
        <w:pStyle w:val="Normal"/>
        <w:widowControl w:val="false"/>
        <w:jc w:val="right"/>
        <w:rPr/>
      </w:pPr>
      <w:r>
        <w:rPr/>
      </w:r>
    </w:p>
    <w:p>
      <w:pPr>
        <w:pStyle w:val="Normal"/>
        <w:jc w:val="right"/>
        <w:rPr/>
      </w:pPr>
      <w:r>
        <w:rPr/>
      </w:r>
      <w:r>
        <w:br w:type="page"/>
      </w:r>
    </w:p>
    <w:p>
      <w:pPr>
        <w:pStyle w:val="Normal"/>
        <w:widowControl w:val="false"/>
        <w:suppressAutoHyphens w:val="true"/>
        <w:overflowPunct w:val="true"/>
        <w:bidi w:val="0"/>
        <w:spacing w:before="0" w:after="0"/>
        <w:ind w:firstLine="3118" w:left="0" w:right="0"/>
        <w:jc w:val="left"/>
        <w:rPr>
          <w:rFonts w:ascii="Liberation Serif" w:hAnsi="Liberation Serif"/>
          <w:color w:val="00000A"/>
          <w:sz w:val="20"/>
          <w:szCs w:val="20"/>
        </w:rPr>
      </w:pPr>
      <w:r>
        <w:rPr>
          <w:rFonts w:ascii="Liberation Serif" w:hAnsi="Liberation Serif"/>
          <w:color w:val="00000A"/>
          <w:sz w:val="20"/>
          <w:szCs w:val="20"/>
        </w:rPr>
        <w:t>Приложение № 2  к Договору поставки от «____» __________ 2026 г. № _____</w:t>
      </w:r>
    </w:p>
    <w:p>
      <w:pPr>
        <w:pStyle w:val="Normal"/>
        <w:widowControl/>
        <w:shd w:val="clear" w:fill="FFFFFF"/>
        <w:tabs>
          <w:tab w:val="clear" w:pos="708"/>
          <w:tab w:val="left" w:pos="1418" w:leader="none"/>
        </w:tabs>
        <w:spacing w:before="0" w:after="0"/>
        <w:ind w:firstLine="709" w:left="0" w:right="0"/>
        <w:contextualSpacing/>
        <w:jc w:val="center"/>
        <w:rPr>
          <w:rFonts w:ascii="Liberation Serif" w:hAnsi="Liberation Serif"/>
          <w:bCs/>
          <w:color w:val="00000A"/>
          <w:sz w:val="20"/>
          <w:szCs w:val="20"/>
        </w:rPr>
      </w:pPr>
      <w:r>
        <w:rPr>
          <w:rFonts w:ascii="Liberation Serif" w:hAnsi="Liberation Serif"/>
          <w:bCs/>
          <w:color w:val="00000A"/>
          <w:sz w:val="20"/>
          <w:szCs w:val="20"/>
        </w:rPr>
      </w:r>
    </w:p>
    <w:p>
      <w:pPr>
        <w:pStyle w:val="Normal"/>
        <w:widowControl/>
        <w:tabs>
          <w:tab w:val="clear" w:pos="708"/>
          <w:tab w:val="left" w:pos="7108" w:leader="none"/>
        </w:tabs>
        <w:suppressAutoHyphens w:val="true"/>
        <w:ind w:firstLine="709" w:left="0" w:right="0"/>
        <w:rPr>
          <w:rFonts w:ascii="Liberation Serif" w:hAnsi="Liberation Serif" w:eastAsia="Calibri"/>
          <w:b/>
          <w:color w:val="00000A"/>
          <w:sz w:val="20"/>
          <w:szCs w:val="20"/>
          <w:lang w:eastAsia="en-US"/>
        </w:rPr>
      </w:pPr>
      <w:r>
        <w:rPr>
          <w:rFonts w:eastAsia="Calibri" w:ascii="Liberation Serif" w:hAnsi="Liberation Serif"/>
          <w:b/>
          <w:color w:val="00000A"/>
          <w:sz w:val="20"/>
          <w:szCs w:val="20"/>
          <w:lang w:eastAsia="en-US"/>
        </w:rPr>
      </w:r>
    </w:p>
    <w:p>
      <w:pPr>
        <w:pStyle w:val="Normal"/>
        <w:jc w:val="center"/>
        <w:rPr>
          <w:rFonts w:ascii="Liberation Serif" w:hAnsi="Liberation Serif"/>
          <w:b/>
          <w:bCs/>
          <w:color w:val="00000A"/>
          <w:sz w:val="20"/>
          <w:szCs w:val="20"/>
        </w:rPr>
      </w:pPr>
      <w:r>
        <w:rPr>
          <w:rFonts w:ascii="Liberation Serif" w:hAnsi="Liberation Serif"/>
          <w:b/>
          <w:bCs/>
          <w:color w:val="00000A"/>
          <w:sz w:val="20"/>
          <w:szCs w:val="20"/>
        </w:rPr>
        <w:t>Размер ответственности Поставщика за нарушения</w:t>
      </w:r>
    </w:p>
    <w:p>
      <w:pPr>
        <w:pStyle w:val="Normal"/>
        <w:jc w:val="center"/>
        <w:rPr>
          <w:rFonts w:ascii="Liberation Serif" w:hAnsi="Liberation Serif"/>
          <w:b/>
          <w:bCs/>
          <w:color w:val="00000A"/>
          <w:sz w:val="20"/>
          <w:szCs w:val="20"/>
        </w:rPr>
      </w:pPr>
      <w:r>
        <w:rPr>
          <w:rFonts w:ascii="Liberation Serif" w:hAnsi="Liberation Serif"/>
          <w:b/>
          <w:bCs/>
          <w:color w:val="00000A"/>
          <w:sz w:val="20"/>
          <w:szCs w:val="20"/>
        </w:rPr>
        <w:t>пропускного и внутриобъектового режима, требований охраны труда,</w:t>
      </w:r>
    </w:p>
    <w:p>
      <w:pPr>
        <w:pStyle w:val="Normal"/>
        <w:jc w:val="center"/>
        <w:rPr>
          <w:rFonts w:ascii="Liberation Serif" w:hAnsi="Liberation Serif"/>
          <w:b/>
          <w:bCs/>
          <w:color w:val="00000A"/>
          <w:sz w:val="20"/>
          <w:szCs w:val="20"/>
        </w:rPr>
      </w:pPr>
      <w:r>
        <w:rPr>
          <w:rFonts w:ascii="Liberation Serif" w:hAnsi="Liberation Serif"/>
          <w:b/>
          <w:bCs/>
          <w:color w:val="00000A"/>
          <w:sz w:val="20"/>
          <w:szCs w:val="20"/>
        </w:rPr>
        <w:t>пожарной и промышленной безопасности</w:t>
      </w:r>
    </w:p>
    <w:p>
      <w:pPr>
        <w:pStyle w:val="Normal"/>
        <w:rPr>
          <w:rFonts w:ascii="Liberation Serif" w:hAnsi="Liberation Serif"/>
          <w:color w:val="00000A"/>
          <w:sz w:val="20"/>
          <w:szCs w:val="20"/>
        </w:rPr>
      </w:pPr>
      <w:r>
        <w:rPr>
          <w:rFonts w:ascii="Liberation Serif" w:hAnsi="Liberation Serif"/>
          <w:color w:val="00000A"/>
          <w:sz w:val="20"/>
          <w:szCs w:val="20"/>
        </w:rPr>
      </w:r>
    </w:p>
    <w:tbl>
      <w:tblPr>
        <w:tblW w:w="5000" w:type="pct"/>
        <w:jc w:val="left"/>
        <w:tblInd w:w="52" w:type="dxa"/>
        <w:tblLayout w:type="fixed"/>
        <w:tblCellMar>
          <w:top w:w="0" w:type="dxa"/>
          <w:left w:w="78" w:type="dxa"/>
          <w:bottom w:w="0" w:type="dxa"/>
          <w:right w:w="108" w:type="dxa"/>
        </w:tblCellMar>
      </w:tblPr>
      <w:tblGrid>
        <w:gridCol w:w="4190"/>
        <w:gridCol w:w="6359"/>
      </w:tblGrid>
      <w:tr>
        <w:trPr/>
        <w:tc>
          <w:tcPr>
            <w:tcW w:w="4190"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b/>
                <w:color w:val="00000A"/>
                <w:sz w:val="20"/>
                <w:szCs w:val="20"/>
              </w:rPr>
            </w:pPr>
            <w:r>
              <w:rPr>
                <w:rFonts w:ascii="Liberation Serif" w:hAnsi="Liberation Serif"/>
                <w:b/>
                <w:color w:val="00000A"/>
                <w:sz w:val="20"/>
                <w:szCs w:val="20"/>
              </w:rPr>
              <w:t>Виды нарушений</w:t>
            </w:r>
          </w:p>
        </w:tc>
        <w:tc>
          <w:tcPr>
            <w:tcW w:w="6359"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b/>
                <w:color w:val="00000A"/>
                <w:sz w:val="20"/>
                <w:szCs w:val="20"/>
              </w:rPr>
            </w:pPr>
            <w:r>
              <w:rPr>
                <w:rFonts w:ascii="Liberation Serif" w:hAnsi="Liberation Serif"/>
                <w:b/>
                <w:color w:val="00000A"/>
                <w:sz w:val="20"/>
                <w:szCs w:val="20"/>
              </w:rPr>
              <w:t>Штрафные санкции</w:t>
            </w:r>
          </w:p>
        </w:tc>
      </w:tr>
      <w:tr>
        <w:trPr/>
        <w:tc>
          <w:tcPr>
            <w:tcW w:w="4190"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color w:val="00000A"/>
                <w:sz w:val="20"/>
                <w:szCs w:val="20"/>
              </w:rPr>
            </w:pPr>
            <w:r>
              <w:rPr>
                <w:rFonts w:ascii="Liberation Serif" w:hAnsi="Liberation Serif"/>
                <w:color w:val="00000A"/>
                <w:sz w:val="20"/>
                <w:szCs w:val="20"/>
              </w:rPr>
              <w:t>1. Нарушение правил пожарной безопасности (ППБ):</w:t>
            </w:r>
          </w:p>
        </w:tc>
        <w:tc>
          <w:tcPr>
            <w:tcW w:w="6359"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color w:val="00000A"/>
                <w:sz w:val="20"/>
                <w:szCs w:val="20"/>
              </w:rPr>
            </w:pPr>
            <w:r>
              <w:rPr>
                <w:rFonts w:ascii="Liberation Serif" w:hAnsi="Liberation Serif"/>
                <w:color w:val="00000A"/>
                <w:sz w:val="20"/>
                <w:szCs w:val="20"/>
              </w:rPr>
            </w:r>
          </w:p>
        </w:tc>
      </w:tr>
      <w:tr>
        <w:trPr/>
        <w:tc>
          <w:tcPr>
            <w:tcW w:w="4190"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color w:val="00000A"/>
                <w:sz w:val="20"/>
                <w:szCs w:val="20"/>
              </w:rPr>
            </w:pPr>
            <w:r>
              <w:rPr>
                <w:rFonts w:ascii="Liberation Serif" w:hAnsi="Liberation Serif"/>
                <w:color w:val="00000A"/>
                <w:sz w:val="20"/>
                <w:szCs w:val="20"/>
              </w:rPr>
              <w:t>1.1. Нарушение ППБ без возникновения пожара</w:t>
            </w:r>
          </w:p>
          <w:p>
            <w:pPr>
              <w:pStyle w:val="Normal"/>
              <w:widowControl w:val="false"/>
              <w:rPr>
                <w:rFonts w:ascii="Liberation Serif" w:hAnsi="Liberation Serif"/>
                <w:b/>
                <w:color w:val="00000A"/>
                <w:sz w:val="20"/>
                <w:szCs w:val="20"/>
              </w:rPr>
            </w:pPr>
            <w:r>
              <w:rPr>
                <w:rFonts w:ascii="Liberation Serif" w:hAnsi="Liberation Serif"/>
                <w:b/>
                <w:color w:val="00000A"/>
                <w:sz w:val="20"/>
                <w:szCs w:val="20"/>
              </w:rPr>
            </w:r>
          </w:p>
        </w:tc>
        <w:tc>
          <w:tcPr>
            <w:tcW w:w="6359"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100 000 (сто тысяч) рублей за каждый случай нарушения.</w:t>
            </w:r>
          </w:p>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Сумма штрафа, установленная настоящим пунктом, увеличивается на 50 (пятьдесят) % по отношению к предыдущему случаю за каждое следующее нарушение.</w:t>
            </w:r>
          </w:p>
        </w:tc>
      </w:tr>
      <w:tr>
        <w:trPr/>
        <w:tc>
          <w:tcPr>
            <w:tcW w:w="4190"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color w:val="00000A"/>
                <w:sz w:val="20"/>
                <w:szCs w:val="20"/>
              </w:rPr>
            </w:pPr>
            <w:r>
              <w:rPr>
                <w:rFonts w:ascii="Liberation Serif" w:hAnsi="Liberation Serif"/>
                <w:color w:val="00000A"/>
                <w:sz w:val="20"/>
                <w:szCs w:val="20"/>
              </w:rPr>
              <w:t>1.2. Нарушение ППБ, ставшее причиной возникновения пожара, не причинившего ущерб имуществу Покупателя</w:t>
            </w:r>
          </w:p>
        </w:tc>
        <w:tc>
          <w:tcPr>
            <w:tcW w:w="6359"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200 000 (двести тысяч) рублей за каждый случай нарушения.</w:t>
            </w:r>
          </w:p>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Сумма штрафа, установленная настоящим пунктом, увеличивается на 100 (сто) % по отношению к предыдущему случаю за каждое следующее нарушение.</w:t>
            </w:r>
          </w:p>
        </w:tc>
      </w:tr>
      <w:tr>
        <w:trPr/>
        <w:tc>
          <w:tcPr>
            <w:tcW w:w="4190"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color w:val="00000A"/>
                <w:sz w:val="20"/>
                <w:szCs w:val="20"/>
              </w:rPr>
            </w:pPr>
            <w:r>
              <w:rPr>
                <w:rFonts w:ascii="Liberation Serif" w:hAnsi="Liberation Serif"/>
                <w:color w:val="00000A"/>
                <w:sz w:val="20"/>
                <w:szCs w:val="20"/>
              </w:rPr>
              <w:t>1.3. Нарушение ППБ, ставшее причиной возникновения пожара, причинившего ущерб имуществу Покупателя</w:t>
            </w:r>
          </w:p>
        </w:tc>
        <w:tc>
          <w:tcPr>
            <w:tcW w:w="6359"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 xml:space="preserve">  </w:t>
            </w:r>
            <w:r>
              <w:rPr>
                <w:rFonts w:ascii="Liberation Serif" w:hAnsi="Liberation Serif"/>
                <w:color w:val="00000A"/>
                <w:sz w:val="20"/>
                <w:szCs w:val="20"/>
              </w:rPr>
              <w:t>500 000 (пятьсот тысяч) рублей за каждый случай нарушения.</w:t>
            </w:r>
          </w:p>
        </w:tc>
      </w:tr>
      <w:tr>
        <w:trPr/>
        <w:tc>
          <w:tcPr>
            <w:tcW w:w="4190"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color w:val="00000A"/>
                <w:sz w:val="20"/>
                <w:szCs w:val="20"/>
              </w:rPr>
            </w:pPr>
            <w:r>
              <w:rPr>
                <w:rFonts w:ascii="Liberation Serif" w:hAnsi="Liberation Serif"/>
                <w:color w:val="00000A"/>
                <w:sz w:val="20"/>
                <w:szCs w:val="20"/>
              </w:rPr>
              <w:t>2.</w:t>
            </w:r>
            <w:r>
              <w:rPr>
                <w:rFonts w:ascii="Liberation Serif" w:hAnsi="Liberation Serif"/>
                <w:b/>
                <w:color w:val="00000A"/>
                <w:sz w:val="20"/>
                <w:szCs w:val="20"/>
              </w:rPr>
              <w:t xml:space="preserve"> </w:t>
            </w:r>
            <w:r>
              <w:rPr>
                <w:rFonts w:ascii="Liberation Serif" w:hAnsi="Liberation Serif"/>
                <w:b w:val="false"/>
                <w:bCs w:val="false"/>
                <w:color w:val="00000A"/>
                <w:sz w:val="20"/>
                <w:szCs w:val="20"/>
              </w:rPr>
              <w:t>Нарушение пропускного и внутриобъектового режима, промышленной безопасности, охраны окружающей среды, санитарно-эпидемиологических правил и норм</w:t>
            </w:r>
          </w:p>
        </w:tc>
        <w:tc>
          <w:tcPr>
            <w:tcW w:w="6359"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- 50 000 (пятьдесят тысяч) рублей за каждый случай нарушения;</w:t>
            </w:r>
          </w:p>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- 500 (пятьсот) рублей в случае утраты или приведения в негодность электронного пропуска, выданного Заказчиком.</w:t>
            </w:r>
          </w:p>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Сумма штрафа, установленная настоящим пунктом, увеличивается на 100% по отношению к предыдущему случаю за каждое следующее нарушение.</w:t>
            </w:r>
          </w:p>
        </w:tc>
      </w:tr>
      <w:tr>
        <w:trPr/>
        <w:tc>
          <w:tcPr>
            <w:tcW w:w="4190"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rPr>
                <w:rFonts w:ascii="Liberation Serif" w:hAnsi="Liberation Serif"/>
                <w:color w:val="00000A"/>
                <w:sz w:val="20"/>
                <w:szCs w:val="20"/>
              </w:rPr>
            </w:pPr>
            <w:r>
              <w:rPr>
                <w:rFonts w:ascii="Liberation Serif" w:hAnsi="Liberation Serif"/>
                <w:color w:val="00000A"/>
                <w:sz w:val="20"/>
                <w:szCs w:val="20"/>
              </w:rPr>
              <w:t>3. Нарушение требований охраны труда</w:t>
            </w:r>
          </w:p>
        </w:tc>
        <w:tc>
          <w:tcPr>
            <w:tcW w:w="6359" w:type="dxa"/>
            <w:tcBorders>
              <w:top w:val="single" w:sz="4" w:space="0" w:color="00000A"/>
              <w:left w:val="single" w:sz="4" w:space="0" w:color="00000A"/>
              <w:bottom w:val="single" w:sz="4" w:space="0" w:color="00000A"/>
              <w:right w:val="single" w:sz="4" w:space="0" w:color="00000A"/>
            </w:tcBorders>
            <w:shd w:fill="FFFFFF" w:val="clear"/>
          </w:tcPr>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100 000 (сто тысяч) рублей за каждый случай нарушения.</w:t>
            </w:r>
          </w:p>
          <w:p>
            <w:pPr>
              <w:pStyle w:val="Normal"/>
              <w:widowControl w:val="false"/>
              <w:jc w:val="both"/>
              <w:rPr>
                <w:rFonts w:ascii="Liberation Serif" w:hAnsi="Liberation Serif"/>
                <w:color w:val="00000A"/>
                <w:sz w:val="20"/>
                <w:szCs w:val="20"/>
              </w:rPr>
            </w:pPr>
            <w:r>
              <w:rPr>
                <w:rFonts w:ascii="Liberation Serif" w:hAnsi="Liberation Serif"/>
                <w:color w:val="00000A"/>
                <w:sz w:val="20"/>
                <w:szCs w:val="20"/>
              </w:rPr>
              <w:t>Сумма штрафа, установленная настоящим пунктом, увеличивается на 100% по отношению к предыдущему случаю за каждое следующее нарушение.</w:t>
            </w:r>
          </w:p>
        </w:tc>
      </w:tr>
    </w:tbl>
    <w:p>
      <w:pPr>
        <w:pStyle w:val="Normal"/>
        <w:ind w:firstLine="709" w:left="0" w:right="0"/>
        <w:jc w:val="right"/>
        <w:rPr>
          <w:rFonts w:ascii="Liberation Serif" w:hAnsi="Liberation Serif"/>
          <w:color w:val="00000A"/>
          <w:sz w:val="20"/>
          <w:szCs w:val="20"/>
        </w:rPr>
      </w:pPr>
      <w:r>
        <w:rPr>
          <w:rFonts w:ascii="Liberation Serif" w:hAnsi="Liberation Serif"/>
          <w:color w:val="00000A"/>
          <w:sz w:val="20"/>
          <w:szCs w:val="20"/>
        </w:rPr>
      </w:r>
    </w:p>
    <w:p>
      <w:pPr>
        <w:pStyle w:val="Normal"/>
        <w:ind w:firstLine="709" w:left="0" w:right="0"/>
        <w:jc w:val="right"/>
        <w:rPr>
          <w:rFonts w:ascii="Liberation Serif" w:hAnsi="Liberation Serif"/>
          <w:color w:val="00000A"/>
          <w:sz w:val="20"/>
          <w:szCs w:val="20"/>
        </w:rPr>
      </w:pPr>
      <w:r>
        <w:rPr>
          <w:rFonts w:ascii="Liberation Serif" w:hAnsi="Liberation Serif"/>
          <w:color w:val="00000A"/>
          <w:sz w:val="20"/>
          <w:szCs w:val="20"/>
        </w:rPr>
      </w:r>
    </w:p>
    <w:p>
      <w:pPr>
        <w:pStyle w:val="Normal"/>
        <w:ind w:firstLine="709" w:left="0" w:right="0"/>
        <w:jc w:val="right"/>
        <w:rPr>
          <w:rFonts w:ascii="Liberation Serif" w:hAnsi="Liberation Serif"/>
          <w:color w:val="00000A"/>
          <w:sz w:val="20"/>
          <w:szCs w:val="20"/>
        </w:rPr>
      </w:pPr>
      <w:r>
        <w:rPr>
          <w:rFonts w:ascii="Liberation Serif" w:hAnsi="Liberation Serif"/>
          <w:color w:val="00000A"/>
          <w:sz w:val="20"/>
          <w:szCs w:val="20"/>
        </w:rPr>
      </w:r>
    </w:p>
    <w:tbl>
      <w:tblPr>
        <w:tblW w:w="10772" w:type="dxa"/>
        <w:jc w:val="left"/>
        <w:tblInd w:w="110" w:type="dxa"/>
        <w:tblLayout w:type="fixed"/>
        <w:tblCellMar>
          <w:top w:w="55" w:type="dxa"/>
          <w:left w:w="55" w:type="dxa"/>
          <w:bottom w:w="55" w:type="dxa"/>
          <w:right w:w="55" w:type="dxa"/>
        </w:tblCellMar>
      </w:tblPr>
      <w:tblGrid>
        <w:gridCol w:w="5386"/>
        <w:gridCol w:w="5385"/>
      </w:tblGrid>
      <w:tr>
        <w:trPr/>
        <w:tc>
          <w:tcPr>
            <w:tcW w:w="5386" w:type="dxa"/>
            <w:tcBorders/>
            <w:shd w:fill="auto" w:val="clear"/>
          </w:tcPr>
          <w:p>
            <w:pPr>
              <w:pStyle w:val="Style28"/>
              <w:widowControl w:val="false"/>
              <w:bidi w:val="0"/>
              <w:spacing w:before="0" w:after="0"/>
              <w:jc w:val="left"/>
              <w:rPr/>
            </w:pPr>
            <w:r>
              <w:rPr>
                <w:b w:val="false"/>
                <w:bCs w:val="false"/>
                <w:sz w:val="24"/>
                <w:szCs w:val="24"/>
              </w:rPr>
              <w:t>ПОСТАВЩИК</w:t>
            </w:r>
          </w:p>
          <w:p>
            <w:pPr>
              <w:pStyle w:val="Style28"/>
              <w:widowControl w:val="false"/>
              <w:bidi w:val="0"/>
              <w:spacing w:before="0" w:after="0"/>
              <w:jc w:val="left"/>
              <w:rPr/>
            </w:pPr>
            <w:r>
              <w:rPr>
                <w:b w:val="false"/>
                <w:bCs w:val="false"/>
                <w:sz w:val="24"/>
                <w:szCs w:val="24"/>
              </w:rPr>
              <w:t>_________________</w:t>
            </w:r>
          </w:p>
        </w:tc>
        <w:tc>
          <w:tcPr>
            <w:tcW w:w="5385" w:type="dxa"/>
            <w:tcBorders/>
            <w:shd w:fill="auto" w:val="clear"/>
          </w:tcPr>
          <w:p>
            <w:pPr>
              <w:pStyle w:val="Style28"/>
              <w:widowControl w:val="false"/>
              <w:bidi w:val="0"/>
              <w:spacing w:before="0" w:after="0"/>
              <w:jc w:val="left"/>
              <w:rPr/>
            </w:pPr>
            <w:r>
              <w:rPr>
                <w:b w:val="false"/>
                <w:bCs w:val="false"/>
                <w:sz w:val="24"/>
                <w:szCs w:val="24"/>
              </w:rPr>
              <w:t>ПОКУПАТЕЛЬ</w:t>
            </w:r>
          </w:p>
          <w:p>
            <w:pPr>
              <w:pStyle w:val="Style28"/>
              <w:widowControl w:val="false"/>
              <w:bidi w:val="0"/>
              <w:spacing w:before="0" w:after="0"/>
              <w:jc w:val="left"/>
              <w:rPr/>
            </w:pPr>
            <w:r>
              <w:rPr>
                <w:b w:val="false"/>
                <w:bCs w:val="false"/>
                <w:sz w:val="24"/>
                <w:szCs w:val="24"/>
              </w:rPr>
              <w:t>АО «ДРСК»</w:t>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tc>
      </w:tr>
      <w:tr>
        <w:trPr/>
        <w:tc>
          <w:tcPr>
            <w:tcW w:w="5386" w:type="dxa"/>
            <w:tcBorders/>
            <w:shd w:fill="auto" w:val="clear"/>
          </w:tcPr>
          <w:p>
            <w:pPr>
              <w:pStyle w:val="Style28"/>
              <w:widowControl w:val="false"/>
              <w:bidi w:val="0"/>
              <w:spacing w:before="0" w:after="0"/>
              <w:jc w:val="left"/>
              <w:rPr/>
            </w:pPr>
            <w:r>
              <w:rPr>
                <w:b w:val="false"/>
                <w:bCs w:val="false"/>
                <w:sz w:val="24"/>
                <w:szCs w:val="24"/>
              </w:rPr>
              <w:t>______________________</w:t>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pPr>
            <w:r>
              <w:rPr>
                <w:b w:val="false"/>
                <w:bCs w:val="false"/>
                <w:sz w:val="24"/>
                <w:szCs w:val="24"/>
              </w:rPr>
              <w:t>_____________________________</w:t>
            </w:r>
          </w:p>
        </w:tc>
        <w:tc>
          <w:tcPr>
            <w:tcW w:w="5385" w:type="dxa"/>
            <w:tcBorders/>
            <w:shd w:fill="auto" w:val="clear"/>
          </w:tcPr>
          <w:p>
            <w:pPr>
              <w:pStyle w:val="Normal"/>
              <w:widowControl w:val="false"/>
              <w:bidi w:val="0"/>
              <w:spacing w:before="0" w:after="0"/>
              <w:jc w:val="left"/>
              <w:rPr/>
            </w:pPr>
            <w:r>
              <w:rPr>
                <w:b w:val="false"/>
                <w:bCs w:val="false"/>
                <w:i w:val="false"/>
                <w:strike w:val="false"/>
                <w:dstrike w:val="false"/>
                <w:outline w:val="false"/>
                <w:shadow w:val="false"/>
                <w:sz w:val="24"/>
                <w:szCs w:val="24"/>
                <w:u w:val="none"/>
                <w:em w:val="none"/>
              </w:rPr>
              <w:t>Директор филиала АО «ДРСК» «Хабаровские электрические сети»</w:t>
            </w:r>
          </w:p>
          <w:p>
            <w:pPr>
              <w:pStyle w:val="Normal"/>
              <w:widowControl w:val="false"/>
              <w:bidi w:val="0"/>
              <w:spacing w:before="0" w:after="0"/>
              <w:jc w:val="left"/>
              <w:rPr>
                <w:i w:val="false"/>
                <w:i w:val="false"/>
                <w:strike w:val="false"/>
                <w:dstrike w:val="false"/>
                <w:outline w:val="false"/>
                <w:shadow w:val="false"/>
                <w:u w:val="none"/>
                <w:em w:val="none"/>
              </w:rPr>
            </w:pPr>
            <w:r>
              <w:rPr>
                <w:i w:val="false"/>
                <w:strike w:val="false"/>
                <w:dstrike w:val="false"/>
                <w:outline w:val="false"/>
                <w:shadow w:val="false"/>
                <w:u w:val="none"/>
                <w:em w:val="none"/>
              </w:rPr>
            </w:r>
          </w:p>
          <w:p>
            <w:pPr>
              <w:pStyle w:val="Normal"/>
              <w:widowControl w:val="false"/>
              <w:bidi w:val="0"/>
              <w:spacing w:before="0" w:after="0"/>
              <w:jc w:val="left"/>
              <w:rPr>
                <w:i w:val="false"/>
                <w:i w:val="false"/>
                <w:strike w:val="false"/>
                <w:dstrike w:val="false"/>
                <w:outline w:val="false"/>
                <w:shadow w:val="false"/>
                <w:u w:val="none"/>
                <w:em w:val="none"/>
              </w:rPr>
            </w:pPr>
            <w:r>
              <w:rPr>
                <w:i w:val="false"/>
                <w:strike w:val="false"/>
                <w:dstrike w:val="false"/>
                <w:outline w:val="false"/>
                <w:shadow w:val="false"/>
                <w:u w:val="none"/>
                <w:em w:val="none"/>
              </w:rPr>
            </w:r>
          </w:p>
          <w:p>
            <w:pPr>
              <w:pStyle w:val="Normal"/>
              <w:widowControl w:val="false"/>
              <w:bidi w:val="0"/>
              <w:spacing w:before="0" w:after="0"/>
              <w:jc w:val="left"/>
              <w:rPr/>
            </w:pPr>
            <w:r>
              <w:rPr>
                <w:b w:val="false"/>
                <w:bCs w:val="false"/>
                <w:i w:val="false"/>
                <w:strike w:val="false"/>
                <w:dstrike w:val="false"/>
                <w:outline w:val="false"/>
                <w:shadow w:val="false"/>
                <w:sz w:val="24"/>
                <w:szCs w:val="24"/>
                <w:u w:val="none"/>
                <w:em w:val="none"/>
              </w:rPr>
              <w:t>__________________________ Сугоровский М.А.</w:t>
            </w:r>
          </w:p>
          <w:p>
            <w:pPr>
              <w:pStyle w:val="Normal"/>
              <w:widowControl w:val="false"/>
              <w:bidi w:val="0"/>
              <w:spacing w:before="0" w:after="0"/>
              <w:jc w:val="left"/>
              <w:rPr>
                <w:rFonts w:ascii="Times New Roman" w:hAnsi="Times New Roman"/>
                <w:b w:val="false"/>
                <w:bCs w:val="false"/>
                <w:sz w:val="24"/>
                <w:szCs w:val="24"/>
              </w:rPr>
            </w:pPr>
            <w:r>
              <w:rPr>
                <w:b w:val="false"/>
                <w:bCs w:val="false"/>
                <w:sz w:val="24"/>
                <w:szCs w:val="24"/>
              </w:rPr>
            </w:r>
          </w:p>
        </w:tc>
      </w:tr>
    </w:tbl>
    <w:p>
      <w:pPr>
        <w:pStyle w:val="Normal"/>
        <w:rPr/>
      </w:pPr>
      <w:r>
        <w:rPr/>
      </w:r>
      <w:r>
        <w:br w:type="page"/>
      </w:r>
    </w:p>
    <w:p>
      <w:pPr>
        <w:pStyle w:val="Style32"/>
        <w:spacing w:before="0" w:after="0"/>
        <w:jc w:val="right"/>
        <w:rPr>
          <w:b w:val="false"/>
          <w:bCs w:val="false"/>
          <w:sz w:val="20"/>
          <w:szCs w:val="20"/>
        </w:rPr>
      </w:pPr>
      <w:r>
        <w:rPr>
          <w:b w:val="false"/>
          <w:bCs w:val="false"/>
          <w:color w:val="000000"/>
          <w:sz w:val="20"/>
          <w:szCs w:val="20"/>
          <w:lang w:val="ru-RU" w:eastAsia="ru-RU"/>
        </w:rPr>
        <w:t>Приложение № 2  к Договору поставки от «____» __________ 2026 г. № _____</w:t>
      </w:r>
    </w:p>
    <w:p>
      <w:pPr>
        <w:pStyle w:val="Style32"/>
        <w:spacing w:before="0" w:after="0"/>
        <w:jc w:val="center"/>
        <w:rPr/>
      </w:pPr>
      <w:r>
        <w:rPr/>
      </w:r>
    </w:p>
    <w:p>
      <w:pPr>
        <w:pStyle w:val="Style32"/>
        <w:spacing w:before="0" w:after="0"/>
        <w:jc w:val="center"/>
        <w:rPr>
          <w:b/>
          <w:color w:val="000000"/>
          <w:sz w:val="22"/>
          <w:szCs w:val="22"/>
          <w:lang w:val="ru-RU" w:eastAsia="ru-RU"/>
        </w:rPr>
      </w:pPr>
      <w:r>
        <w:rPr>
          <w:b/>
          <w:color w:val="000000"/>
          <w:sz w:val="22"/>
          <w:szCs w:val="22"/>
          <w:lang w:val="ru-RU" w:eastAsia="ru-RU"/>
        </w:rPr>
      </w:r>
    </w:p>
    <w:p>
      <w:pPr>
        <w:pStyle w:val="Style32"/>
        <w:spacing w:before="0" w:after="0"/>
        <w:jc w:val="center"/>
        <w:rPr>
          <w:b/>
          <w:color w:val="000000"/>
          <w:sz w:val="22"/>
          <w:szCs w:val="22"/>
          <w:lang w:val="ru-RU" w:eastAsia="ru-RU"/>
        </w:rPr>
      </w:pPr>
      <w:r>
        <w:rPr>
          <w:b/>
          <w:color w:val="000000"/>
          <w:sz w:val="22"/>
          <w:szCs w:val="22"/>
          <w:lang w:val="ru-RU" w:eastAsia="ru-RU"/>
        </w:rPr>
      </w:r>
    </w:p>
    <w:p>
      <w:pPr>
        <w:pStyle w:val="Style32"/>
        <w:spacing w:before="0" w:after="0"/>
        <w:jc w:val="center"/>
        <w:rPr>
          <w:b/>
          <w:color w:val="000000"/>
          <w:sz w:val="22"/>
          <w:szCs w:val="22"/>
          <w:lang w:val="ru-RU" w:eastAsia="ru-RU"/>
        </w:rPr>
      </w:pPr>
      <w:r>
        <w:rPr>
          <w:b/>
          <w:color w:val="000000"/>
          <w:sz w:val="22"/>
          <w:szCs w:val="22"/>
          <w:lang w:val="ru-RU" w:eastAsia="ru-RU"/>
        </w:rPr>
      </w:r>
    </w:p>
    <w:p>
      <w:pPr>
        <w:pStyle w:val="Style32"/>
        <w:spacing w:before="0" w:after="0"/>
        <w:jc w:val="center"/>
        <w:rPr>
          <w:b/>
          <w:color w:val="000000"/>
          <w:sz w:val="22"/>
          <w:szCs w:val="22"/>
          <w:lang w:val="ru-RU" w:eastAsia="ru-RU"/>
        </w:rPr>
      </w:pPr>
      <w:r>
        <w:rPr>
          <w:b/>
          <w:color w:val="000000"/>
          <w:sz w:val="22"/>
          <w:szCs w:val="22"/>
          <w:lang w:val="ru-RU" w:eastAsia="ru-RU"/>
        </w:rPr>
      </w:r>
    </w:p>
    <w:p>
      <w:pPr>
        <w:pStyle w:val="Style32"/>
        <w:spacing w:before="0" w:after="0"/>
        <w:jc w:val="center"/>
        <w:rPr>
          <w:b/>
          <w:color w:val="000000"/>
          <w:sz w:val="22"/>
          <w:szCs w:val="22"/>
          <w:lang w:val="ru-RU" w:eastAsia="ru-RU"/>
        </w:rPr>
      </w:pPr>
      <w:r>
        <w:rPr>
          <w:b/>
          <w:color w:val="000000"/>
          <w:sz w:val="22"/>
          <w:szCs w:val="22"/>
          <w:lang w:val="ru-RU" w:eastAsia="ru-RU"/>
        </w:rPr>
      </w:r>
    </w:p>
    <w:p>
      <w:pPr>
        <w:pStyle w:val="Style32"/>
        <w:spacing w:before="0" w:after="0"/>
        <w:jc w:val="center"/>
        <w:rPr>
          <w:b/>
          <w:color w:val="000000"/>
          <w:sz w:val="22"/>
          <w:szCs w:val="22"/>
          <w:lang w:val="ru-RU" w:eastAsia="ru-RU"/>
        </w:rPr>
      </w:pPr>
      <w:r>
        <w:rPr>
          <w:b/>
          <w:color w:val="000000"/>
          <w:sz w:val="22"/>
          <w:szCs w:val="22"/>
          <w:lang w:val="ru-RU" w:eastAsia="ru-RU"/>
        </w:rPr>
      </w:r>
    </w:p>
    <w:p>
      <w:pPr>
        <w:pStyle w:val="Style32"/>
        <w:spacing w:before="0" w:after="0"/>
        <w:jc w:val="center"/>
        <w:rPr/>
      </w:pPr>
      <w:r>
        <w:rPr>
          <w:b/>
          <w:color w:val="000000"/>
          <w:sz w:val="22"/>
          <w:szCs w:val="22"/>
          <w:lang w:val="ru-RU" w:eastAsia="ru-RU"/>
        </w:rPr>
        <w:t xml:space="preserve">УВЕДОМЛЕНИЕ </w:t>
      </w:r>
    </w:p>
    <w:p>
      <w:pPr>
        <w:pStyle w:val="Style32"/>
        <w:spacing w:before="0" w:after="0"/>
        <w:jc w:val="center"/>
        <w:rPr/>
      </w:pPr>
      <w:r>
        <w:rPr>
          <w:b/>
          <w:color w:val="000000"/>
          <w:sz w:val="22"/>
          <w:szCs w:val="22"/>
          <w:lang w:val="ru-RU" w:eastAsia="ru-RU"/>
        </w:rPr>
        <w:t>информация об отгрузке и по доставке ТМЦ</w:t>
      </w:r>
    </w:p>
    <w:tbl>
      <w:tblPr>
        <w:tblpPr w:vertAnchor="text" w:horzAnchor="margin" w:tblpXSpec="center" w:leftFromText="180" w:rightFromText="180" w:tblpY="607"/>
        <w:tblW w:w="10785" w:type="dxa"/>
        <w:jc w:val="left"/>
        <w:tblInd w:w="73" w:type="dxa"/>
        <w:tblLayout w:type="fixed"/>
        <w:tblCellMar>
          <w:top w:w="0" w:type="dxa"/>
          <w:left w:w="73" w:type="dxa"/>
          <w:bottom w:w="0" w:type="dxa"/>
          <w:right w:w="108" w:type="dxa"/>
        </w:tblCellMar>
        <w:tblLook w:val="04a0" w:noHBand="0" w:noVBand="1" w:firstColumn="1" w:lastRow="0" w:lastColumn="0" w:firstRow="1"/>
      </w:tblPr>
      <w:tblGrid>
        <w:gridCol w:w="1485"/>
        <w:gridCol w:w="1350"/>
        <w:gridCol w:w="1079"/>
        <w:gridCol w:w="1125"/>
        <w:gridCol w:w="1485"/>
        <w:gridCol w:w="1579"/>
        <w:gridCol w:w="1261"/>
        <w:gridCol w:w="1419"/>
      </w:tblGrid>
      <w:tr>
        <w:trPr>
          <w:trHeight w:val="288" w:hRule="atLeast"/>
        </w:trPr>
        <w:tc>
          <w:tcPr>
            <w:tcW w:w="1485" w:type="dxa"/>
            <w:vMerge w:val="restart"/>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Поставщик</w:t>
            </w:r>
          </w:p>
          <w:p>
            <w:pPr>
              <w:pStyle w:val="Normal"/>
              <w:widowControl w:val="false"/>
              <w:spacing w:lineRule="auto" w:line="240" w:before="0" w:after="0"/>
              <w:jc w:val="center"/>
              <w:rPr>
                <w:sz w:val="18"/>
                <w:szCs w:val="18"/>
              </w:rPr>
            </w:pPr>
            <w:r>
              <w:rPr>
                <w:rFonts w:eastAsia="Times New Roman"/>
                <w:color w:val="000000"/>
                <w:sz w:val="18"/>
                <w:szCs w:val="18"/>
                <w:lang w:eastAsia="ru-RU"/>
              </w:rPr>
              <w:t>(в соответствии с условиями договора)***</w:t>
            </w:r>
          </w:p>
        </w:tc>
        <w:tc>
          <w:tcPr>
            <w:tcW w:w="5039" w:type="dxa"/>
            <w:gridSpan w:val="4"/>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Грузоотправитель (место отгрузки товара)*</w:t>
            </w:r>
          </w:p>
        </w:tc>
        <w:tc>
          <w:tcPr>
            <w:tcW w:w="4259" w:type="dxa"/>
            <w:gridSpan w:val="3"/>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Транспортная компания (перевозчик)</w:t>
            </w:r>
          </w:p>
        </w:tc>
      </w:tr>
      <w:tr>
        <w:trPr>
          <w:trHeight w:val="564" w:hRule="atLeast"/>
        </w:trPr>
        <w:tc>
          <w:tcPr>
            <w:tcW w:w="1485" w:type="dxa"/>
            <w:vMerge w:val="continue"/>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lineRule="auto" w:line="240" w:before="0" w:after="0"/>
              <w:rPr>
                <w:rFonts w:ascii="Times New Roman" w:hAnsi="Times New Roman" w:eastAsia="Times New Roman"/>
                <w:color w:val="000000"/>
                <w:sz w:val="18"/>
                <w:szCs w:val="18"/>
                <w:lang w:eastAsia="ru-RU"/>
              </w:rPr>
            </w:pPr>
            <w:r>
              <w:rPr>
                <w:rFonts w:eastAsia="Times New Roman"/>
                <w:color w:val="000000"/>
                <w:sz w:val="18"/>
                <w:szCs w:val="18"/>
                <w:lang w:eastAsia="ru-RU"/>
              </w:rPr>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Наименование</w:t>
            </w:r>
          </w:p>
          <w:p>
            <w:pPr>
              <w:pStyle w:val="Normal"/>
              <w:widowControl w:val="false"/>
              <w:spacing w:lineRule="auto" w:line="240" w:before="0" w:after="0"/>
              <w:jc w:val="center"/>
              <w:rPr>
                <w:sz w:val="18"/>
                <w:szCs w:val="18"/>
              </w:rPr>
            </w:pPr>
            <w:r>
              <w:rPr>
                <w:rFonts w:eastAsia="Times New Roman"/>
                <w:color w:val="000000"/>
                <w:sz w:val="18"/>
                <w:szCs w:val="18"/>
                <w:lang w:eastAsia="ru-RU"/>
              </w:rPr>
              <w:t>контрагента</w:t>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ИНН/КПП</w:t>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Адрес склада</w:t>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w:t>
            </w:r>
            <w:r>
              <w:rPr>
                <w:rFonts w:eastAsia="Times New Roman"/>
                <w:color w:val="000000"/>
                <w:sz w:val="18"/>
                <w:szCs w:val="18"/>
                <w:lang w:eastAsia="ru-RU"/>
              </w:rPr>
              <w:t>, дата договора, (соглашения)**</w:t>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Наименование</w:t>
            </w:r>
          </w:p>
          <w:p>
            <w:pPr>
              <w:pStyle w:val="Normal"/>
              <w:widowControl w:val="false"/>
              <w:spacing w:lineRule="auto" w:line="240" w:before="0" w:after="0"/>
              <w:jc w:val="center"/>
              <w:rPr>
                <w:sz w:val="18"/>
                <w:szCs w:val="18"/>
              </w:rPr>
            </w:pPr>
            <w:r>
              <w:rPr>
                <w:rFonts w:eastAsia="Times New Roman"/>
                <w:color w:val="000000"/>
                <w:sz w:val="18"/>
                <w:szCs w:val="18"/>
                <w:lang w:eastAsia="ru-RU"/>
              </w:rPr>
              <w:t>контрагента</w:t>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ИНН/КПП</w:t>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sz w:val="18"/>
                <w:szCs w:val="18"/>
              </w:rPr>
            </w:pPr>
            <w:r>
              <w:rPr>
                <w:rFonts w:eastAsia="Times New Roman"/>
                <w:color w:val="000000"/>
                <w:sz w:val="18"/>
                <w:szCs w:val="18"/>
                <w:lang w:eastAsia="ru-RU"/>
              </w:rPr>
              <w:t>№</w:t>
            </w:r>
            <w:r>
              <w:rPr>
                <w:rFonts w:eastAsia="Times New Roman"/>
                <w:color w:val="000000"/>
                <w:sz w:val="18"/>
                <w:szCs w:val="18"/>
                <w:lang w:eastAsia="ru-RU"/>
              </w:rPr>
              <w:t>, дата договора, (соглашения)**</w:t>
            </w:r>
          </w:p>
        </w:tc>
      </w:tr>
      <w:tr>
        <w:trPr>
          <w:trHeight w:val="300" w:hRule="atLeast"/>
        </w:trPr>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1</w:t>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2</w:t>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3</w:t>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4</w:t>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5</w:t>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6</w:t>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7</w:t>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jc w:val="center"/>
              <w:rPr/>
            </w:pPr>
            <w:r>
              <w:rPr>
                <w:rFonts w:eastAsia="Times New Roman"/>
                <w:color w:val="000000"/>
                <w:lang w:eastAsia="ru-RU"/>
              </w:rPr>
              <w:t>8</w:t>
            </w:r>
          </w:p>
        </w:tc>
      </w:tr>
      <w:tr>
        <w:trPr>
          <w:trHeight w:val="288" w:hRule="atLeast"/>
        </w:trPr>
        <w:tc>
          <w:tcPr>
            <w:tcW w:w="148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lineRule="auto" w:line="240" w:before="0" w:after="0"/>
              <w:jc w:val="center"/>
              <w:rPr>
                <w:rFonts w:ascii="Times New Roman" w:hAnsi="Times New Roman" w:eastAsia="Times New Roman"/>
                <w:color w:val="000000"/>
                <w:sz w:val="20"/>
                <w:szCs w:val="20"/>
                <w:lang w:eastAsia="ru-RU"/>
              </w:rPr>
            </w:pPr>
            <w:r>
              <w:rPr>
                <w:rFonts w:eastAsia="Times New Roman"/>
                <w:color w:val="000000"/>
                <w:sz w:val="20"/>
                <w:szCs w:val="20"/>
                <w:lang w:eastAsia="ru-RU"/>
              </w:rPr>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r>
      <w:tr>
        <w:trPr>
          <w:trHeight w:val="56" w:hRule="atLeast"/>
        </w:trPr>
        <w:tc>
          <w:tcPr>
            <w:tcW w:w="148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lineRule="auto" w:line="240" w:before="0" w:after="0"/>
              <w:jc w:val="center"/>
              <w:rPr>
                <w:rFonts w:eastAsia="Times New Roman"/>
                <w:color w:val="000000"/>
                <w:lang w:eastAsia="ru-RU"/>
              </w:rPr>
            </w:pPr>
            <w:r>
              <w:rPr>
                <w:rFonts w:eastAsia="Times New Roman"/>
                <w:color w:val="000000"/>
                <w:lang w:eastAsia="ru-RU"/>
              </w:rPr>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r>
      <w:tr>
        <w:trPr>
          <w:trHeight w:val="288" w:hRule="atLeast"/>
        </w:trPr>
        <w:tc>
          <w:tcPr>
            <w:tcW w:w="1485"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pacing w:lineRule="auto" w:line="240" w:before="0" w:after="0"/>
              <w:jc w:val="center"/>
              <w:rPr>
                <w:rFonts w:eastAsia="Times New Roman"/>
                <w:color w:val="000000"/>
                <w:lang w:eastAsia="ru-RU"/>
              </w:rPr>
            </w:pPr>
            <w:r>
              <w:rPr>
                <w:rFonts w:eastAsia="Times New Roman"/>
                <w:color w:val="000000"/>
                <w:lang w:eastAsia="ru-RU"/>
              </w:rPr>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eastAsia="Times New Roman"/>
                <w:color w:val="000000"/>
                <w:lang w:eastAsia="ru-RU"/>
              </w:rPr>
            </w:pPr>
            <w:r>
              <w:rPr>
                <w:rFonts w:eastAsia="Times New Roman"/>
                <w:color w:val="000000"/>
                <w:lang w:eastAsia="ru-RU"/>
              </w:rPr>
            </w:r>
          </w:p>
        </w:tc>
      </w:tr>
      <w:tr>
        <w:trPr>
          <w:trHeight w:val="288" w:hRule="atLeast"/>
        </w:trPr>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r>
      <w:tr>
        <w:trPr>
          <w:trHeight w:val="288" w:hRule="atLeast"/>
        </w:trPr>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350"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0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12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485"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r>
      <w:tr>
        <w:trPr>
          <w:trHeight w:val="414" w:hRule="atLeast"/>
        </w:trPr>
        <w:tc>
          <w:tcPr>
            <w:tcW w:w="6524" w:type="dxa"/>
            <w:gridSpan w:val="5"/>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pPr>
            <w:r>
              <w:rPr>
                <w:rFonts w:eastAsia="Times New Roman"/>
                <w:b/>
                <w:bCs/>
                <w:color w:val="000000"/>
                <w:lang w:eastAsia="ru-RU"/>
              </w:rPr>
              <w:t>*</w:t>
            </w:r>
            <w:r>
              <w:rPr>
                <w:rFonts w:eastAsia="Times New Roman"/>
                <w:color w:val="000000"/>
                <w:lang w:eastAsia="ru-RU"/>
              </w:rPr>
              <w:t>ТОРГ-12, счет-фактура - по строке грузоотправитель указывается организация грузоотправителя</w:t>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r>
      <w:tr>
        <w:trPr>
          <w:trHeight w:val="480" w:hRule="atLeast"/>
        </w:trPr>
        <w:tc>
          <w:tcPr>
            <w:tcW w:w="6524" w:type="dxa"/>
            <w:gridSpan w:val="5"/>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pPr>
            <w:r>
              <w:rPr>
                <w:rFonts w:eastAsia="Times New Roman"/>
                <w:b/>
                <w:bCs/>
                <w:color w:val="000000"/>
                <w:lang w:eastAsia="ru-RU"/>
              </w:rPr>
              <w:t>**</w:t>
            </w:r>
            <w:r>
              <w:rPr>
                <w:rFonts w:eastAsia="Times New Roman"/>
                <w:color w:val="000000"/>
                <w:lang w:eastAsia="ru-RU"/>
              </w:rPr>
              <w:t>Реквизиты документа, согласно которому поставщиком передана обязанность по поставке груза</w:t>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r>
      <w:tr>
        <w:trPr>
          <w:trHeight w:val="480" w:hRule="atLeast"/>
        </w:trPr>
        <w:tc>
          <w:tcPr>
            <w:tcW w:w="6524" w:type="dxa"/>
            <w:gridSpan w:val="5"/>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pPr>
            <w:r>
              <w:rPr>
                <w:rFonts w:eastAsia="Times New Roman"/>
                <w:b/>
                <w:bCs/>
                <w:color w:val="000000"/>
                <w:lang w:eastAsia="ru-RU"/>
              </w:rPr>
              <w:t>***</w:t>
            </w:r>
            <w:r>
              <w:rPr>
                <w:rFonts w:eastAsia="Times New Roman"/>
                <w:color w:val="000000"/>
                <w:lang w:eastAsia="ru-RU"/>
              </w:rPr>
              <w:t>В случае поставки товара силами поставщика в графе 2,6 проставляется "он же"</w:t>
            </w:r>
          </w:p>
        </w:tc>
        <w:tc>
          <w:tcPr>
            <w:tcW w:w="157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261"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c>
          <w:tcPr>
            <w:tcW w:w="1419" w:type="dxa"/>
            <w:tcBorders>
              <w:top w:val="single" w:sz="4" w:space="0" w:color="000001"/>
              <w:left w:val="single" w:sz="4" w:space="0" w:color="000001"/>
              <w:bottom w:val="single" w:sz="4" w:space="0" w:color="000001"/>
              <w:right w:val="single" w:sz="4" w:space="0" w:color="000001"/>
            </w:tcBorders>
            <w:shd w:fill="auto" w:val="clear"/>
            <w:vAlign w:val="bottom"/>
          </w:tcPr>
          <w:p>
            <w:pPr>
              <w:pStyle w:val="Normal"/>
              <w:widowControl w:val="false"/>
              <w:spacing w:lineRule="auto" w:line="240" w:before="0" w:after="0"/>
              <w:rPr>
                <w:rFonts w:ascii="Times New Roman" w:hAnsi="Times New Roman" w:eastAsia="Times New Roman"/>
                <w:color w:val="000000"/>
                <w:lang w:eastAsia="ru-RU"/>
              </w:rPr>
            </w:pPr>
            <w:r>
              <w:rPr>
                <w:rFonts w:eastAsia="Times New Roman"/>
                <w:color w:val="000000"/>
                <w:lang w:eastAsia="ru-RU"/>
              </w:rPr>
            </w:r>
          </w:p>
        </w:tc>
      </w:tr>
    </w:tbl>
    <w:p>
      <w:pPr>
        <w:pStyle w:val="Style32"/>
        <w:spacing w:before="0" w:after="0"/>
        <w:jc w:val="center"/>
        <w:rPr>
          <w:color w:val="000000"/>
          <w:sz w:val="22"/>
          <w:szCs w:val="22"/>
          <w:lang w:val="ru-RU" w:eastAsia="ru-RU"/>
        </w:rPr>
      </w:pPr>
      <w:r>
        <w:rPr>
          <w:color w:val="000000"/>
          <w:sz w:val="22"/>
          <w:szCs w:val="22"/>
          <w:lang w:val="ru-RU" w:eastAsia="ru-RU"/>
        </w:rPr>
      </w:r>
    </w:p>
    <w:p>
      <w:pPr>
        <w:pStyle w:val="Style32"/>
        <w:spacing w:before="0" w:after="0"/>
        <w:jc w:val="center"/>
        <w:rPr>
          <w:color w:val="000000"/>
          <w:sz w:val="22"/>
          <w:szCs w:val="22"/>
          <w:lang w:val="ru-RU" w:eastAsia="ru-RU"/>
        </w:rPr>
      </w:pPr>
      <w:r>
        <w:rPr>
          <w:color w:val="000000"/>
          <w:sz w:val="22"/>
          <w:szCs w:val="22"/>
          <w:lang w:val="ru-RU" w:eastAsia="ru-RU"/>
        </w:rPr>
      </w:r>
    </w:p>
    <w:p>
      <w:pPr>
        <w:pStyle w:val="Style32"/>
        <w:spacing w:before="0" w:after="0"/>
        <w:jc w:val="center"/>
        <w:rPr>
          <w:color w:val="000000"/>
          <w:sz w:val="22"/>
          <w:szCs w:val="22"/>
          <w:lang w:val="ru-RU" w:eastAsia="ru-RU"/>
        </w:rPr>
      </w:pPr>
      <w:r>
        <w:rPr>
          <w:color w:val="000000"/>
          <w:sz w:val="22"/>
          <w:szCs w:val="22"/>
          <w:lang w:val="ru-RU" w:eastAsia="ru-RU"/>
        </w:rPr>
      </w:r>
    </w:p>
    <w:p>
      <w:pPr>
        <w:pStyle w:val="Style32"/>
        <w:spacing w:before="0" w:after="0"/>
        <w:jc w:val="center"/>
        <w:rPr>
          <w:color w:val="000000"/>
          <w:sz w:val="22"/>
          <w:szCs w:val="22"/>
          <w:lang w:val="ru-RU" w:eastAsia="ru-RU"/>
        </w:rPr>
      </w:pPr>
      <w:r>
        <w:rPr>
          <w:color w:val="000000"/>
          <w:sz w:val="22"/>
          <w:szCs w:val="22"/>
          <w:lang w:val="ru-RU" w:eastAsia="ru-RU"/>
        </w:rPr>
      </w:r>
    </w:p>
    <w:p>
      <w:pPr>
        <w:pStyle w:val="Style32"/>
        <w:spacing w:before="0" w:after="0"/>
        <w:jc w:val="center"/>
        <w:rPr>
          <w:color w:val="000000"/>
          <w:sz w:val="22"/>
          <w:szCs w:val="22"/>
          <w:lang w:val="ru-RU" w:eastAsia="ru-RU"/>
        </w:rPr>
      </w:pPr>
      <w:r>
        <w:rPr>
          <w:color w:val="000000"/>
          <w:sz w:val="22"/>
          <w:szCs w:val="22"/>
          <w:lang w:val="ru-RU" w:eastAsia="ru-RU"/>
        </w:rPr>
      </w:r>
    </w:p>
    <w:p>
      <w:pPr>
        <w:pStyle w:val="Style32"/>
        <w:spacing w:before="0" w:after="0"/>
        <w:jc w:val="center"/>
        <w:rPr>
          <w:color w:val="000000"/>
          <w:sz w:val="22"/>
          <w:szCs w:val="22"/>
          <w:lang w:val="ru-RU" w:eastAsia="ru-RU"/>
        </w:rPr>
      </w:pPr>
      <w:r>
        <w:rPr>
          <w:color w:val="000000"/>
          <w:sz w:val="22"/>
          <w:szCs w:val="22"/>
          <w:lang w:val="ru-RU" w:eastAsia="ru-RU"/>
        </w:rPr>
      </w:r>
    </w:p>
    <w:p>
      <w:pPr>
        <w:pStyle w:val="Style32"/>
        <w:spacing w:before="0" w:after="0"/>
        <w:jc w:val="center"/>
        <w:rPr>
          <w:color w:val="000000"/>
          <w:sz w:val="22"/>
          <w:szCs w:val="22"/>
          <w:lang w:val="ru-RU" w:eastAsia="ru-RU"/>
        </w:rPr>
      </w:pPr>
      <w:r>
        <w:rPr>
          <w:color w:val="000000"/>
          <w:sz w:val="22"/>
          <w:szCs w:val="22"/>
          <w:lang w:val="ru-RU" w:eastAsia="ru-RU"/>
        </w:rPr>
      </w:r>
    </w:p>
    <w:p>
      <w:pPr>
        <w:pStyle w:val="Style32"/>
        <w:spacing w:before="0" w:after="0"/>
        <w:jc w:val="center"/>
        <w:rPr>
          <w:color w:val="000000"/>
          <w:sz w:val="22"/>
          <w:szCs w:val="22"/>
          <w:lang w:val="ru-RU" w:eastAsia="ru-RU"/>
        </w:rPr>
      </w:pPr>
      <w:r>
        <w:rPr>
          <w:color w:val="000000"/>
          <w:sz w:val="22"/>
          <w:szCs w:val="22"/>
          <w:lang w:val="ru-RU" w:eastAsia="ru-RU"/>
        </w:rPr>
      </w:r>
    </w:p>
    <w:p>
      <w:pPr>
        <w:pStyle w:val="Normal"/>
        <w:ind w:firstLine="709" w:left="0" w:right="0"/>
        <w:jc w:val="right"/>
        <w:rPr>
          <w:rFonts w:ascii="Liberation Serif" w:hAnsi="Liberation Serif"/>
          <w:color w:val="00000A"/>
          <w:sz w:val="20"/>
          <w:szCs w:val="20"/>
        </w:rPr>
      </w:pPr>
      <w:r>
        <w:rPr>
          <w:rFonts w:ascii="Liberation Serif" w:hAnsi="Liberation Serif"/>
          <w:color w:val="00000A"/>
          <w:sz w:val="20"/>
          <w:szCs w:val="20"/>
        </w:rPr>
      </w:r>
    </w:p>
    <w:p>
      <w:pPr>
        <w:pStyle w:val="Normal"/>
        <w:ind w:firstLine="709" w:left="0" w:right="0"/>
        <w:jc w:val="right"/>
        <w:rPr>
          <w:rFonts w:ascii="Liberation Serif" w:hAnsi="Liberation Serif"/>
          <w:color w:val="00000A"/>
          <w:sz w:val="20"/>
          <w:szCs w:val="20"/>
        </w:rPr>
      </w:pPr>
      <w:r>
        <w:rPr>
          <w:rFonts w:ascii="Liberation Serif" w:hAnsi="Liberation Serif"/>
          <w:color w:val="00000A"/>
          <w:sz w:val="20"/>
          <w:szCs w:val="20"/>
        </w:rPr>
      </w:r>
    </w:p>
    <w:tbl>
      <w:tblPr>
        <w:tblW w:w="10772" w:type="dxa"/>
        <w:jc w:val="left"/>
        <w:tblInd w:w="110" w:type="dxa"/>
        <w:tblLayout w:type="fixed"/>
        <w:tblCellMar>
          <w:top w:w="55" w:type="dxa"/>
          <w:left w:w="55" w:type="dxa"/>
          <w:bottom w:w="55" w:type="dxa"/>
          <w:right w:w="55" w:type="dxa"/>
        </w:tblCellMar>
      </w:tblPr>
      <w:tblGrid>
        <w:gridCol w:w="5386"/>
        <w:gridCol w:w="5385"/>
      </w:tblGrid>
      <w:tr>
        <w:trPr/>
        <w:tc>
          <w:tcPr>
            <w:tcW w:w="5386" w:type="dxa"/>
            <w:tcBorders/>
            <w:shd w:fill="auto" w:val="clear"/>
          </w:tcPr>
          <w:p>
            <w:pPr>
              <w:pStyle w:val="Style28"/>
              <w:widowControl w:val="false"/>
              <w:bidi w:val="0"/>
              <w:spacing w:before="0" w:after="0"/>
              <w:jc w:val="left"/>
              <w:rPr/>
            </w:pPr>
            <w:r>
              <w:rPr>
                <w:b w:val="false"/>
                <w:bCs w:val="false"/>
                <w:sz w:val="24"/>
                <w:szCs w:val="24"/>
              </w:rPr>
              <w:t>ПОСТАВЩИК</w:t>
            </w:r>
          </w:p>
          <w:p>
            <w:pPr>
              <w:pStyle w:val="Style28"/>
              <w:widowControl w:val="false"/>
              <w:bidi w:val="0"/>
              <w:spacing w:before="0" w:after="0"/>
              <w:jc w:val="left"/>
              <w:rPr/>
            </w:pPr>
            <w:r>
              <w:rPr>
                <w:b w:val="false"/>
                <w:bCs w:val="false"/>
                <w:sz w:val="24"/>
                <w:szCs w:val="24"/>
              </w:rPr>
              <w:t>_________________</w:t>
            </w:r>
          </w:p>
        </w:tc>
        <w:tc>
          <w:tcPr>
            <w:tcW w:w="5385" w:type="dxa"/>
            <w:tcBorders/>
            <w:shd w:fill="auto" w:val="clear"/>
          </w:tcPr>
          <w:p>
            <w:pPr>
              <w:pStyle w:val="Style28"/>
              <w:widowControl w:val="false"/>
              <w:bidi w:val="0"/>
              <w:spacing w:before="0" w:after="0"/>
              <w:jc w:val="left"/>
              <w:rPr/>
            </w:pPr>
            <w:r>
              <w:rPr>
                <w:b w:val="false"/>
                <w:bCs w:val="false"/>
                <w:sz w:val="24"/>
                <w:szCs w:val="24"/>
              </w:rPr>
              <w:t>ПОКУПАТЕЛЬ</w:t>
            </w:r>
          </w:p>
          <w:p>
            <w:pPr>
              <w:pStyle w:val="Style28"/>
              <w:widowControl w:val="false"/>
              <w:bidi w:val="0"/>
              <w:spacing w:before="0" w:after="0"/>
              <w:jc w:val="left"/>
              <w:rPr/>
            </w:pPr>
            <w:r>
              <w:rPr>
                <w:b w:val="false"/>
                <w:bCs w:val="false"/>
                <w:sz w:val="24"/>
                <w:szCs w:val="24"/>
              </w:rPr>
              <w:t>АО «ДРСК»</w:t>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tc>
      </w:tr>
      <w:tr>
        <w:trPr/>
        <w:tc>
          <w:tcPr>
            <w:tcW w:w="5386" w:type="dxa"/>
            <w:tcBorders/>
            <w:shd w:fill="auto" w:val="clear"/>
          </w:tcPr>
          <w:p>
            <w:pPr>
              <w:pStyle w:val="Style28"/>
              <w:widowControl w:val="false"/>
              <w:bidi w:val="0"/>
              <w:spacing w:before="0" w:after="0"/>
              <w:jc w:val="left"/>
              <w:rPr/>
            </w:pPr>
            <w:r>
              <w:rPr>
                <w:b w:val="false"/>
                <w:bCs w:val="false"/>
                <w:sz w:val="24"/>
                <w:szCs w:val="24"/>
              </w:rPr>
              <w:t>______________________</w:t>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rFonts w:ascii="Times New Roman" w:hAnsi="Times New Roman"/>
                <w:b w:val="false"/>
                <w:bCs w:val="false"/>
                <w:sz w:val="24"/>
                <w:szCs w:val="24"/>
              </w:rPr>
            </w:pPr>
            <w:r>
              <w:rPr>
                <w:b w:val="false"/>
                <w:bCs w:val="false"/>
                <w:sz w:val="24"/>
                <w:szCs w:val="24"/>
              </w:rPr>
            </w:r>
          </w:p>
          <w:p>
            <w:pPr>
              <w:pStyle w:val="Style28"/>
              <w:widowControl w:val="false"/>
              <w:bidi w:val="0"/>
              <w:spacing w:before="0" w:after="0"/>
              <w:jc w:val="left"/>
              <w:rPr/>
            </w:pPr>
            <w:r>
              <w:rPr>
                <w:b w:val="false"/>
                <w:bCs w:val="false"/>
                <w:sz w:val="24"/>
                <w:szCs w:val="24"/>
              </w:rPr>
              <w:t>_____________________________</w:t>
            </w:r>
          </w:p>
        </w:tc>
        <w:tc>
          <w:tcPr>
            <w:tcW w:w="5385" w:type="dxa"/>
            <w:tcBorders/>
            <w:shd w:fill="auto" w:val="clear"/>
          </w:tcPr>
          <w:p>
            <w:pPr>
              <w:pStyle w:val="Normal"/>
              <w:widowControl w:val="false"/>
              <w:bidi w:val="0"/>
              <w:spacing w:before="0" w:after="0"/>
              <w:jc w:val="left"/>
              <w:rPr/>
            </w:pPr>
            <w:r>
              <w:rPr>
                <w:b w:val="false"/>
                <w:bCs w:val="false"/>
                <w:i w:val="false"/>
                <w:strike w:val="false"/>
                <w:dstrike w:val="false"/>
                <w:outline w:val="false"/>
                <w:shadow w:val="false"/>
                <w:sz w:val="24"/>
                <w:szCs w:val="24"/>
                <w:u w:val="none"/>
                <w:em w:val="none"/>
              </w:rPr>
              <w:t>Директор филиала АО «ДРСК» «Хабаровские электрические сети»</w:t>
            </w:r>
          </w:p>
          <w:p>
            <w:pPr>
              <w:pStyle w:val="Normal"/>
              <w:widowControl w:val="false"/>
              <w:bidi w:val="0"/>
              <w:spacing w:before="0" w:after="0"/>
              <w:jc w:val="left"/>
              <w:rPr>
                <w:i w:val="false"/>
                <w:i w:val="false"/>
                <w:strike w:val="false"/>
                <w:dstrike w:val="false"/>
                <w:outline w:val="false"/>
                <w:shadow w:val="false"/>
                <w:u w:val="none"/>
                <w:em w:val="none"/>
              </w:rPr>
            </w:pPr>
            <w:r>
              <w:rPr>
                <w:i w:val="false"/>
                <w:strike w:val="false"/>
                <w:dstrike w:val="false"/>
                <w:outline w:val="false"/>
                <w:shadow w:val="false"/>
                <w:u w:val="none"/>
                <w:em w:val="none"/>
              </w:rPr>
            </w:r>
          </w:p>
          <w:p>
            <w:pPr>
              <w:pStyle w:val="Normal"/>
              <w:widowControl w:val="false"/>
              <w:bidi w:val="0"/>
              <w:spacing w:before="0" w:after="0"/>
              <w:jc w:val="left"/>
              <w:rPr>
                <w:i w:val="false"/>
                <w:i w:val="false"/>
                <w:strike w:val="false"/>
                <w:dstrike w:val="false"/>
                <w:outline w:val="false"/>
                <w:shadow w:val="false"/>
                <w:u w:val="none"/>
                <w:em w:val="none"/>
              </w:rPr>
            </w:pPr>
            <w:r>
              <w:rPr>
                <w:i w:val="false"/>
                <w:strike w:val="false"/>
                <w:dstrike w:val="false"/>
                <w:outline w:val="false"/>
                <w:shadow w:val="false"/>
                <w:u w:val="none"/>
                <w:em w:val="none"/>
              </w:rPr>
            </w:r>
          </w:p>
          <w:p>
            <w:pPr>
              <w:pStyle w:val="Normal"/>
              <w:widowControl w:val="false"/>
              <w:bidi w:val="0"/>
              <w:spacing w:before="0" w:after="0"/>
              <w:jc w:val="left"/>
              <w:rPr/>
            </w:pPr>
            <w:r>
              <w:rPr>
                <w:b w:val="false"/>
                <w:bCs w:val="false"/>
                <w:i w:val="false"/>
                <w:strike w:val="false"/>
                <w:dstrike w:val="false"/>
                <w:outline w:val="false"/>
                <w:shadow w:val="false"/>
                <w:sz w:val="24"/>
                <w:szCs w:val="24"/>
                <w:u w:val="none"/>
                <w:em w:val="none"/>
              </w:rPr>
              <w:t>__________________________ Сугоровский М.А.</w:t>
            </w:r>
          </w:p>
          <w:p>
            <w:pPr>
              <w:pStyle w:val="Normal"/>
              <w:widowControl w:val="false"/>
              <w:bidi w:val="0"/>
              <w:spacing w:before="0" w:after="0"/>
              <w:jc w:val="left"/>
              <w:rPr>
                <w:rFonts w:ascii="Times New Roman" w:hAnsi="Times New Roman"/>
                <w:b w:val="false"/>
                <w:bCs w:val="false"/>
                <w:sz w:val="24"/>
                <w:szCs w:val="24"/>
              </w:rPr>
            </w:pPr>
            <w:r>
              <w:rPr>
                <w:b w:val="false"/>
                <w:bCs w:val="false"/>
                <w:sz w:val="24"/>
                <w:szCs w:val="24"/>
              </w:rPr>
            </w:r>
          </w:p>
        </w:tc>
      </w:tr>
    </w:tbl>
    <w:p>
      <w:pPr>
        <w:pStyle w:val="Normal"/>
        <w:spacing w:before="0" w:after="0"/>
        <w:jc w:val="center"/>
        <w:rPr/>
      </w:pPr>
      <w:r>
        <w:rPr/>
      </w:r>
    </w:p>
    <w:sectPr>
      <w:type w:val="nextPage"/>
      <w:pgSz w:w="11906" w:h="16838"/>
      <w:pgMar w:left="850" w:right="506" w:gutter="0" w:header="0" w:top="567" w:footer="0" w:bottom="567"/>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PT Sans">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Liberation Sans">
    <w:altName w:val="Arial"/>
    <w:charset w:val="01"/>
    <w:family w:val="roman"/>
    <w:pitch w:val="variable"/>
  </w:font>
  <w:font w:name="Courier New">
    <w:charset w:val="01"/>
    <w:family w:val="roman"/>
    <w:pitch w:val="variable"/>
  </w:font>
  <w:font w:name="Tahoma">
    <w:charset w:val="01"/>
    <w:family w:val="roman"/>
    <w:pitch w:val="variable"/>
  </w:font>
  <w:font w:name="Verdana">
    <w:charset w:val="01"/>
    <w:family w:val="roman"/>
    <w:pitch w:val="variable"/>
  </w:font>
  <w:font w:name="Calibri">
    <w:charset w:val="01"/>
    <w:family w:val="roman"/>
    <w:pitch w:val="variable"/>
  </w:font>
  <w:font w:name="Liberation Serif">
    <w:altName w:val="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lvl>
    <w:lvl w:ilvl="1">
      <w:start w:val="1"/>
      <w:numFmt w:val="decimal"/>
      <w:lvlText w:val="%1.%2."/>
      <w:lvlJc w:val="left"/>
      <w:pPr>
        <w:tabs>
          <w:tab w:val="num" w:pos="1708"/>
        </w:tabs>
        <w:ind w:left="1708" w:hanging="432"/>
      </w:pPr>
      <w:rPr>
        <w:sz w:val="20"/>
        <w:b/>
        <w:szCs w:val="20"/>
      </w:rPr>
    </w:lvl>
    <w:lvl w:ilvl="2">
      <w:start w:val="1"/>
      <w:numFmt w:val="decimal"/>
      <w:lvlText w:val="%1.%2.%3."/>
      <w:lvlJc w:val="left"/>
      <w:pPr>
        <w:tabs>
          <w:tab w:val="num" w:pos="4690"/>
        </w:tabs>
        <w:ind w:left="4474" w:hanging="504"/>
      </w:pPr>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3">
    <w:lvl w:ilvl="0">
      <w:start w:val="1"/>
      <w:numFmt w:val="bullet"/>
      <w:lvlText w:val=""/>
      <w:lvlJc w:val="left"/>
      <w:pPr>
        <w:tabs>
          <w:tab w:val="num" w:pos="1353"/>
        </w:tabs>
        <w:ind w:left="1353"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4897"/>
        </w:tabs>
        <w:ind w:left="4897" w:hanging="360"/>
      </w:pPr>
      <w:rPr>
        <w:rFonts w:ascii="Symbol" w:hAnsi="Symbol" w:cs="Symbol" w:hint="default"/>
        <w:sz w:val="20"/>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cs="Wingdings" w:hint="default"/>
      </w:rPr>
    </w:lvl>
    <w:lvl w:ilvl="3">
      <w:start w:val="1"/>
      <w:numFmt w:val="bullet"/>
      <w:lvlText w:val=""/>
      <w:lvlJc w:val="left"/>
      <w:pPr>
        <w:tabs>
          <w:tab w:val="num" w:pos="3938"/>
        </w:tabs>
        <w:ind w:left="3938" w:hanging="360"/>
      </w:pPr>
      <w:rPr>
        <w:rFonts w:ascii="Symbol" w:hAnsi="Symbol" w:cs="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cs="Wingdings" w:hint="default"/>
      </w:rPr>
    </w:lvl>
    <w:lvl w:ilvl="6">
      <w:start w:val="1"/>
      <w:numFmt w:val="bullet"/>
      <w:lvlText w:val=""/>
      <w:lvlJc w:val="left"/>
      <w:pPr>
        <w:tabs>
          <w:tab w:val="num" w:pos="6098"/>
        </w:tabs>
        <w:ind w:left="6098" w:hanging="360"/>
      </w:pPr>
      <w:rPr>
        <w:rFonts w:ascii="Symbol" w:hAnsi="Symbol" w:cs="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sz w:val="20"/>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429" w:hanging="360"/>
      </w:pPr>
      <w:rPr>
        <w:rFonts w:ascii="Symbol" w:hAnsi="Symbol" w:cs="Symbol" w:hint="default"/>
        <w:sz w:val="2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1429" w:hanging="360"/>
      </w:pPr>
      <w:rPr>
        <w:rFonts w:ascii="Symbol" w:hAnsi="Symbol" w:cs="Symbol" w:hint="default"/>
        <w:sz w:val="2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sz w:val="2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7"/>
      <w:numFmt w:val="decimal"/>
      <w:lvlText w:val="%1."/>
      <w:lvlJc w:val="left"/>
      <w:pPr>
        <w:tabs>
          <w:tab w:val="num" w:pos="0"/>
        </w:tabs>
        <w:ind w:left="720" w:hanging="360"/>
      </w:pPr>
      <w:rPr/>
    </w:lvl>
    <w:lvl w:ilvl="1">
      <w:start w:val="1"/>
      <w:numFmt w:val="decimal"/>
      <w:lvlText w:val="%1.%2."/>
      <w:lvlJc w:val="left"/>
      <w:pPr>
        <w:tabs>
          <w:tab w:val="num" w:pos="0"/>
        </w:tabs>
        <w:ind w:left="1779" w:hanging="360"/>
      </w:pPr>
      <w:rPr>
        <w:sz w:val="20"/>
        <w:b/>
        <w:szCs w:val="20"/>
      </w:rPr>
    </w:lvl>
    <w:lvl w:ilvl="2">
      <w:start w:val="1"/>
      <w:numFmt w:val="decimal"/>
      <w:lvlText w:val="%1.%2.%3."/>
      <w:lvlJc w:val="left"/>
      <w:pPr>
        <w:tabs>
          <w:tab w:val="num" w:pos="0"/>
        </w:tabs>
        <w:ind w:left="3198" w:hanging="720"/>
      </w:pPr>
      <w:rPr/>
    </w:lvl>
    <w:lvl w:ilvl="3">
      <w:start w:val="1"/>
      <w:numFmt w:val="decimal"/>
      <w:lvlText w:val="%1.%2.%3.%4."/>
      <w:lvlJc w:val="left"/>
      <w:pPr>
        <w:tabs>
          <w:tab w:val="num" w:pos="0"/>
        </w:tabs>
        <w:ind w:left="4257" w:hanging="720"/>
      </w:pPr>
      <w:rPr/>
    </w:lvl>
    <w:lvl w:ilvl="4">
      <w:start w:val="1"/>
      <w:numFmt w:val="decimal"/>
      <w:lvlText w:val="%1.%2.%3.%4.%5."/>
      <w:lvlJc w:val="left"/>
      <w:pPr>
        <w:tabs>
          <w:tab w:val="num" w:pos="0"/>
        </w:tabs>
        <w:ind w:left="5676" w:hanging="1080"/>
      </w:pPr>
      <w:rPr/>
    </w:lvl>
    <w:lvl w:ilvl="5">
      <w:start w:val="1"/>
      <w:numFmt w:val="decimal"/>
      <w:lvlText w:val="%1.%2.%3.%4.%5.%6."/>
      <w:lvlJc w:val="left"/>
      <w:pPr>
        <w:tabs>
          <w:tab w:val="num" w:pos="0"/>
        </w:tabs>
        <w:ind w:left="6735" w:hanging="1080"/>
      </w:pPr>
      <w:rPr/>
    </w:lvl>
    <w:lvl w:ilvl="6">
      <w:start w:val="1"/>
      <w:numFmt w:val="decimal"/>
      <w:lvlText w:val="%1.%2.%3.%4.%5.%6.%7."/>
      <w:lvlJc w:val="left"/>
      <w:pPr>
        <w:tabs>
          <w:tab w:val="num" w:pos="0"/>
        </w:tabs>
        <w:ind w:left="8154" w:hanging="1440"/>
      </w:pPr>
      <w:rPr/>
    </w:lvl>
    <w:lvl w:ilvl="7">
      <w:start w:val="1"/>
      <w:numFmt w:val="decimal"/>
      <w:lvlText w:val="%1.%2.%3.%4.%5.%6.%7.%8."/>
      <w:lvlJc w:val="left"/>
      <w:pPr>
        <w:tabs>
          <w:tab w:val="num" w:pos="0"/>
        </w:tabs>
        <w:ind w:left="9213" w:hanging="1440"/>
      </w:pPr>
      <w:rPr/>
    </w:lvl>
    <w:lvl w:ilvl="8">
      <w:start w:val="1"/>
      <w:numFmt w:val="decimal"/>
      <w:lvlText w:val="%1.%2.%3.%4.%5.%6.%7.%8.%9."/>
      <w:lvlJc w:val="left"/>
      <w:pPr>
        <w:tabs>
          <w:tab w:val="num" w:pos="0"/>
        </w:tabs>
        <w:ind w:left="10632" w:hanging="1800"/>
      </w:pPr>
      <w:rPr/>
    </w:lvl>
  </w:abstractNum>
  <w:abstractNum w:abstractNumId="11">
    <w:lvl w:ilvl="0">
      <w:start w:val="1"/>
      <w:numFmt w:val="bullet"/>
      <w:lvlText w:val="–"/>
      <w:lvlJc w:val="left"/>
      <w:pPr>
        <w:tabs>
          <w:tab w:val="num" w:pos="0"/>
        </w:tabs>
        <w:ind w:left="0" w:hanging="360"/>
      </w:pPr>
      <w:rPr>
        <w:rFonts w:ascii="Times New Roman" w:hAnsi="Times New Roman" w:cs="Times New Roman" w:hint="default"/>
        <w:dstrike w:val="false"/>
        <w:strike w:val="false"/>
        <w:vertAlign w:val="baseline"/>
        <w:position w:val="0"/>
        <w:sz w:val="20"/>
        <w:sz w:val="20"/>
        <w:i w:val="false"/>
        <w:u w:val="none"/>
        <w:b w:val="false"/>
        <w:szCs w:val="28"/>
        <w:highlight w:val="white"/>
        <w:color w:val="000000"/>
      </w:rPr>
    </w:lvl>
    <w:lvl w:ilvl="1">
      <w:start w:val="1"/>
      <w:numFmt w:val="bullet"/>
      <w:lvlText w:val="o"/>
      <w:lvlJc w:val="left"/>
      <w:pPr>
        <w:tabs>
          <w:tab w:val="num" w:pos="0"/>
        </w:tabs>
        <w:ind w:left="178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lvl w:ilvl="2">
      <w:start w:val="1"/>
      <w:numFmt w:val="bullet"/>
      <w:lvlText w:val="▪"/>
      <w:lvlJc w:val="left"/>
      <w:pPr>
        <w:tabs>
          <w:tab w:val="num" w:pos="0"/>
        </w:tabs>
        <w:ind w:left="250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lvl w:ilvl="3">
      <w:start w:val="1"/>
      <w:numFmt w:val="bullet"/>
      <w:lvlText w:val="•"/>
      <w:lvlJc w:val="left"/>
      <w:pPr>
        <w:tabs>
          <w:tab w:val="num" w:pos="0"/>
        </w:tabs>
        <w:ind w:left="322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lvl w:ilvl="4">
      <w:start w:val="1"/>
      <w:numFmt w:val="bullet"/>
      <w:lvlText w:val="o"/>
      <w:lvlJc w:val="left"/>
      <w:pPr>
        <w:tabs>
          <w:tab w:val="num" w:pos="0"/>
        </w:tabs>
        <w:ind w:left="394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lvl w:ilvl="5">
      <w:start w:val="1"/>
      <w:numFmt w:val="bullet"/>
      <w:lvlText w:val="▪"/>
      <w:lvlJc w:val="left"/>
      <w:pPr>
        <w:tabs>
          <w:tab w:val="num" w:pos="0"/>
        </w:tabs>
        <w:ind w:left="466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lvl w:ilvl="6">
      <w:start w:val="1"/>
      <w:numFmt w:val="bullet"/>
      <w:lvlText w:val="•"/>
      <w:lvlJc w:val="left"/>
      <w:pPr>
        <w:tabs>
          <w:tab w:val="num" w:pos="0"/>
        </w:tabs>
        <w:ind w:left="538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lvl w:ilvl="7">
      <w:start w:val="1"/>
      <w:numFmt w:val="bullet"/>
      <w:lvlText w:val="o"/>
      <w:lvlJc w:val="left"/>
      <w:pPr>
        <w:tabs>
          <w:tab w:val="num" w:pos="0"/>
        </w:tabs>
        <w:ind w:left="610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lvl w:ilvl="8">
      <w:start w:val="1"/>
      <w:numFmt w:val="bullet"/>
      <w:lvlText w:val="▪"/>
      <w:lvlJc w:val="left"/>
      <w:pPr>
        <w:tabs>
          <w:tab w:val="num" w:pos="0"/>
        </w:tabs>
        <w:ind w:left="6828" w:hanging="360"/>
      </w:pPr>
      <w:rPr>
        <w:rFonts w:ascii="Times New Roman" w:hAnsi="Times New Roman" w:cs="Times New Roman" w:hint="default"/>
        <w:dstrike w:val="false"/>
        <w:strike w:val="false"/>
        <w:vertAlign w:val="baseline"/>
        <w:position w:val="0"/>
        <w:sz w:val="28"/>
        <w:sz w:val="28"/>
        <w:i w:val="false"/>
        <w:u w:val="none"/>
        <w:b w:val="false"/>
        <w:szCs w:val="28"/>
        <w:highlight w:val="white"/>
        <w:color w:val="00000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Times New Roman" w:hAnsi="Times New Roman" w:eastAsia="Times New Roman" w:cs="Times New Roman"/>
      <w:color w:val="00000A"/>
      <w:kern w:val="0"/>
      <w:sz w:val="20"/>
      <w:szCs w:val="20"/>
      <w:lang w:val="ru-RU" w:eastAsia="ru-RU" w:bidi="ar-SA"/>
    </w:rPr>
  </w:style>
  <w:style w:type="paragraph" w:styleId="Heading1">
    <w:name w:val="Heading 1"/>
    <w:basedOn w:val="Normal"/>
    <w:qFormat/>
    <w:pPr>
      <w:keepNext w:val="true"/>
      <w:spacing w:before="240" w:after="60"/>
      <w:outlineLvl w:val="0"/>
    </w:pPr>
    <w:rPr>
      <w:rFonts w:ascii="Arial" w:hAnsi="Arial" w:cs="Arial"/>
      <w:b/>
      <w:bCs/>
      <w:sz w:val="32"/>
      <w:szCs w:val="32"/>
    </w:rPr>
  </w:style>
  <w:style w:type="paragraph" w:styleId="Heading3">
    <w:name w:val="Heading 3"/>
    <w:basedOn w:val="Normal"/>
    <w:qFormat/>
    <w:pPr>
      <w:keepNext w:val="true"/>
      <w:keepLines/>
      <w:spacing w:before="200" w:after="0"/>
      <w:outlineLvl w:val="2"/>
    </w:pPr>
    <w:rPr>
      <w:rFonts w:ascii="Cambria" w:hAnsi="Cambria"/>
      <w:b/>
      <w:bCs/>
      <w:color w:val="4F81BD"/>
      <w:lang w:val="x-none" w:eastAsia="x-none"/>
    </w:rPr>
  </w:style>
  <w:style w:type="paragraph" w:styleId="Heading8">
    <w:name w:val="Heading 8"/>
    <w:basedOn w:val="Normal"/>
    <w:qFormat/>
    <w:pPr>
      <w:keepNext w:val="true"/>
      <w:widowControl/>
      <w:outlineLvl w:val="7"/>
    </w:pPr>
    <w:rPr>
      <w:b/>
      <w:bCs/>
      <w:i/>
      <w:iCs/>
      <w:sz w:val="22"/>
      <w:szCs w:val="22"/>
    </w:rPr>
  </w:style>
  <w:style w:type="character" w:styleId="DefaultParagraphFont">
    <w:name w:val="Default Paragraph Font"/>
    <w:qFormat/>
    <w:rPr/>
  </w:style>
  <w:style w:type="character" w:styleId="Style6">
    <w:name w:val="Заголовок Знак"/>
    <w:qFormat/>
    <w:rPr>
      <w:b/>
      <w:bCs/>
      <w:sz w:val="24"/>
      <w:szCs w:val="24"/>
      <w:lang w:val="ru-RU" w:eastAsia="ru-RU" w:bidi="ar-SA"/>
    </w:rPr>
  </w:style>
  <w:style w:type="character" w:styleId="Style7">
    <w:name w:val="Основной текст Знак"/>
    <w:qFormat/>
    <w:rPr>
      <w:lang w:val="ru-RU" w:eastAsia="ru-RU" w:bidi="ar-SA"/>
    </w:rPr>
  </w:style>
  <w:style w:type="character" w:styleId="Pagenumber">
    <w:name w:val="page number"/>
    <w:basedOn w:val="DefaultParagraphFont"/>
    <w:qFormat/>
    <w:rPr/>
  </w:style>
  <w:style w:type="character" w:styleId="3">
    <w:name w:val="Основной текст 3 Знак"/>
    <w:qFormat/>
    <w:rPr>
      <w:sz w:val="16"/>
      <w:szCs w:val="16"/>
    </w:rPr>
  </w:style>
  <w:style w:type="character" w:styleId="Annotationreference">
    <w:name w:val="annotation reference"/>
    <w:qFormat/>
    <w:rPr>
      <w:sz w:val="16"/>
      <w:szCs w:val="16"/>
    </w:rPr>
  </w:style>
  <w:style w:type="character" w:styleId="Style8">
    <w:name w:val="Текст примечания Знак"/>
    <w:basedOn w:val="DefaultParagraphFont"/>
    <w:qFormat/>
    <w:rPr/>
  </w:style>
  <w:style w:type="character" w:styleId="Style9">
    <w:name w:val="Тема примечания Знак"/>
    <w:qFormat/>
    <w:rPr>
      <w:b/>
      <w:bCs/>
    </w:rPr>
  </w:style>
  <w:style w:type="character" w:styleId="31">
    <w:name w:val="Заголовок 3 Знак"/>
    <w:qFormat/>
    <w:rPr>
      <w:rFonts w:ascii="Cambria" w:hAnsi="Cambria" w:eastAsia="Times New Roman" w:cs="Times New Roman"/>
      <w:b/>
      <w:bCs/>
      <w:color w:val="4F81BD"/>
    </w:rPr>
  </w:style>
  <w:style w:type="character" w:styleId="Style10">
    <w:name w:val="Основной текст с отступом Знак"/>
    <w:basedOn w:val="DefaultParagraphFont"/>
    <w:qFormat/>
    <w:rPr/>
  </w:style>
  <w:style w:type="character" w:styleId="Style11">
    <w:name w:val="комментарий"/>
    <w:qFormat/>
    <w:rPr>
      <w:rFonts w:cs="Times New Roman"/>
      <w:i/>
      <w:iCs/>
    </w:rPr>
  </w:style>
  <w:style w:type="character" w:styleId="Style12">
    <w:name w:val="Текст сноски Знак"/>
    <w:basedOn w:val="DefaultParagraphFont"/>
    <w:qFormat/>
    <w:rPr/>
  </w:style>
  <w:style w:type="character" w:styleId="Style13">
    <w:name w:val="Символ сноски"/>
    <w:qFormat/>
    <w:rPr>
      <w:vertAlign w:val="superscript"/>
    </w:rPr>
  </w:style>
  <w:style w:type="character" w:styleId="FootnoteReference">
    <w:name w:val="Footnote Reference"/>
    <w:rPr>
      <w:vertAlign w:val="superscript"/>
    </w:rPr>
  </w:style>
  <w:style w:type="character" w:styleId="Style14">
    <w:name w:val="Верхний колонтитул Знак"/>
    <w:basedOn w:val="DefaultParagraphFont"/>
    <w:qFormat/>
    <w:rPr/>
  </w:style>
  <w:style w:type="character" w:styleId="Hyperlink">
    <w:name w:val="Hyperlink"/>
    <w:rPr>
      <w:color w:val="0000FF"/>
      <w:u w:val="single"/>
    </w:rPr>
  </w:style>
  <w:style w:type="character" w:styleId="Style15">
    <w:name w:val="Нижний колонтитул Знак"/>
    <w:qFormat/>
    <w:rPr/>
  </w:style>
  <w:style w:type="character" w:styleId="Style16">
    <w:name w:val="Название Знак"/>
    <w:qFormat/>
    <w:rPr>
      <w:b/>
      <w:bCs/>
      <w:sz w:val="24"/>
      <w:szCs w:val="24"/>
    </w:rPr>
  </w:style>
  <w:style w:type="character" w:styleId="Style17">
    <w:name w:val="Абзац списка Знак"/>
    <w:qFormat/>
    <w:rPr/>
  </w:style>
  <w:style w:type="character" w:styleId="Doctitleimportant">
    <w:name w:val="doc__title_important"/>
    <w:basedOn w:val="DefaultParagraphFont"/>
    <w:qFormat/>
    <w:rPr/>
  </w:style>
  <w:style w:type="character" w:styleId="32">
    <w:name w:val="Основной текст с отступом 3 Знак"/>
    <w:basedOn w:val="DefaultParagraphFont"/>
    <w:qFormat/>
    <w:rPr>
      <w:sz w:val="16"/>
      <w:szCs w:val="16"/>
    </w:rPr>
  </w:style>
  <w:style w:type="character" w:styleId="Style18">
    <w:name w:val="Символ нумерации"/>
    <w:qFormat/>
    <w:rPr/>
  </w:style>
  <w:style w:type="character" w:styleId="Style19">
    <w:name w:val="Основной шрифт абзаца"/>
    <w:qFormat/>
    <w:rPr/>
  </w:style>
  <w:style w:type="paragraph" w:styleId="Style20">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21">
    <w:name w:val="Указатель"/>
    <w:basedOn w:val="Normal"/>
    <w:qFormat/>
    <w:pPr>
      <w:suppressLineNumbers/>
    </w:pPr>
    <w:rPr/>
  </w:style>
  <w:style w:type="paragraph" w:styleId="Title">
    <w:name w:val="Title"/>
    <w:basedOn w:val="Normal"/>
    <w:qFormat/>
    <w:pPr>
      <w:jc w:val="center"/>
    </w:pPr>
    <w:rPr>
      <w:b/>
      <w:bCs/>
      <w:sz w:val="24"/>
      <w:szCs w:val="24"/>
    </w:rPr>
  </w:style>
  <w:style w:type="paragraph" w:styleId="Style22">
    <w:name w:val="Таблицы (моноширинный)"/>
    <w:basedOn w:val="Normal"/>
    <w:qFormat/>
    <w:pPr>
      <w:jc w:val="both"/>
    </w:pPr>
    <w:rPr>
      <w:rFonts w:ascii="Courier New" w:hAnsi="Courier New" w:cs="Courier New"/>
    </w:rPr>
  </w:style>
  <w:style w:type="paragraph" w:styleId="BodyTextIndent2">
    <w:name w:val="Body Text Indent 2"/>
    <w:basedOn w:val="Normal"/>
    <w:qFormat/>
    <w:pPr>
      <w:ind w:hanging="0" w:left="1843" w:right="0"/>
      <w:jc w:val="both"/>
    </w:pPr>
    <w:rPr>
      <w:sz w:val="24"/>
    </w:rPr>
  </w:style>
  <w:style w:type="paragraph" w:styleId="BalloonText">
    <w:name w:val="Balloon Text"/>
    <w:basedOn w:val="Normal"/>
    <w:qFormat/>
    <w:pPr/>
    <w:rPr>
      <w:rFonts w:ascii="Tahoma" w:hAnsi="Tahoma" w:cs="Tahoma"/>
      <w:sz w:val="16"/>
      <w:szCs w:val="16"/>
    </w:rPr>
  </w:style>
  <w:style w:type="paragraph" w:styleId="BodyText2">
    <w:name w:val="Body Text 2"/>
    <w:basedOn w:val="Normal"/>
    <w:qFormat/>
    <w:pPr>
      <w:widowControl/>
      <w:spacing w:lineRule="auto" w:line="480" w:before="0" w:after="120"/>
    </w:pPr>
    <w:rPr>
      <w:sz w:val="24"/>
      <w:szCs w:val="24"/>
    </w:rPr>
  </w:style>
  <w:style w:type="paragraph" w:styleId="Style23">
    <w:name w:val="Колонтитул"/>
    <w:basedOn w:val="Normal"/>
    <w:qFormat/>
    <w:pPr/>
    <w:rPr/>
  </w:style>
  <w:style w:type="paragraph" w:styleId="Footer">
    <w:name w:val="Footer"/>
    <w:basedOn w:val="Normal"/>
    <w:pPr>
      <w:tabs>
        <w:tab w:val="clear" w:pos="708"/>
        <w:tab w:val="center" w:pos="4677" w:leader="none"/>
        <w:tab w:val="right" w:pos="9355" w:leader="none"/>
      </w:tabs>
    </w:pPr>
    <w:rPr/>
  </w:style>
  <w:style w:type="paragraph" w:styleId="BodyText3">
    <w:name w:val="Body Text 3"/>
    <w:basedOn w:val="Normal"/>
    <w:qFormat/>
    <w:pPr>
      <w:spacing w:before="0" w:after="120"/>
    </w:pPr>
    <w:rPr>
      <w:sz w:val="16"/>
      <w:szCs w:val="16"/>
      <w:lang w:val="x-none" w:eastAsia="x-none"/>
    </w:rPr>
  </w:style>
  <w:style w:type="paragraph" w:styleId="Annotationtext">
    <w:name w:val="annotation text"/>
    <w:basedOn w:val="Normal"/>
    <w:qFormat/>
    <w:pPr/>
    <w:rPr/>
  </w:style>
  <w:style w:type="paragraph" w:styleId="Annotationsubject">
    <w:name w:val="annotation subject"/>
    <w:basedOn w:val="Annotationtext"/>
    <w:qFormat/>
    <w:pPr/>
    <w:rPr>
      <w:b/>
      <w:bCs/>
      <w:lang w:val="x-none" w:eastAsia="x-none"/>
    </w:rPr>
  </w:style>
  <w:style w:type="paragraph" w:styleId="ListParagraph">
    <w:name w:val="List Paragraph"/>
    <w:basedOn w:val="Normal"/>
    <w:qFormat/>
    <w:pPr>
      <w:spacing w:before="0" w:after="0"/>
      <w:ind w:hanging="0" w:left="720" w:right="0"/>
      <w:contextualSpacing/>
    </w:pPr>
    <w:rPr/>
  </w:style>
  <w:style w:type="paragraph" w:styleId="Style24">
    <w:name w:val="Знак Знак Знак Знак Знак Знак Знак Знак Знак"/>
    <w:basedOn w:val="Normal"/>
    <w:qFormat/>
    <w:pPr>
      <w:widowControl/>
      <w:spacing w:lineRule="exact" w:line="240" w:before="0" w:after="160"/>
      <w:jc w:val="both"/>
    </w:pPr>
    <w:rPr>
      <w:rFonts w:ascii="Verdana" w:hAnsi="Verdana"/>
      <w:sz w:val="22"/>
      <w:lang w:val="en-US" w:eastAsia="en-US"/>
    </w:rPr>
  </w:style>
  <w:style w:type="paragraph" w:styleId="Style25">
    <w:name w:val="Подпункт договора"/>
    <w:basedOn w:val="Normal"/>
    <w:qFormat/>
    <w:pPr>
      <w:widowControl/>
      <w:tabs>
        <w:tab w:val="clear" w:pos="708"/>
        <w:tab w:val="left" w:pos="360" w:leader="none"/>
      </w:tabs>
      <w:jc w:val="both"/>
    </w:pPr>
    <w:rPr>
      <w:rFonts w:ascii="Arial" w:hAnsi="Arial"/>
    </w:rPr>
  </w:style>
  <w:style w:type="paragraph" w:styleId="ConsNormal">
    <w:name w:val="ConsNormal"/>
    <w:qFormat/>
    <w:pPr>
      <w:widowControl/>
      <w:suppressAutoHyphens w:val="true"/>
      <w:overflowPunct w:val="true"/>
      <w:bidi w:val="0"/>
      <w:spacing w:before="0" w:after="0"/>
      <w:ind w:firstLine="720" w:left="0" w:right="19772"/>
      <w:jc w:val="left"/>
    </w:pPr>
    <w:rPr>
      <w:rFonts w:ascii="Arial" w:hAnsi="Arial" w:eastAsia="Times New Roman" w:cs="Times New Roman"/>
      <w:color w:val="00000A"/>
      <w:kern w:val="0"/>
      <w:sz w:val="32"/>
      <w:szCs w:val="20"/>
      <w:lang w:val="ru-RU" w:eastAsia="en-US" w:bidi="ar-SA"/>
    </w:rPr>
  </w:style>
  <w:style w:type="paragraph" w:styleId="BodyTextIndent">
    <w:name w:val="Body Text Indent"/>
    <w:basedOn w:val="Normal"/>
    <w:pPr>
      <w:spacing w:before="0" w:after="120"/>
      <w:ind w:hanging="0" w:left="283" w:right="0"/>
    </w:pPr>
    <w:rPr/>
  </w:style>
  <w:style w:type="paragraph" w:styleId="Style26">
    <w:name w:val="Знак"/>
    <w:basedOn w:val="Normal"/>
    <w:qFormat/>
    <w:pPr>
      <w:widowControl/>
      <w:spacing w:lineRule="exact" w:line="240" w:before="0" w:after="160"/>
    </w:pPr>
    <w:rPr>
      <w:rFonts w:ascii="Verdana" w:hAnsi="Verdana" w:cs="Verdana"/>
      <w:lang w:val="en-US" w:eastAsia="en-US"/>
    </w:rPr>
  </w:style>
  <w:style w:type="paragraph" w:styleId="FootnoteText">
    <w:name w:val="Footnote Text"/>
    <w:basedOn w:val="Normal"/>
    <w:pPr/>
    <w:rPr/>
  </w:style>
  <w:style w:type="paragraph" w:styleId="ListBullet3">
    <w:name w:val="List Bullet 3"/>
    <w:basedOn w:val="Normal"/>
    <w:qFormat/>
    <w:pPr>
      <w:widowControl/>
      <w:tabs>
        <w:tab w:val="clear" w:pos="708"/>
        <w:tab w:val="left" w:pos="1418" w:leader="none"/>
      </w:tabs>
      <w:spacing w:lineRule="auto" w:line="360" w:before="120" w:after="0"/>
      <w:ind w:firstLine="720" w:left="0" w:right="0"/>
      <w:jc w:val="both"/>
    </w:pPr>
    <w:rPr>
      <w:rFonts w:eastAsia="Calibri"/>
      <w:i/>
      <w:iCs/>
      <w:sz w:val="24"/>
      <w:szCs w:val="24"/>
    </w:rPr>
  </w:style>
  <w:style w:type="paragraph" w:styleId="-">
    <w:name w:val="Контракт-пункт"/>
    <w:basedOn w:val="Normal"/>
    <w:qFormat/>
    <w:pPr>
      <w:widowControl/>
      <w:tabs>
        <w:tab w:val="clear" w:pos="708"/>
        <w:tab w:val="left" w:pos="851" w:leader="none"/>
      </w:tabs>
      <w:spacing w:lineRule="auto" w:line="360"/>
      <w:ind w:hanging="851" w:left="851" w:right="0"/>
      <w:jc w:val="both"/>
    </w:pPr>
    <w:rPr>
      <w:rFonts w:eastAsia="Calibri"/>
      <w:sz w:val="28"/>
      <w:szCs w:val="28"/>
    </w:rPr>
  </w:style>
  <w:style w:type="paragraph" w:styleId="DocumentMap">
    <w:name w:val="Document Map"/>
    <w:basedOn w:val="Normal"/>
    <w:qFormat/>
    <w:pPr>
      <w:shd w:val="clear" w:fill="000080"/>
    </w:pPr>
    <w:rPr>
      <w:rFonts w:ascii="Tahoma" w:hAnsi="Tahoma" w:cs="Tahoma"/>
    </w:rPr>
  </w:style>
  <w:style w:type="paragraph" w:styleId="Revision">
    <w:name w:val="Revision"/>
    <w:qFormat/>
    <w:pPr>
      <w:widowControl/>
      <w:suppressAutoHyphens w:val="true"/>
      <w:overflowPunct w:val="true"/>
      <w:bidi w:val="0"/>
      <w:spacing w:before="0" w:after="0"/>
      <w:jc w:val="left"/>
    </w:pPr>
    <w:rPr>
      <w:rFonts w:ascii="Times New Roman" w:hAnsi="Times New Roman" w:eastAsia="Times New Roman" w:cs="Times New Roman"/>
      <w:color w:val="00000A"/>
      <w:kern w:val="0"/>
      <w:sz w:val="20"/>
      <w:szCs w:val="20"/>
      <w:lang w:val="ru-RU" w:eastAsia="ru-RU" w:bidi="ar-SA"/>
    </w:rPr>
  </w:style>
  <w:style w:type="paragraph" w:styleId="Header">
    <w:name w:val="Header"/>
    <w:basedOn w:val="Normal"/>
    <w:pPr>
      <w:tabs>
        <w:tab w:val="clear" w:pos="708"/>
        <w:tab w:val="center" w:pos="4677" w:leader="none"/>
        <w:tab w:val="right" w:pos="9355" w:leader="none"/>
      </w:tabs>
    </w:pPr>
    <w:rPr/>
  </w:style>
  <w:style w:type="paragraph" w:styleId="Style27">
    <w:name w:val="Пункт договора"/>
    <w:basedOn w:val="Normal"/>
    <w:qFormat/>
    <w:pPr>
      <w:jc w:val="both"/>
    </w:pPr>
    <w:rPr>
      <w:rFonts w:ascii="Arial" w:hAnsi="Arial"/>
    </w:rPr>
  </w:style>
  <w:style w:type="paragraph" w:styleId="1">
    <w:name w:val="Знак Знак Знак Знак Знак Знак Знак Знак Знак1"/>
    <w:basedOn w:val="Normal"/>
    <w:qFormat/>
    <w:pPr>
      <w:widowControl/>
      <w:spacing w:lineRule="exact" w:line="240" w:before="0" w:after="160"/>
      <w:jc w:val="both"/>
    </w:pPr>
    <w:rPr>
      <w:rFonts w:ascii="Verdana" w:hAnsi="Verdana"/>
      <w:sz w:val="22"/>
      <w:lang w:val="en-US" w:eastAsia="en-US"/>
    </w:rPr>
  </w:style>
  <w:style w:type="paragraph" w:styleId="11">
    <w:name w:val="Обычный1"/>
    <w:qFormat/>
    <w:pPr>
      <w:widowControl/>
      <w:suppressAutoHyphens w:val="true"/>
      <w:overflowPunct w:val="true"/>
      <w:bidi w:val="0"/>
      <w:spacing w:before="0" w:after="0"/>
      <w:jc w:val="left"/>
    </w:pPr>
    <w:rPr>
      <w:rFonts w:ascii="Times New Roman" w:hAnsi="Times New Roman" w:eastAsia="Times New Roman" w:cs="Times New Roman"/>
      <w:color w:val="00000A"/>
      <w:kern w:val="0"/>
      <w:sz w:val="20"/>
      <w:szCs w:val="20"/>
      <w:lang w:val="ru-RU" w:eastAsia="ru-RU" w:bidi="ar-SA"/>
    </w:rPr>
  </w:style>
  <w:style w:type="paragraph" w:styleId="ConsPlusNormal">
    <w:name w:val="ConsPlusNormal"/>
    <w:qFormat/>
    <w:pPr>
      <w:widowControl w:val="false"/>
      <w:suppressAutoHyphens w:val="true"/>
      <w:overflowPunct w:val="true"/>
      <w:bidi w:val="0"/>
      <w:spacing w:before="0" w:after="0"/>
      <w:jc w:val="left"/>
    </w:pPr>
    <w:rPr>
      <w:rFonts w:ascii="Calibri" w:hAnsi="Calibri" w:eastAsia="Times New Roman" w:cs="Calibri"/>
      <w:color w:val="00000A"/>
      <w:kern w:val="0"/>
      <w:sz w:val="22"/>
      <w:szCs w:val="20"/>
      <w:lang w:val="ru-RU" w:eastAsia="ru-RU" w:bidi="ar-SA"/>
    </w:rPr>
  </w:style>
  <w:style w:type="paragraph" w:styleId="NormalWeb">
    <w:name w:val="Normal (Web)"/>
    <w:basedOn w:val="Normal"/>
    <w:qFormat/>
    <w:pPr>
      <w:widowControl/>
      <w:spacing w:before="280" w:after="280"/>
    </w:pPr>
    <w:rPr>
      <w:sz w:val="24"/>
      <w:szCs w:val="24"/>
    </w:rPr>
  </w:style>
  <w:style w:type="paragraph" w:styleId="BodyTextIndent3">
    <w:name w:val="Body Text Indent 3"/>
    <w:basedOn w:val="Normal"/>
    <w:qFormat/>
    <w:pPr>
      <w:spacing w:before="0" w:after="120"/>
      <w:ind w:hanging="0" w:left="283" w:right="0"/>
    </w:pPr>
    <w:rPr>
      <w:sz w:val="16"/>
      <w:szCs w:val="16"/>
    </w:rPr>
  </w:style>
  <w:style w:type="paragraph" w:styleId="BlockText">
    <w:name w:val="Block Text"/>
    <w:basedOn w:val="Normal"/>
    <w:qFormat/>
    <w:pPr>
      <w:ind w:hanging="0" w:left="-108" w:right="-108"/>
      <w:jc w:val="center"/>
    </w:pPr>
    <w:rPr/>
  </w:style>
  <w:style w:type="paragraph" w:styleId="Style28">
    <w:name w:val="Содержимое таблицы"/>
    <w:basedOn w:val="Normal"/>
    <w:qFormat/>
    <w:pPr/>
    <w:rPr/>
  </w:style>
  <w:style w:type="paragraph" w:styleId="Style29">
    <w:name w:val="Заголовок таблицы"/>
    <w:basedOn w:val="Style28"/>
    <w:qFormat/>
    <w:pPr>
      <w:suppressLineNumbers/>
      <w:jc w:val="center"/>
    </w:pPr>
    <w:rPr>
      <w:b/>
      <w:bCs/>
    </w:rPr>
  </w:style>
  <w:style w:type="paragraph" w:styleId="Style30">
    <w:name w:val="Таблица шапка"/>
    <w:basedOn w:val="Normal"/>
    <w:qFormat/>
    <w:pPr>
      <w:keepNext w:val="true"/>
      <w:widowControl/>
      <w:suppressAutoHyphens w:val="true"/>
      <w:spacing w:lineRule="atLeast" w:line="100" w:before="40" w:after="40"/>
      <w:ind w:hanging="0" w:left="57" w:right="57"/>
    </w:pPr>
    <w:rPr>
      <w:sz w:val="22"/>
      <w:lang w:eastAsia="zh-CN"/>
    </w:rPr>
  </w:style>
  <w:style w:type="paragraph" w:styleId="Standard">
    <w:name w:val="Standard"/>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4"/>
      <w:szCs w:val="24"/>
      <w:lang w:val="ru-RU" w:eastAsia="zh-CN" w:bidi="ar-SA"/>
    </w:rPr>
  </w:style>
  <w:style w:type="paragraph" w:styleId="NoSpacing">
    <w:name w:val="No Spacing"/>
    <w:qFormat/>
    <w:pPr>
      <w:widowControl/>
      <w:suppressAutoHyphens w:val="true"/>
      <w:overflowPunct w:val="false"/>
      <w:bidi w:val="0"/>
      <w:spacing w:lineRule="auto" w:line="240" w:before="0" w:after="0"/>
      <w:jc w:val="left"/>
    </w:pPr>
    <w:rPr>
      <w:rFonts w:ascii="Times New Roman" w:hAnsi="Times New Roman" w:eastAsia="Times New Roman" w:cs="Times New Roman"/>
      <w:color w:val="00000A"/>
      <w:kern w:val="0"/>
      <w:sz w:val="20"/>
      <w:szCs w:val="20"/>
      <w:lang w:val="ru-RU" w:eastAsia="ru-RU" w:bidi="ar-SA"/>
    </w:rPr>
  </w:style>
  <w:style w:type="paragraph" w:styleId="Style31">
    <w:name w:val="Таблица текст"/>
    <w:basedOn w:val="Standard"/>
    <w:qFormat/>
    <w:pPr>
      <w:spacing w:before="40" w:after="40"/>
      <w:ind w:hanging="0" w:left="57" w:right="57"/>
    </w:pPr>
    <w:rPr>
      <w:szCs w:val="20"/>
    </w:rPr>
  </w:style>
  <w:style w:type="paragraph" w:styleId="Style32">
    <w:name w:val="Текст"/>
    <w:basedOn w:val="Normal"/>
    <w:qFormat/>
    <w:pPr>
      <w:spacing w:lineRule="auto" w:line="240" w:before="0" w:after="240"/>
    </w:pPr>
    <w:rPr>
      <w:rFonts w:ascii="Times New Roman" w:hAnsi="Times New Roman" w:eastAsia="Times New Roman"/>
      <w:sz w:val="24"/>
      <w:szCs w:val="20"/>
      <w:lang w:val="en-US"/>
    </w:rPr>
  </w:style>
  <w:style w:type="paragraph" w:styleId="Style33">
    <w:name w:val="Содержимое врезки"/>
    <w:basedOn w:val="Normal"/>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663</TotalTime>
  <Application>AlterOffice/2026.2.0.0$Linux_X86_64 LibreOffice_project/bc4ef1adf80b36c7a6365f8ed6cbf29021361edd</Application>
  <AppVersion>15.0000</AppVersion>
  <Pages>12</Pages>
  <Words>6636</Words>
  <Characters>47415</Characters>
  <CharactersWithSpaces>53798</CharactersWithSpaces>
  <Paragraphs>317</Paragraphs>
  <Company>Inter RAO UES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2023-04-17T06:08:00Z</dcterms:created>
  <dc:creator>tsypilev_ag</dc:creator>
  <dc:description/>
  <dc:language>ru-RU</dc:language>
  <cp:lastModifiedBy>pilipenko_ns</cp:lastModifiedBy>
  <cp:lastPrinted>2025-11-27T08:30:10Z</cp:lastPrinted>
  <dcterms:modified xsi:type="dcterms:W3CDTF">2026-08-28T10:36:07Z</dcterms:modified>
  <cp:revision>141</cp:revision>
  <dc:subject/>
  <dc:title>Договор № _________</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