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вышки наблюдательной бронированной</w:t>
      </w:r>
    </w:p>
    <w:p>
      <w:pPr>
        <w:pStyle w:val="Normal"/>
        <w:keepNext w:val="true"/>
        <w:keepLines/>
        <w:spacing w:lineRule="auto" w:line="276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 2: 25.11.10.000 поставка вышки наблюдательной, бронированной для нужд </w:t>
      </w:r>
      <w:r>
        <w:rPr>
          <w:rFonts w:eastAsia="Calibri"/>
          <w:b/>
        </w:rPr>
        <w:t>Загорского филиала АО «Гидроремонт-ВКК» в п. Богородское</w:t>
      </w:r>
      <w:r>
        <w:rPr>
          <w:rFonts w:eastAsia="Calibri"/>
          <w:b/>
          <w:sz w:val="26"/>
          <w:szCs w:val="26"/>
        </w:rPr>
        <w:t>»</w:t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highlight w:val="yellow"/>
        </w:rPr>
        <w:t>Лот № ________-РЕМ ДОХ-2026-ГРВКК-ЗагФ</w:t>
      </w:r>
    </w:p>
    <w:p>
      <w:pPr>
        <w:pStyle w:val="Normal"/>
        <w:spacing w:lineRule="auto" w:line="276" w:before="0" w:after="200"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48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1"/>
              <w:caps/>
              <w:rFonts w:eastAsia="Calibri"/>
              <w:lang w:eastAsia="x-none"/>
            </w:rPr>
            <w:instrText xml:space="preserve"> TOC \z \o "1-4" \u \h</w:instrText>
          </w:r>
          <w:r>
            <w:rPr>
              <w:webHidden/>
              <w:rStyle w:val="Style11"/>
              <w:caps/>
              <w:rFonts w:eastAsia="Calibri"/>
              <w:lang w:eastAsia="x-none"/>
            </w:rPr>
            <w:fldChar w:fldCharType="separate"/>
          </w:r>
          <w:hyperlink w:anchor="_Toc230263270">
            <w:r>
              <w:rPr>
                <w:webHidden/>
                <w:rStyle w:val="Style11"/>
                <w:rFonts w:eastAsia="Calibri"/>
                <w:caps/>
                <w:lang w:eastAsia="x-none"/>
              </w:rPr>
              <w:t>1.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1"/>
                <w:rFonts w:eastAsia="Calibri"/>
                <w:b/>
                <w:lang w:eastAsia="x-none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32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18"/>
              <w:szCs w:val="22"/>
            </w:rPr>
          </w:pPr>
          <w:hyperlink w:anchor="_Toc230263271">
            <w:r>
              <w:rPr>
                <w:webHidden/>
                <w:rStyle w:val="Style11"/>
                <w:rFonts w:eastAsia="Calibri"/>
                <w:bCs/>
                <w:sz w:val="20"/>
                <w:lang w:val="x-none" w:eastAsia="x-none"/>
              </w:rPr>
              <w:t>1.1.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18"/>
                <w:szCs w:val="22"/>
              </w:rPr>
              <w:tab/>
            </w:r>
            <w:r>
              <w:rPr>
                <w:rStyle w:val="Style11"/>
                <w:rFonts w:eastAsia="Calibri"/>
                <w:bCs/>
                <w:sz w:val="20"/>
                <w:lang w:val="x-none" w:eastAsia="x-none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  <w:sz w:val="20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0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18"/>
              <w:szCs w:val="22"/>
            </w:rPr>
          </w:pPr>
          <w:hyperlink w:anchor="_Toc230263272">
            <w:r>
              <w:rPr>
                <w:webHidden/>
                <w:rStyle w:val="Style11"/>
                <w:rFonts w:eastAsia="Calibri"/>
                <w:sz w:val="20"/>
                <w:lang w:eastAsia="x-none"/>
              </w:rPr>
              <w:t>1.2.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18"/>
                <w:szCs w:val="22"/>
              </w:rPr>
              <w:tab/>
            </w:r>
            <w:r>
              <w:rPr>
                <w:rStyle w:val="Style11"/>
                <w:rFonts w:eastAsia="Calibri"/>
                <w:sz w:val="20"/>
                <w:lang w:eastAsia="x-none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  <w:sz w:val="20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0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0263273">
            <w:r>
              <w:rPr>
                <w:webHidden/>
                <w:rStyle w:val="Style11"/>
                <w:rFonts w:eastAsia="Calibri"/>
                <w:sz w:val="20"/>
                <w:lang w:eastAsia="x-none"/>
              </w:rPr>
              <w:t>1.3.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18"/>
                <w:szCs w:val="22"/>
              </w:rPr>
              <w:tab/>
            </w:r>
            <w:r>
              <w:rPr>
                <w:rStyle w:val="Style11"/>
                <w:rFonts w:eastAsia="Calibri"/>
                <w:sz w:val="20"/>
                <w:lang w:eastAsia="x-none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  <w:sz w:val="20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8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0263274">
            <w:r>
              <w:rPr>
                <w:webHidden/>
                <w:rStyle w:val="Style11"/>
                <w:rFonts w:eastAsia="Calibri"/>
                <w:iCs/>
                <w:caps/>
                <w:lang w:eastAsia="x-none"/>
              </w:rPr>
              <w:t>2.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1"/>
                <w:rFonts w:eastAsia="Calibri"/>
                <w:b/>
                <w:iCs/>
                <w:lang w:val="x-none" w:eastAsia="x-none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0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18"/>
              <w:szCs w:val="22"/>
            </w:rPr>
          </w:pPr>
          <w:hyperlink w:anchor="_Toc230263275">
            <w:r>
              <w:rPr>
                <w:webHidden/>
                <w:rStyle w:val="Style11"/>
                <w:rFonts w:eastAsia="Calibri"/>
                <w:sz w:val="20"/>
                <w:lang w:eastAsia="x-none"/>
              </w:rPr>
              <w:t>2.1.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18"/>
                <w:szCs w:val="22"/>
              </w:rPr>
              <w:tab/>
            </w:r>
            <w:r>
              <w:rPr>
                <w:rStyle w:val="Style11"/>
                <w:rFonts w:eastAsia="Calibri"/>
                <w:sz w:val="20"/>
                <w:lang w:eastAsia="x-none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  <w:sz w:val="20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32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18"/>
              <w:szCs w:val="22"/>
            </w:rPr>
          </w:pPr>
          <w:hyperlink w:anchor="_Toc230263276">
            <w:r>
              <w:rPr>
                <w:webHidden/>
                <w:rStyle w:val="Style11"/>
                <w:rFonts w:eastAsia="Calibri"/>
                <w:sz w:val="20"/>
                <w:lang w:eastAsia="x-none"/>
              </w:rPr>
              <w:t>2.1.1.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18"/>
                <w:szCs w:val="22"/>
              </w:rPr>
              <w:tab/>
            </w:r>
            <w:r>
              <w:rPr>
                <w:rStyle w:val="Style11"/>
                <w:rFonts w:eastAsia="Calibri"/>
                <w:sz w:val="20"/>
                <w:lang w:eastAsia="x-none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  <w:sz w:val="20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32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18"/>
              <w:szCs w:val="22"/>
            </w:rPr>
          </w:pPr>
          <w:hyperlink w:anchor="_Toc230263277">
            <w:r>
              <w:rPr>
                <w:webHidden/>
                <w:rStyle w:val="Style11"/>
                <w:rFonts w:eastAsia="Calibri"/>
                <w:sz w:val="20"/>
                <w:lang w:eastAsia="x-none"/>
              </w:rPr>
              <w:t>2.1.2.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18"/>
                <w:szCs w:val="22"/>
              </w:rPr>
              <w:tab/>
            </w:r>
            <w:r>
              <w:rPr>
                <w:rStyle w:val="Style11"/>
                <w:rFonts w:eastAsia="Calibri"/>
                <w:sz w:val="20"/>
                <w:lang w:eastAsia="x-none"/>
              </w:rPr>
              <w:t>Требования к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  <w:sz w:val="20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0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18"/>
              <w:szCs w:val="22"/>
            </w:rPr>
          </w:pPr>
          <w:hyperlink w:anchor="_Toc230263278">
            <w:r>
              <w:rPr>
                <w:webHidden/>
                <w:rStyle w:val="Style11"/>
                <w:rFonts w:eastAsia="Calibri"/>
                <w:iCs/>
                <w:caps/>
                <w:sz w:val="20"/>
                <w:lang w:eastAsia="x-none"/>
              </w:rPr>
              <w:t>2.2.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18"/>
                <w:szCs w:val="22"/>
              </w:rPr>
              <w:tab/>
            </w:r>
            <w:r>
              <w:rPr>
                <w:rStyle w:val="Style11"/>
                <w:rFonts w:eastAsia="Calibri"/>
                <w:sz w:val="20"/>
                <w:lang w:eastAsia="x-none"/>
              </w:rPr>
              <w:t>Требования</w:t>
            </w:r>
            <w:r>
              <w:rPr>
                <w:rStyle w:val="Style11"/>
                <w:rFonts w:eastAsia="Calibri"/>
                <w:iCs/>
                <w:sz w:val="20"/>
                <w:lang w:val="x-none" w:eastAsia="x-none"/>
              </w:rPr>
              <w:t xml:space="preserve"> к </w:t>
            </w:r>
            <w:r>
              <w:rPr>
                <w:rStyle w:val="Style11"/>
                <w:rFonts w:eastAsia="Calibri"/>
                <w:iCs/>
                <w:sz w:val="20"/>
                <w:lang w:eastAsia="x-none"/>
              </w:rPr>
              <w:t xml:space="preserve">качеству </w:t>
            </w:r>
            <w:r>
              <w:rPr>
                <w:rStyle w:val="Style11"/>
                <w:rFonts w:eastAsia="Calibri"/>
                <w:iCs/>
                <w:sz w:val="20"/>
                <w:lang w:val="x-none" w:eastAsia="x-none"/>
              </w:rPr>
              <w:t>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  <w:sz w:val="2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80" w:leader="none"/>
              <w:tab w:val="right" w:pos="10054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0263279">
            <w:r>
              <w:rPr>
                <w:webHidden/>
                <w:rStyle w:val="Style11"/>
                <w:rFonts w:eastAsia="Calibri"/>
                <w:iCs/>
                <w:lang w:val="x-none" w:eastAsia="x-none"/>
              </w:rPr>
              <w:t>3.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1"/>
                <w:rFonts w:eastAsia="Calibri"/>
                <w:b/>
                <w:iCs/>
                <w:lang w:val="x-none" w:eastAsia="x-none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_Toc230263279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1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10620" w:leader="dot"/>
        </w:tabs>
        <w:rPr>
          <w:rFonts w:ascii="Calibri" w:hAnsi="Calibri" w:eastAsia="" w:cs="" w:asciiTheme="minorHAnsi" w:cstheme="minorBidi" w:eastAsiaTheme="minorEastAsia" w:hAnsiTheme="minorHAnsi"/>
          <w:sz w:val="20"/>
          <w:szCs w:val="22"/>
        </w:rPr>
      </w:pPr>
      <w:r>
        <w:rPr>
          <w:rFonts w:eastAsia="" w:cs="" w:cstheme="minorBidi" w:eastAsiaTheme="minorEastAsia" w:ascii="Calibri" w:hAnsi="Calibri"/>
          <w:sz w:val="20"/>
          <w:szCs w:val="22"/>
        </w:rPr>
      </w:r>
    </w:p>
    <w:p>
      <w:pPr>
        <w:pStyle w:val="Normal"/>
        <w:spacing w:lineRule="auto" w:line="276" w:before="0" w:after="200"/>
        <w:rPr>
          <w:rFonts w:eastAsia="Calibri"/>
          <w:b/>
          <w:sz w:val="22"/>
          <w:lang w:eastAsia="x-none"/>
        </w:rPr>
      </w:pPr>
      <w:r>
        <w:rPr>
          <w:rFonts w:eastAsia="Calibri"/>
          <w:b/>
          <w:sz w:val="22"/>
          <w:lang w:eastAsia="x-none"/>
        </w:rPr>
      </w:r>
      <w:r>
        <w:br w:type="page"/>
      </w:r>
    </w:p>
    <w:p>
      <w:pPr>
        <w:pStyle w:val="ListParagraph"/>
        <w:keepNext w:val="true"/>
        <w:keepLines/>
        <w:numPr>
          <w:ilvl w:val="0"/>
          <w:numId w:val="2"/>
        </w:numPr>
        <w:spacing w:before="120" w:after="60"/>
        <w:contextualSpacing/>
        <w:jc w:val="center"/>
        <w:outlineLvl w:val="0"/>
        <w:rPr>
          <w:rFonts w:eastAsia="Calibri"/>
          <w:b/>
          <w:caps/>
          <w:lang w:eastAsia="x-none"/>
        </w:rPr>
      </w:pPr>
      <w:bookmarkStart w:id="0" w:name="_Toc230263270"/>
      <w:bookmarkStart w:id="1" w:name="_Toc230262083"/>
      <w:bookmarkStart w:id="2" w:name="_Toc51339692"/>
      <w:bookmarkStart w:id="3" w:name="_Toc75446566"/>
      <w:bookmarkStart w:id="4" w:name="_Toc157599445"/>
      <w:r>
        <w:rPr>
          <w:rFonts w:eastAsia="Calibri"/>
          <w:b/>
          <w:lang w:eastAsia="x-none"/>
        </w:rPr>
        <w:t>Общие сведения</w:t>
      </w:r>
      <w:bookmarkEnd w:id="0"/>
      <w:bookmarkEnd w:id="1"/>
      <w:bookmarkEnd w:id="2"/>
      <w:bookmarkEnd w:id="3"/>
      <w:bookmarkEnd w:id="4"/>
    </w:p>
    <w:p>
      <w:pPr>
        <w:pStyle w:val="Heading4"/>
        <w:numPr>
          <w:ilvl w:val="1"/>
          <w:numId w:val="2"/>
        </w:numPr>
        <w:rPr>
          <w:rFonts w:ascii="Times New Roman" w:hAnsi="Times New Roman" w:eastAsia="Calibri" w:cs="Times New Roman"/>
          <w:b/>
          <w:bCs/>
          <w:i w:val="false"/>
          <w:i w:val="false"/>
          <w:iCs w:val="false"/>
          <w:color w:val="auto"/>
          <w:lang w:val="x-none" w:eastAsia="x-none"/>
        </w:rPr>
      </w:pPr>
      <w:bookmarkStart w:id="5" w:name="_Toc230263271"/>
      <w:bookmarkStart w:id="6" w:name="_Toc230262084"/>
      <w:bookmarkStart w:id="7" w:name="_Toc46743505"/>
      <w:bookmarkStart w:id="8" w:name="_Toc75446567"/>
      <w:bookmarkStart w:id="9" w:name="_Toc190676984"/>
      <w:r>
        <w:rPr>
          <w:rFonts w:eastAsia="Calibri" w:cs="Times New Roman" w:ascii="Times New Roman" w:hAnsi="Times New Roman"/>
          <w:b/>
          <w:bCs/>
          <w:i w:val="false"/>
          <w:iCs w:val="false"/>
          <w:color w:val="auto"/>
          <w:lang w:val="x-none" w:eastAsia="x-none"/>
        </w:rPr>
        <w:t>Обозначения и сокращения</w:t>
      </w:r>
      <w:bookmarkEnd w:id="5"/>
      <w:bookmarkEnd w:id="6"/>
      <w:bookmarkEnd w:id="7"/>
      <w:bookmarkEnd w:id="8"/>
      <w:bookmarkEnd w:id="9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- технические требования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/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</w:rPr>
              <w:t>- гидроаккумулирующая электростанция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- нормативно-техническая документация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>
              <w:rPr/>
              <w:t>универсальный передаточный документ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Покупатель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>
              <w:rPr>
                <w:color w:val="000000"/>
              </w:rPr>
              <w:t xml:space="preserve"> Загорский филиал АО «Гидроремонт-ВКК» в п. Богородское</w:t>
            </w:r>
          </w:p>
        </w:tc>
      </w:tr>
    </w:tbl>
    <w:p>
      <w:pPr>
        <w:pStyle w:val="ListParagraph"/>
        <w:keepNext w:val="true"/>
        <w:numPr>
          <w:ilvl w:val="1"/>
          <w:numId w:val="2"/>
        </w:numPr>
        <w:spacing w:before="120" w:after="60"/>
        <w:contextualSpacing/>
        <w:outlineLvl w:val="2"/>
        <w:rPr>
          <w:rFonts w:eastAsia="Calibri"/>
          <w:b/>
          <w:lang w:eastAsia="x-none"/>
        </w:rPr>
      </w:pPr>
      <w:bookmarkStart w:id="10" w:name="_Toc230263272"/>
      <w:bookmarkStart w:id="11" w:name="_Toc230262085"/>
      <w:bookmarkStart w:id="12" w:name="_Toc46743506"/>
      <w:bookmarkStart w:id="13" w:name="_Toc75446568"/>
      <w:bookmarkStart w:id="14" w:name="_Toc157599446"/>
      <w:r>
        <w:rPr>
          <w:rFonts w:eastAsia="Calibri"/>
          <w:b/>
          <w:lang w:eastAsia="x-none"/>
        </w:rPr>
        <w:t>Наименование закупаемой продукции</w:t>
      </w:r>
      <w:bookmarkEnd w:id="10"/>
      <w:bookmarkEnd w:id="11"/>
      <w:bookmarkEnd w:id="12"/>
      <w:bookmarkEnd w:id="13"/>
      <w:bookmarkEnd w:id="14"/>
    </w:p>
    <w:p>
      <w:pPr>
        <w:pStyle w:val="Normal"/>
        <w:jc w:val="both"/>
        <w:rPr>
          <w:bCs/>
          <w:lang w:eastAsia="x-none"/>
        </w:rPr>
      </w:pPr>
      <w:r>
        <w:rPr>
          <w:bCs/>
          <w:lang w:eastAsia="x-none"/>
        </w:rPr>
        <w:t>ОКПД 2: 25.11.10.000 поставка вышки наблюдательной, бронированной для нужд Загорского филиала АО «Гидроремонт-ВКК» в п. Богородское (далее – Продукция).</w:t>
      </w:r>
    </w:p>
    <w:p>
      <w:pPr>
        <w:pStyle w:val="ListParagraph"/>
        <w:keepNext w:val="true"/>
        <w:numPr>
          <w:ilvl w:val="1"/>
          <w:numId w:val="2"/>
        </w:numPr>
        <w:spacing w:before="120" w:after="60"/>
        <w:contextualSpacing/>
        <w:outlineLvl w:val="2"/>
        <w:rPr>
          <w:rFonts w:eastAsia="Calibri"/>
          <w:b/>
          <w:lang w:eastAsia="x-none"/>
        </w:rPr>
      </w:pPr>
      <w:bookmarkStart w:id="15" w:name="_Toc230263273"/>
      <w:bookmarkStart w:id="16" w:name="_Toc230262086"/>
      <w:bookmarkStart w:id="17" w:name="_Toc75446569"/>
      <w:bookmarkStart w:id="18" w:name="_Toc157599447"/>
      <w:bookmarkStart w:id="19" w:name="_Toc46743507"/>
      <w:r>
        <w:rPr>
          <w:rFonts w:eastAsia="Calibri"/>
          <w:b/>
          <w:lang w:eastAsia="x-none"/>
        </w:rPr>
        <w:t xml:space="preserve">Цель </w:t>
      </w:r>
      <w:bookmarkEnd w:id="19"/>
      <w:r>
        <w:rPr>
          <w:rFonts w:eastAsia="Calibri"/>
          <w:b/>
          <w:lang w:eastAsia="x-none"/>
        </w:rPr>
        <w:t>использования закупаемой продукции</w:t>
      </w:r>
      <w:bookmarkEnd w:id="15"/>
      <w:bookmarkEnd w:id="16"/>
      <w:bookmarkEnd w:id="17"/>
      <w:bookmarkEnd w:id="18"/>
      <w:r>
        <w:rPr>
          <w:rFonts w:eastAsia="Calibri"/>
          <w:b/>
          <w:lang w:eastAsia="x-none"/>
        </w:rPr>
        <w:t xml:space="preserve"> </w:t>
      </w:r>
    </w:p>
    <w:p>
      <w:pPr>
        <w:pStyle w:val="Normal"/>
        <w:jc w:val="both"/>
        <w:rPr/>
      </w:pPr>
      <w:r>
        <w:rPr>
          <w:bCs/>
          <w:color w:val="000000"/>
          <w:lang w:eastAsia="x-none"/>
        </w:rPr>
        <w:t>Продукция предназначена для выполнения ремонтных работ/замены оборудования</w:t>
      </w:r>
      <w:r>
        <w:rPr>
          <w:bCs/>
          <w:lang w:eastAsia="x-none"/>
        </w:rPr>
        <w:t xml:space="preserve">, в рамках исполнения заключаемого договора подряда </w:t>
      </w:r>
      <w:r>
        <w:rPr>
          <w:rFonts w:eastAsia="Calibri"/>
          <w:bCs/>
          <w:highlight w:val="yellow"/>
          <w:lang w:eastAsia="en-US"/>
        </w:rPr>
        <w:t>№ 1-РЕМ БЕЗ-2026-ЗагГАЭС</w:t>
      </w:r>
      <w:r>
        <w:rPr>
          <w:bCs/>
          <w:highlight w:val="yellow"/>
          <w:lang w:eastAsia="x-none"/>
        </w:rPr>
        <w:t xml:space="preserve"> «Текущий ремонт элементов КСБ (система сбора и обработки информации)»,</w:t>
      </w:r>
      <w:r>
        <w:rPr>
          <w:bCs/>
          <w:lang w:eastAsia="x-none"/>
        </w:rPr>
        <w:t xml:space="preserve"> заключаемого между </w:t>
      </w:r>
      <w:r>
        <w:rPr/>
        <w:t>ПАО «РусГидро»</w:t>
      </w:r>
      <w:r>
        <w:rPr>
          <w:bCs/>
          <w:lang w:eastAsia="x-none"/>
        </w:rPr>
        <w:t xml:space="preserve"> и АО «Гидроремонт-ВКК».  </w:t>
      </w:r>
    </w:p>
    <w:p>
      <w:pPr>
        <w:pStyle w:val="ListParagraph"/>
        <w:keepNext w:val="true"/>
        <w:keepLines/>
        <w:numPr>
          <w:ilvl w:val="0"/>
          <w:numId w:val="2"/>
        </w:numPr>
        <w:spacing w:before="120" w:after="60"/>
        <w:contextualSpacing/>
        <w:jc w:val="center"/>
        <w:outlineLvl w:val="0"/>
        <w:rPr>
          <w:rFonts w:eastAsia="Calibri"/>
          <w:b/>
          <w:iCs/>
          <w:caps/>
          <w:lang w:eastAsia="x-none"/>
        </w:rPr>
      </w:pPr>
      <w:bookmarkStart w:id="20" w:name="_Toc230263274"/>
      <w:bookmarkStart w:id="21" w:name="_Toc230262087"/>
      <w:bookmarkStart w:id="22" w:name="_Toc51339693"/>
      <w:bookmarkStart w:id="23" w:name="_Toc75446573"/>
      <w:bookmarkStart w:id="24" w:name="_Toc157599448"/>
      <w:bookmarkStart w:id="25" w:name="_Toc50125126"/>
      <w:bookmarkEnd w:id="25"/>
      <w:r>
        <w:rPr>
          <w:rFonts w:eastAsia="Calibri"/>
          <w:b/>
          <w:iCs/>
          <w:lang w:val="x-none" w:eastAsia="x-none"/>
        </w:rPr>
        <w:t>Требования к продукции</w:t>
      </w:r>
      <w:bookmarkEnd w:id="20"/>
      <w:bookmarkEnd w:id="21"/>
      <w:bookmarkEnd w:id="22"/>
      <w:bookmarkEnd w:id="23"/>
      <w:bookmarkEnd w:id="24"/>
    </w:p>
    <w:p>
      <w:pPr>
        <w:pStyle w:val="ListParagraph"/>
        <w:keepNext w:val="true"/>
        <w:numPr>
          <w:ilvl w:val="1"/>
          <w:numId w:val="2"/>
        </w:numPr>
        <w:spacing w:before="120" w:after="60"/>
        <w:contextualSpacing/>
        <w:outlineLvl w:val="2"/>
        <w:rPr>
          <w:rFonts w:eastAsia="Calibri"/>
          <w:b/>
          <w:lang w:eastAsia="x-none"/>
        </w:rPr>
      </w:pPr>
      <w:bookmarkStart w:id="26" w:name="_Toc230263275"/>
      <w:bookmarkStart w:id="27" w:name="_Toc230262088"/>
      <w:bookmarkStart w:id="28" w:name="_Toc75446574"/>
      <w:bookmarkStart w:id="29" w:name="_Toc157599449"/>
      <w:r>
        <w:rPr>
          <w:rFonts w:eastAsia="Calibri"/>
          <w:b/>
          <w:lang w:eastAsia="x-none"/>
        </w:rPr>
        <w:t>Требования к объемам и срокам поставки</w:t>
      </w:r>
      <w:bookmarkEnd w:id="26"/>
      <w:bookmarkEnd w:id="27"/>
      <w:bookmarkEnd w:id="28"/>
      <w:bookmarkEnd w:id="29"/>
    </w:p>
    <w:p>
      <w:pPr>
        <w:pStyle w:val="ListParagraph"/>
        <w:keepNext w:val="true"/>
        <w:numPr>
          <w:ilvl w:val="2"/>
          <w:numId w:val="2"/>
        </w:numPr>
        <w:spacing w:before="120" w:after="60"/>
        <w:contextualSpacing/>
        <w:outlineLvl w:val="2"/>
        <w:rPr>
          <w:rFonts w:eastAsia="Calibri"/>
          <w:b/>
          <w:lang w:eastAsia="x-none"/>
        </w:rPr>
      </w:pPr>
      <w:bookmarkStart w:id="30" w:name="_Toc230263276"/>
      <w:bookmarkStart w:id="31" w:name="_Toc230262089"/>
      <w:bookmarkStart w:id="32" w:name="_Toc157599450"/>
      <w:bookmarkStart w:id="33" w:name="_Toc75446575"/>
      <w:r>
        <w:rPr>
          <w:rFonts w:eastAsia="Calibri"/>
          <w:b/>
          <w:lang w:eastAsia="x-none"/>
        </w:rPr>
        <w:t>Перечень и объем закупаемой продукции</w:t>
      </w:r>
      <w:bookmarkEnd w:id="30"/>
      <w:bookmarkEnd w:id="31"/>
      <w:bookmarkEnd w:id="32"/>
      <w:bookmarkEnd w:id="33"/>
    </w:p>
    <w:p>
      <w:pPr>
        <w:pStyle w:val="Normal"/>
        <w:rPr>
          <w:rFonts w:eastAsia="Calibri"/>
          <w:b/>
        </w:rPr>
      </w:pPr>
      <w:r>
        <w:rPr>
          <w:rFonts w:eastAsia="Calibri"/>
          <w:b/>
        </w:rPr>
        <w:t>Таблица 1</w:t>
      </w:r>
      <w:r>
        <w:rPr>
          <w:b/>
        </w:rPr>
        <w:t xml:space="preserve"> </w:t>
      </w:r>
      <w:r>
        <w:rPr>
          <w:rFonts w:eastAsia="Calibri"/>
          <w:b/>
        </w:rPr>
        <w:t>Перечень и объем закупаемой продукции</w:t>
      </w:r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6"/>
        <w:gridCol w:w="6663"/>
        <w:gridCol w:w="1391"/>
        <w:gridCol w:w="1302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Наименование продукции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>
          <w:trHeight w:val="38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Вышка наблюдательная бронированная - ВНБР4.04.01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</w:t>
            </w:r>
          </w:p>
        </w:tc>
      </w:tr>
    </w:tbl>
    <w:p>
      <w:pPr>
        <w:pStyle w:val="Normal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ListParagraph"/>
        <w:keepNext w:val="true"/>
        <w:numPr>
          <w:ilvl w:val="2"/>
          <w:numId w:val="2"/>
        </w:numPr>
        <w:spacing w:before="120" w:after="60"/>
        <w:contextualSpacing/>
        <w:outlineLvl w:val="2"/>
        <w:rPr>
          <w:rFonts w:eastAsia="Calibri"/>
          <w:b/>
          <w:lang w:eastAsia="x-none"/>
        </w:rPr>
      </w:pPr>
      <w:bookmarkStart w:id="34" w:name="_Toc230263277"/>
      <w:bookmarkStart w:id="35" w:name="_Toc230262090"/>
      <w:bookmarkStart w:id="36" w:name="_Toc75446578"/>
      <w:bookmarkStart w:id="37" w:name="_Toc157599451"/>
      <w:bookmarkStart w:id="38" w:name="_Toc51339696"/>
      <w:r>
        <w:rPr>
          <w:rFonts w:eastAsia="Calibri"/>
          <w:b/>
          <w:lang w:eastAsia="x-none"/>
        </w:rPr>
        <w:t xml:space="preserve">Требования </w:t>
      </w:r>
      <w:bookmarkEnd w:id="38"/>
      <w:r>
        <w:rPr>
          <w:rFonts w:eastAsia="Calibri"/>
          <w:b/>
          <w:lang w:eastAsia="x-none"/>
        </w:rPr>
        <w:t>к срокам поставки продукции</w:t>
      </w:r>
      <w:bookmarkEnd w:id="34"/>
      <w:bookmarkEnd w:id="35"/>
      <w:bookmarkEnd w:id="36"/>
      <w:bookmarkEnd w:id="37"/>
    </w:p>
    <w:p>
      <w:pPr>
        <w:pStyle w:val="Normal"/>
        <w:rPr>
          <w:rFonts w:eastAsia="Calibri"/>
          <w:b/>
        </w:rPr>
      </w:pPr>
      <w:bookmarkStart w:id="39" w:name="_Toc75446579"/>
      <w:bookmarkStart w:id="40" w:name="_Toc50125127"/>
      <w:bookmarkStart w:id="41" w:name="_Toc51339697"/>
      <w:bookmarkStart w:id="42" w:name="_Toc50125126_Копия_1"/>
      <w:bookmarkEnd w:id="42"/>
      <w:r>
        <w:rPr>
          <w:rFonts w:eastAsia="Calibri"/>
          <w:b/>
        </w:rPr>
        <w:t xml:space="preserve">Таблица 2 </w:t>
      </w:r>
      <w:bookmarkStart w:id="43" w:name="_Hlk50465284"/>
      <w:r>
        <w:rPr>
          <w:rFonts w:eastAsia="Calibri"/>
          <w:b/>
        </w:rPr>
        <w:t xml:space="preserve">Требования по срокам </w:t>
      </w:r>
      <w:bookmarkEnd w:id="40"/>
      <w:bookmarkEnd w:id="41"/>
      <w:bookmarkEnd w:id="43"/>
      <w:r>
        <w:rPr>
          <w:rFonts w:eastAsia="Calibri"/>
          <w:b/>
        </w:rPr>
        <w:t>поставки продукции</w:t>
      </w:r>
      <w:bookmarkEnd w:id="39"/>
      <w:r>
        <w:rPr>
          <w:rFonts w:eastAsia="Calibri"/>
          <w:b/>
        </w:rPr>
        <w:t xml:space="preserve"> </w:t>
      </w:r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4209"/>
        <w:gridCol w:w="2458"/>
        <w:gridCol w:w="2693"/>
      </w:tblGrid>
      <w:tr>
        <w:trPr>
          <w:trHeight w:val="48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33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/>
            </w:pPr>
            <w:bookmarkStart w:id="44" w:name="_Toc46743510"/>
            <w:r>
              <w:rPr>
                <w:b/>
                <w:sz w:val="22"/>
                <w:szCs w:val="22"/>
              </w:rPr>
              <w:t>4</w:t>
            </w:r>
            <w:bookmarkEnd w:id="44"/>
          </w:p>
        </w:tc>
      </w:tr>
      <w:tr>
        <w:trPr>
          <w:trHeight w:val="72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lang w:eastAsia="x-none"/>
              </w:rPr>
              <w:t xml:space="preserve">ОКПД 2: 25.11.10.000 поставка вышки наблюдательной, бронированной для нужд Загорского филиала </w:t>
              <w:br/>
              <w:t>АО «Гидроремонт-ВКК» в п. Богородское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 w:themeColor="text1"/>
                <w:sz w:val="22"/>
                <w:szCs w:val="22"/>
              </w:rPr>
              <w:t>В течение 70 (семидесяти) календарных дней с даты заключения договора</w:t>
            </w:r>
            <w:r>
              <w:rPr/>
              <w:t>..</w:t>
            </w:r>
          </w:p>
        </w:tc>
      </w:tr>
    </w:tbl>
    <w:p>
      <w:pPr>
        <w:sectPr>
          <w:type w:val="nextPage"/>
          <w:pgSz w:w="11906" w:h="16838"/>
          <w:pgMar w:left="1276" w:right="566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ListParagraph"/>
        <w:keepNext w:val="true"/>
        <w:numPr>
          <w:ilvl w:val="1"/>
          <w:numId w:val="2"/>
        </w:numPr>
        <w:spacing w:before="120" w:after="60"/>
        <w:contextualSpacing/>
        <w:outlineLvl w:val="2"/>
        <w:rPr>
          <w:rFonts w:eastAsia="Calibri"/>
          <w:b/>
          <w:iCs/>
          <w:caps/>
          <w:lang w:eastAsia="x-none"/>
        </w:rPr>
      </w:pPr>
      <w:bookmarkStart w:id="45" w:name="_Toc230263278"/>
      <w:bookmarkStart w:id="46" w:name="_Toc230262091"/>
      <w:r>
        <w:rPr>
          <w:rFonts w:eastAsia="Calibri"/>
          <w:b/>
          <w:lang w:eastAsia="x-none"/>
        </w:rPr>
        <w:t>Требования</w:t>
      </w:r>
      <w:r>
        <w:rPr>
          <w:rFonts w:eastAsia="Calibri"/>
          <w:b/>
          <w:iCs/>
          <w:lang w:val="x-none" w:eastAsia="x-none"/>
        </w:rPr>
        <w:t xml:space="preserve"> к </w:t>
      </w:r>
      <w:r>
        <w:rPr>
          <w:rFonts w:eastAsia="Calibri"/>
          <w:b/>
          <w:iCs/>
          <w:lang w:eastAsia="x-none"/>
        </w:rPr>
        <w:t xml:space="preserve">качеству </w:t>
      </w:r>
      <w:r>
        <w:rPr>
          <w:rFonts w:eastAsia="Calibri"/>
          <w:b/>
          <w:iCs/>
          <w:lang w:val="x-none" w:eastAsia="x-none"/>
        </w:rPr>
        <w:t>продукции</w:t>
      </w:r>
      <w:bookmarkEnd w:id="45"/>
      <w:bookmarkEnd w:id="46"/>
    </w:p>
    <w:p>
      <w:pPr>
        <w:pStyle w:val="Normal"/>
        <w:jc w:val="both"/>
        <w:rPr>
          <w:bCs/>
          <w:lang w:eastAsia="x-none"/>
        </w:rPr>
      </w:pPr>
      <w:r>
        <w:rPr>
          <w:rFonts w:eastAsia="Calibri"/>
          <w:b/>
        </w:rPr>
        <w:t>Таблица 3 Требования к продукции (Поз. 1-4 Таблицы 1)</w:t>
      </w:r>
      <w:r>
        <w:rPr>
          <w:rFonts w:eastAsia="Calibri"/>
        </w:rPr>
        <w:t xml:space="preserve">: </w:t>
      </w:r>
      <w:r>
        <w:rPr>
          <w:bCs/>
          <w:lang w:eastAsia="x-none"/>
        </w:rPr>
        <w:t>ОКПД 2: 25.11.10.000 поставка вышки наблюдательной, бронированной нужд Загорского филиала АО «Гидроремонт-ВКК» в п. Богородское</w:t>
      </w:r>
    </w:p>
    <w:tbl>
      <w:tblPr>
        <w:tblW w:w="14893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"/>
        <w:gridCol w:w="994"/>
        <w:gridCol w:w="3260"/>
        <w:gridCol w:w="5671"/>
        <w:gridCol w:w="2408"/>
        <w:gridCol w:w="2554"/>
      </w:tblGrid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jc w:val="center"/>
              <w:rPr>
                <w:b/>
                <w:bCs/>
              </w:rPr>
            </w:pPr>
            <w:r>
              <w:rPr/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Требование заказчика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spacing w:before="60" w:after="60"/>
              <w:jc w:val="center"/>
              <w:rPr>
                <w:b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spacing w:before="60" w:after="60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spacing w:before="60" w:after="60"/>
              <w:ind w:lef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Cs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  <w:tab w:val="left" w:pos="462" w:leader="none"/>
                <w:tab w:val="left" w:pos="888" w:leader="none"/>
              </w:tabs>
              <w:spacing w:before="60" w:after="60"/>
              <w:ind w:left="0" w:hanging="0"/>
              <w:contextualSpacing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  <w:bCs/>
                <w:color w:val="000000"/>
                <w:lang w:eastAsia="x-none"/>
              </w:rPr>
              <w:t>Вышка наблюдательная бронированная - ВНБР4.04.01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Габаритные размеры: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291" w:hRule="atLeast"/>
        </w:trPr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Ширина 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4800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Длина 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4800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Общая высота (вместе с громоотводом) 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szCs w:val="24"/>
              </w:rPr>
              <w:t>8700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Кабина защитная бронированная Класс защиты по пулестойкости Бр4 по ГОСТ Р 51112-97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Ширина 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3000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Длина 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3000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 xml:space="preserve">Общая высота </w:t>
            </w:r>
            <w:r>
              <w:rPr/>
              <w:t>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szCs w:val="24"/>
              </w:rPr>
              <w:t>2300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Бронезащита стен, пола и двери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/>
              <w:t>Бр4 класс защиты по пулестойкости по ГОСТ Р51112-97.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highlight w:val="yellow"/>
              </w:rPr>
            </w:pPr>
            <w:r>
              <w:rPr>
                <w:bCs/>
              </w:rPr>
              <w:t xml:space="preserve">Дверь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/>
              <w:t xml:space="preserve">800х2000h мм оборудована доводчиком для дверей весом до 180 кг, механическим замком 4 </w:t>
            </w:r>
            <w:r>
              <w:rPr>
                <w:bCs/>
              </w:rPr>
              <w:t>класса взломостойкости с задвижкой.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/>
              <w:t xml:space="preserve">Окна поста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/>
              <w:t>Все окна с стеклами тонированными пленкой (коэффициент пропускания видимого света не менее 40%.)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  <w:r>
              <w:rPr/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 xml:space="preserve">Электропитание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220В, 50Гц.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  <w:r>
              <w:rPr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 xml:space="preserve">Вентиляция – приточно-вытяжная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  <w:r>
              <w:rPr/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 xml:space="preserve">Электрообогреватель </w:t>
            </w:r>
            <w:r>
              <w:rPr>
                <w:bCs/>
                <w:lang w:val="en-US"/>
              </w:rPr>
              <w:t>P</w:t>
            </w:r>
            <w:r>
              <w:rPr>
                <w:bCs/>
              </w:rPr>
              <w:t>=1 кВт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  <w:r>
              <w:rPr/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Телефон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  <w:r>
              <w:rPr/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Электрощиток с автоматами защиты и УЗО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  <w:r>
              <w:rPr/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Светильник потолочный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  <w:r>
              <w:rPr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 xml:space="preserve">Огнетушитель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highlight w:val="yellow"/>
              </w:rPr>
            </w:pPr>
            <w:r>
              <w:rPr>
                <w:bCs/>
              </w:rPr>
              <w:t>Розетки двойные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3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Розетка одинарная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Выключатель двойной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2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  <w:r>
              <w:rPr/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Выключатель одинарный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  <w:t>3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  <w:r>
              <w:rPr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 xml:space="preserve">Датчик пожарный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  <w:r>
              <w:rPr/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 xml:space="preserve">Кнопка тревожной сигнализации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  <w:r>
              <w:rPr/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Кондиционер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  <w:r>
              <w:rPr/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Кронштейн под кондиционер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  <w:r>
              <w:rPr/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Сирена С-40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  <w:r>
              <w:rPr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Прожектор поворотный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Прожектор светодиодный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Молниеприемник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комплект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Cs/>
              </w:rPr>
              <w:t>Отделка внутренняя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/>
              <w:t>утеплитель, панели СМЛО светлые тона, линолеум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1.3</w:t>
            </w:r>
            <w:r>
              <w:rPr/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" w:leader="none"/>
              </w:tabs>
              <w:rPr/>
            </w:pPr>
            <w:r>
              <w:rPr>
                <w:bCs/>
              </w:rPr>
              <w:t>Отделка наружная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bCs/>
                <w:lang w:val="en-US"/>
              </w:rPr>
              <w:t>RAL</w:t>
            </w:r>
            <w:r>
              <w:rPr>
                <w:bCs/>
              </w:rPr>
              <w:t xml:space="preserve"> </w:t>
            </w:r>
            <w:r>
              <w:rPr>
                <w:bCs/>
                <w:szCs w:val="24"/>
              </w:rPr>
              <w:t>7040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highlight w:val="yellow"/>
              </w:rPr>
            </w:pPr>
            <w:r>
              <w:rPr>
                <w:b/>
              </w:rPr>
              <w:t xml:space="preserve">Постамент состоящий из </w:t>
            </w:r>
            <w:r>
              <w:rPr>
                <w:b/>
              </w:rPr>
              <w:t>1</w:t>
            </w:r>
            <w:r>
              <w:rPr>
                <w:b/>
              </w:rPr>
              <w:t xml:space="preserve"> част</w:t>
            </w:r>
            <w:r>
              <w:rPr>
                <w:b/>
              </w:rPr>
              <w:t>и</w:t>
            </w:r>
            <w:r>
              <w:rPr>
                <w:b/>
              </w:rPr>
              <w:t>: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1.3</w:t>
            </w:r>
            <w:r>
              <w:rPr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Высота(мм)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2300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1.3</w:t>
            </w:r>
            <w:r>
              <w:rPr/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Ширина 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3000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1.3</w:t>
            </w:r>
            <w:r>
              <w:rPr/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Длина (мм)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3000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1.3</w:t>
            </w:r>
            <w:r>
              <w:rPr/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Лестница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Громкоговоритель с дальностью действия 800 м.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  <w:t>1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687" w:hRule="atLeast"/>
        </w:trPr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  <w:r>
              <w:rPr/>
              <w:t>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hd w:val="clear" w:color="auto" w:fill="FFFFFF"/>
              <w:spacing w:before="0" w:after="0"/>
              <w:rPr>
                <w:rFonts w:ascii="Times New Roman" w:hAnsi="Times New Roman" w:eastAsia="Calibri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Calibri" w:cs="Times New Roman"/>
                <w:bCs/>
                <w:color w:val="auto"/>
                <w:sz w:val="24"/>
                <w:szCs w:val="24"/>
              </w:rPr>
              <w:t>Площадка для крепления т</w:t>
            </w:r>
            <w:r>
              <w:rPr>
                <w:rFonts w:eastAsia="Calibri" w:cs="Times New Roman"/>
                <w:bCs/>
                <w:color w:val="auto"/>
                <w:sz w:val="24"/>
                <w:szCs w:val="24"/>
              </w:rPr>
              <w:t>урел</w:t>
            </w:r>
            <w:r>
              <w:rPr>
                <w:rFonts w:eastAsia="Calibri" w:cs="Times New Roman"/>
                <w:bCs/>
                <w:color w:val="auto"/>
                <w:sz w:val="24"/>
                <w:szCs w:val="24"/>
              </w:rPr>
              <w:t>и</w:t>
            </w:r>
            <w:r>
              <w:rPr>
                <w:rFonts w:eastAsia="Calibri" w:cs="Times New Roman"/>
                <w:bCs/>
                <w:color w:val="auto"/>
                <w:sz w:val="24"/>
                <w:szCs w:val="24"/>
              </w:rPr>
              <w:t xml:space="preserve"> для 2-х пулеметов типа ДПМ спаренная с возможностью ведения кругового огня </w:t>
            </w:r>
            <w:r>
              <w:rPr>
                <w:rFonts w:eastAsia="Calibri" w:cs="Times New Roman"/>
                <w:bCs/>
                <w:color w:val="auto"/>
                <w:sz w:val="24"/>
                <w:szCs w:val="24"/>
              </w:rPr>
              <w:t>на крыше</w:t>
            </w:r>
            <w:r>
              <w:rPr>
                <w:rFonts w:eastAsia="Calibri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  <w:t>4 шт.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687" w:hRule="atLeast"/>
        </w:trPr>
        <w:tc>
          <w:tcPr>
            <w:tcW w:w="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1.37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hd w:val="clear" w:color="auto" w:fill="FFFFFF"/>
              <w:spacing w:before="0" w:after="0"/>
              <w:rPr>
                <w:rFonts w:ascii="Times New Roman" w:hAnsi="Times New Roman" w:eastAsia="Calibri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Calibri" w:cs="Times New Roman"/>
                <w:bCs/>
                <w:color w:val="auto"/>
                <w:sz w:val="24"/>
                <w:szCs w:val="24"/>
              </w:rPr>
              <w:t>Ограждение, устанавливаемое по периметру крыши кабины защитной бронированной высотой 1,1 м.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bCs/>
                <w:szCs w:val="24"/>
              </w:rPr>
              <w:t>1 шт.</w:t>
            </w:r>
          </w:p>
        </w:tc>
        <w:tc>
          <w:tcPr>
            <w:tcW w:w="2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Загорский филиал АО «Гидроремонт-ВКК» в п. Богородское, 141342, РФ, Московская обл., р.п. Богородское д.100.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Только в рабочие дни с 9-00 до 11-00 и с 14-00 до 16-00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 </w:t>
            </w: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Расходы на доставку Продукции до склада покупателя, погрузку и разгрузку, стоимость упаковки и иные расходы, связанные с исполнением обязательств по Договору должны быть включены в стоимость предложения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 Поставщик обязан сообщить условия длительного хранения поставленной Продукции (допускается определение условий хранения в сопроводительных документах).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eastAsia="x-none"/>
              </w:rPr>
            </w:pPr>
            <w:r>
              <w:rPr>
                <w:lang w:eastAsia="x-none"/>
              </w:rPr>
              <w:t>На Продукцию устанавливается гарантийный срок, равный 36 (Тридцать шесть) месяцев, исчисляемый с даты подписания Сторонами товарной накладной по форме ТОРГ-12 или Универсального передаточного документа (УПД).</w:t>
            </w:r>
          </w:p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Одновременно с передачей Продукции Поставщик обязан передать Покупателю</w:t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оригиналы следующих относящихся к нему документов:</w:t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сертификат качества в 1 (одном) экз.;</w:t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накладная ТОРГ-12 (УПД) в 2 (двух) экз.;</w:t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</w:t>
            </w:r>
          </w:p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сертификат о происхождении товара и т.п.) в зависимости от номенклатуры поставляемой Продукции.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Прочие (дополнительные) требования к продукции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x-none"/>
              </w:rPr>
              <w:t>Продукция должна быть новой, ранее не использовавшейся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  <w:tab w:val="left" w:pos="462" w:leader="none"/>
                <w:tab w:val="left" w:pos="888" w:leader="none"/>
              </w:tabs>
              <w:ind w:left="0" w:hanging="0"/>
              <w:rPr/>
            </w:pPr>
            <w:r>
              <w:rPr/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lang w:eastAsia="x-none"/>
              </w:rPr>
              <w:t>Продукция должна соответствовать требованиям указанных стандартов, технических условий, чертежей.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ListParagraph"/>
        <w:keepNext w:val="true"/>
        <w:keepLines/>
        <w:numPr>
          <w:ilvl w:val="0"/>
          <w:numId w:val="2"/>
        </w:numPr>
        <w:spacing w:before="120" w:after="60"/>
        <w:contextualSpacing/>
        <w:jc w:val="center"/>
        <w:outlineLvl w:val="0"/>
        <w:rPr>
          <w:rFonts w:eastAsia="Calibri"/>
          <w:b/>
          <w:iCs/>
          <w:lang w:val="x-none" w:eastAsia="x-none"/>
        </w:rPr>
      </w:pPr>
      <w:bookmarkStart w:id="47" w:name="_Toc46743519"/>
      <w:bookmarkStart w:id="48" w:name="_Toc51339699"/>
      <w:bookmarkStart w:id="49" w:name="_Toc230263279"/>
      <w:bookmarkStart w:id="50" w:name="_Toc230262092"/>
      <w:bookmarkStart w:id="51" w:name="_Toc75446583"/>
      <w:bookmarkStart w:id="52" w:name="_Toc157599453"/>
      <w:bookmarkStart w:id="53" w:name="_Toc53393312"/>
      <w:r>
        <w:rPr>
          <w:rFonts w:eastAsia="Calibri"/>
          <w:b/>
          <w:iCs/>
          <w:lang w:val="x-none" w:eastAsia="x-none"/>
        </w:rPr>
        <w:t>Требования к документации по ценообразованию</w:t>
      </w:r>
      <w:bookmarkEnd w:id="53"/>
      <w:r>
        <w:rPr>
          <w:rFonts w:eastAsia="Calibri"/>
          <w:b/>
          <w:iCs/>
          <w:lang w:val="x-none" w:eastAsia="x-none"/>
        </w:rPr>
        <w:t xml:space="preserve"> на этапе закупки</w:t>
      </w:r>
      <w:bookmarkEnd w:id="49"/>
      <w:bookmarkEnd w:id="50"/>
      <w:bookmarkEnd w:id="51"/>
      <w:bookmarkEnd w:id="52"/>
    </w:p>
    <w:p>
      <w:pPr>
        <w:pStyle w:val="ListParagraph"/>
        <w:numPr>
          <w:ilvl w:val="1"/>
          <w:numId w:val="2"/>
        </w:numPr>
        <w:ind w:left="0" w:hanging="0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54" w:name="_Hlk88325985"/>
      <w:r>
        <w:rPr>
          <w:rFonts w:eastAsia="Calibri"/>
          <w:lang w:eastAsia="x-none"/>
        </w:rPr>
        <w:t>(с учетом прилагаемой к ней инструкции по заполнению)</w:t>
      </w:r>
      <w:bookmarkEnd w:id="54"/>
      <w:r>
        <w:rPr>
          <w:rFonts w:eastAsia="Calibri"/>
          <w:lang w:eastAsia="x-none"/>
        </w:rPr>
        <w:t>, приведенной в Документации о закупке.</w:t>
      </w:r>
      <w:bookmarkStart w:id="55" w:name="_Hlk88327292"/>
      <w:r>
        <w:rPr>
          <w:rFonts w:eastAsia="Calibri"/>
          <w:lang w:eastAsia="x-none"/>
        </w:rPr>
        <w:t xml:space="preserve"> </w:t>
      </w:r>
    </w:p>
    <w:p>
      <w:pPr>
        <w:pStyle w:val="ListParagraph"/>
        <w:numPr>
          <w:ilvl w:val="1"/>
          <w:numId w:val="2"/>
        </w:numPr>
        <w:ind w:left="0" w:hanging="0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>Дополнительные документы по ценообразованию</w:t>
      </w:r>
      <w:bookmarkEnd w:id="55"/>
      <w:r>
        <w:rPr>
          <w:rFonts w:eastAsia="Calibri"/>
          <w:lang w:eastAsia="x-none"/>
        </w:rPr>
        <w:t xml:space="preserve"> в состав заявки не включаются.</w:t>
      </w:r>
      <w:bookmarkEnd w:id="47"/>
      <w:bookmarkEnd w:id="48"/>
    </w:p>
    <w:p>
      <w:pPr>
        <w:pStyle w:val="ListParagraph"/>
        <w:ind w:left="0" w:hanging="0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ListParagraph"/>
        <w:ind w:left="0" w:hanging="0"/>
        <w:rPr>
          <w:rFonts w:eastAsia="Calibri"/>
          <w:lang w:eastAsia="x-none"/>
        </w:rPr>
      </w:pPr>
      <w:r>
        <w:rPr/>
      </w:r>
    </w:p>
    <w:sectPr>
      <w:type w:val="nextPage"/>
      <w:pgSz w:orient="landscape" w:w="16838" w:h="11906"/>
      <w:pgMar w:left="1134" w:right="1134" w:gutter="0" w:header="0" w:top="1276" w:footer="0" w:bottom="5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131"/>
        </w:tabs>
        <w:ind w:left="1355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509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611ac1"/>
    <w:pPr>
      <w:keepNext w:val="true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qFormat/>
    <w:rsid w:val="00611ac1"/>
    <w:pPr>
      <w:keepNext w:val="true"/>
      <w:jc w:val="center"/>
      <w:outlineLvl w:val="1"/>
    </w:pPr>
    <w:rPr>
      <w:sz w:val="28"/>
      <w:szCs w:val="20"/>
      <w:lang w:val="en-US" w:eastAsia="en-US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35f1e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b7eec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5" w:customStyle="1">
    <w:name w:val="Текст выноски Знак"/>
    <w:basedOn w:val="DefaultParagraphFont"/>
    <w:link w:val="BalloonText"/>
    <w:uiPriority w:val="99"/>
    <w:semiHidden/>
    <w:qFormat/>
    <w:rsid w:val="007436d2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Заголовок 1 Знак"/>
    <w:basedOn w:val="DefaultParagraphFont"/>
    <w:qFormat/>
    <w:rsid w:val="00611ac1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Заголовок 2 Знак"/>
    <w:basedOn w:val="DefaultParagraphFont"/>
    <w:qFormat/>
    <w:rsid w:val="00611ac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405e7"/>
    <w:rPr>
      <w:color w:val="0000FF" w:themeColor="hyperlink"/>
      <w:u w:val="single"/>
    </w:rPr>
  </w:style>
  <w:style w:type="character" w:styleId="Apple-converted-space" w:customStyle="1">
    <w:name w:val="apple-converted-space"/>
    <w:basedOn w:val="DefaultParagraphFont"/>
    <w:qFormat/>
    <w:rsid w:val="00543cd6"/>
    <w:rPr/>
  </w:style>
  <w:style w:type="character" w:styleId="4" w:customStyle="1">
    <w:name w:val="Заголовок 4 Знак"/>
    <w:basedOn w:val="DefaultParagraphFont"/>
    <w:uiPriority w:val="9"/>
    <w:semiHidden/>
    <w:qFormat/>
    <w:rsid w:val="009b7eec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135f1e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Style6" w:customStyle="1">
    <w:name w:val="Основной текст Знак"/>
    <w:basedOn w:val="DefaultParagraphFont"/>
    <w:qFormat/>
    <w:rsid w:val="0087552f"/>
    <w:rPr>
      <w:rFonts w:ascii="Times New Roman" w:hAnsi="Times New Roman" w:eastAsia="Times New Roman" w:cs="Times New Roman"/>
      <w:szCs w:val="20"/>
      <w:lang w:eastAsia="ru-RU"/>
    </w:rPr>
  </w:style>
  <w:style w:type="character" w:styleId="Style7" w:customStyle="1">
    <w:name w:val="Абзац списка Знак"/>
    <w:link w:val="ListParagraph"/>
    <w:uiPriority w:val="99"/>
    <w:qFormat/>
    <w:locked/>
    <w:rsid w:val="004d0468"/>
    <w:rPr>
      <w:rFonts w:ascii="Symbol" w:hAnsi="Symbol" w:eastAsia="Times New Roman" w:cs="Times New Roman"/>
      <w:sz w:val="26"/>
      <w:szCs w:val="26"/>
      <w:lang w:eastAsia="ru-RU"/>
    </w:rPr>
  </w:style>
  <w:style w:type="character" w:styleId="Style8" w:customStyle="1">
    <w:name w:val="комментарий"/>
    <w:qFormat/>
    <w:rsid w:val="004d0468"/>
    <w:rPr>
      <w:b/>
      <w:i/>
      <w:shd w:fill="FFFF99" w:val="clear"/>
    </w:rPr>
  </w:style>
  <w:style w:type="character" w:styleId="PlaceholderText">
    <w:name w:val="Placeholder Text"/>
    <w:basedOn w:val="DefaultParagraphFont"/>
    <w:uiPriority w:val="99"/>
    <w:semiHidden/>
    <w:qFormat/>
    <w:rsid w:val="00fb2cce"/>
    <w:rPr>
      <w:color w:val="80808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b7627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1b762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1b7627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1" w:customStyle="1">
    <w:name w:val="Ссылка указателя"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character" w:styleId="Style12" w:customStyle="1">
    <w:name w:val="Текст концевой сноски Знак"/>
    <w:basedOn w:val="DefaultParagraphFont"/>
    <w:qFormat/>
    <w:rsid w:val="00912c0a"/>
    <w:rPr/>
  </w:style>
  <w:style w:type="character" w:styleId="11" w:customStyle="1">
    <w:name w:val="Текст концевой сноски Знак1"/>
    <w:basedOn w:val="DefaultParagraphFont"/>
    <w:uiPriority w:val="99"/>
    <w:semiHidden/>
    <w:qFormat/>
    <w:rsid w:val="00912c0a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87552f"/>
    <w:pPr>
      <w:jc w:val="both"/>
    </w:pPr>
    <w:rPr>
      <w:sz w:val="22"/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1">
    <w:name w:val="index heading1"/>
    <w:basedOn w:val="Normal"/>
    <w:qFormat/>
    <w:pPr>
      <w:suppressLineNumbers/>
    </w:pPr>
    <w:rPr>
      <w:rFonts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NormalWeb">
    <w:name w:val="Normal (Web)"/>
    <w:basedOn w:val="Normal"/>
    <w:uiPriority w:val="99"/>
    <w:unhideWhenUsed/>
    <w:qFormat/>
    <w:rsid w:val="00c82289"/>
    <w:pPr>
      <w:spacing w:beforeAutospacing="1" w:afterAutospacing="1"/>
    </w:pPr>
    <w:rPr/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5"/>
    <w:uiPriority w:val="99"/>
    <w:semiHidden/>
    <w:unhideWhenUsed/>
    <w:qFormat/>
    <w:rsid w:val="007436d2"/>
    <w:pPr/>
    <w:rPr>
      <w:rFonts w:ascii="Tahoma" w:hAnsi="Tahoma" w:cs="Tahoma"/>
      <w:sz w:val="16"/>
      <w:szCs w:val="16"/>
    </w:rPr>
  </w:style>
  <w:style w:type="paragraph" w:styleId="Style15" w:customStyle="1">
    <w:name w:val="Таблица"/>
    <w:basedOn w:val="Normal"/>
    <w:uiPriority w:val="99"/>
    <w:qFormat/>
    <w:rsid w:val="004d0468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TOC1">
    <w:name w:val="TOC 1"/>
    <w:basedOn w:val="Normal"/>
    <w:next w:val="Normal"/>
    <w:autoRedefine/>
    <w:uiPriority w:val="39"/>
    <w:unhideWhenUsed/>
    <w:rsid w:val="00351623"/>
    <w:pPr>
      <w:spacing w:before="0" w:after="100"/>
    </w:pPr>
    <w:rPr/>
  </w:style>
  <w:style w:type="paragraph" w:styleId="TOC2">
    <w:name w:val="TOC 2"/>
    <w:basedOn w:val="Normal"/>
    <w:next w:val="Normal"/>
    <w:autoRedefine/>
    <w:uiPriority w:val="39"/>
    <w:unhideWhenUsed/>
    <w:rsid w:val="00351623"/>
    <w:pPr>
      <w:spacing w:before="0" w:after="100"/>
      <w:ind w:left="240" w:hanging="0"/>
    </w:pPr>
    <w:rPr/>
  </w:style>
  <w:style w:type="paragraph" w:styleId="TOC3">
    <w:name w:val="TOC 3"/>
    <w:basedOn w:val="Normal"/>
    <w:next w:val="Normal"/>
    <w:autoRedefine/>
    <w:uiPriority w:val="39"/>
    <w:unhideWhenUsed/>
    <w:rsid w:val="00351623"/>
    <w:pPr>
      <w:spacing w:before="0" w:after="100"/>
      <w:ind w:left="480" w:hanging="0"/>
    </w:pPr>
    <w:rPr/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1b762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1b7627"/>
    <w:pPr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9b4bd9"/>
    <w:pPr>
      <w:spacing w:before="0" w:after="100"/>
      <w:ind w:left="720" w:hanging="0"/>
    </w:pPr>
    <w:rPr/>
  </w:style>
  <w:style w:type="paragraph" w:styleId="Style16" w:customStyle="1">
    <w:name w:val="Содержимое таблицы"/>
    <w:basedOn w:val="Normal"/>
    <w:qFormat/>
    <w:rsid w:val="00b3276e"/>
    <w:pPr>
      <w:widowControl w:val="false"/>
      <w:suppressLineNumbers/>
      <w:spacing w:lineRule="auto" w:line="259" w:before="0" w:after="160"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IndexHeading">
    <w:name w:val="Index Heading"/>
    <w:basedOn w:val="Style13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754fb0"/>
    <w:pPr>
      <w:keepLines/>
      <w:suppressAutoHyphens w:val="false"/>
      <w:spacing w:lineRule="auto" w:line="259" w:before="240" w:after="0"/>
      <w:outlineLvl w:val="9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eastAsia="ru-RU"/>
    </w:rPr>
  </w:style>
  <w:style w:type="paragraph" w:styleId="EndnoteText">
    <w:name w:val="Endnote Text"/>
    <w:basedOn w:val="Normal"/>
    <w:link w:val="Style12"/>
    <w:rsid w:val="00912c0a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cb54fc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1" w:customStyle="1">
    <w:name w:val="WW8Num1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47700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27D43-68EB-47A5-BB3E-A0B3D149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AlterOffice/3.4.0.9$Linux_X86_64 LibreOffice_project/b8daf9e823b1a5463a2f48435ddc2e8696e7d4fc</Application>
  <AppVersion>15.0000</AppVersion>
  <Pages>8</Pages>
  <Words>1058</Words>
  <Characters>7072</Characters>
  <CharactersWithSpaces>7903</CharactersWithSpaces>
  <Paragraphs>231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2026-06-14T19:55:00Z</dcterms:created>
  <dc:creator>Егорушкин Яков Игоревич</dc:creator>
  <dc:description/>
  <dc:language>ru-RU</dc:language>
  <cp:lastModifiedBy/>
  <cp:lastPrinted>2024-03-27T13:51:00Z</cp:lastPrinted>
  <dcterms:modified xsi:type="dcterms:W3CDTF">2026-09-04T09:33:10Z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