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962" w:right="155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98562871"/>
      <w:bookmarkStart w:id="1" w:name="_Toc1375545841"/>
      <w:bookmarkStart w:id="2" w:name="_Toc1416967041"/>
      <w:bookmarkStart w:id="3" w:name="_Toc1398562871"/>
      <w:bookmarkStart w:id="4" w:name="_Toc1375545841"/>
      <w:bookmarkStart w:id="5" w:name="_Toc1416967041"/>
      <w:bookmarkEnd w:id="3"/>
      <w:bookmarkEnd w:id="4"/>
      <w:bookmarkEnd w:id="5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ОКПД 2: 45.20.21 Услуги по техническому обслуживанию и текущему ремонту не гарантийных транспортных средств ФОРВАРДЕР KOMATSU 875 8WD, ХАРВЕСТЕР KOMATSU 931 6WD в населенном пункте Южно-Сахалинск для нужд Южно-Сахалинского участка расчистки просек Дальневосточного филиала АО "ТК РусГидро"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b/>
          <w:sz w:val="26"/>
          <w:szCs w:val="26"/>
        </w:rPr>
      </w:pPr>
      <w:r>
        <w:rPr/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54643694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5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6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7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6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2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3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4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6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8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10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rStyle w:val="Style14"/>
                <w:vanish w:val="false"/>
              </w:rPr>
              <w:tab/>
            </w:r>
          </w:hyperlink>
          <w:r>
            <w:rPr/>
            <w:t>10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11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rStyle w:val="Style14"/>
                <w:vanish w:val="false"/>
              </w:rPr>
              <w:tab/>
            </w:r>
          </w:hyperlink>
          <w:r>
            <w:rPr/>
            <w:t>10</w:t>
          </w:r>
          <w:r>
            <w:rPr/>
            <w:fldChar w:fldCharType="end"/>
          </w:r>
        </w:p>
      </w:sdtContent>
    </w:sdt>
    <w:p>
      <w:pPr>
        <w:pStyle w:val="TOC1"/>
        <w:tabs>
          <w:tab w:val="clear" w:pos="708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</w:rPr>
      </w:r>
    </w:p>
    <w:p>
      <w:pPr>
        <w:pStyle w:val="Heading2"/>
        <w:numPr>
          <w:ilvl w:val="0"/>
          <w:numId w:val="0"/>
        </w:numPr>
        <w:ind w:hanging="0" w:left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hanging="0" w:left="0"/>
        <w:rPr>
          <w:caps/>
        </w:rPr>
      </w:pPr>
      <w:bookmarkStart w:id="6" w:name="_Toc54643694"/>
      <w:r>
        <w:rPr/>
        <w:t>Общие сведения</w:t>
      </w:r>
      <w:bookmarkEnd w:id="6"/>
    </w:p>
    <w:p>
      <w:pPr>
        <w:pStyle w:val="Heading4"/>
        <w:numPr>
          <w:ilvl w:val="1"/>
          <w:numId w:val="3"/>
        </w:numPr>
        <w:ind w:hanging="0" w:left="0"/>
        <w:rPr>
          <w:sz w:val="26"/>
          <w:szCs w:val="26"/>
        </w:rPr>
      </w:pPr>
      <w:bookmarkStart w:id="7" w:name="_Toc54643695"/>
      <w:bookmarkStart w:id="8" w:name="_Toc46743505"/>
      <w:r>
        <w:rPr>
          <w:sz w:val="26"/>
          <w:szCs w:val="26"/>
        </w:rPr>
        <w:t>Обозначения и сокращения</w:t>
      </w:r>
      <w:bookmarkEnd w:id="7"/>
      <w:bookmarkEnd w:id="8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</w:rPr>
            </w:pPr>
            <w:r>
              <w:rPr/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</w:rPr>
            </w:pPr>
            <w:r>
              <w:rPr/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  <w:shd w:fill="auto" w:val="clear"/>
              </w:rPr>
            </w:pPr>
            <w:r>
              <w:rPr/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  <w:shd w:fill="auto" w:val="clear"/>
              </w:rPr>
            </w:pPr>
            <w:r>
              <w:rPr/>
              <w:t>Технические требования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numPr>
          <w:ilvl w:val="1"/>
          <w:numId w:val="3"/>
        </w:numPr>
        <w:ind w:hanging="0" w:left="0"/>
        <w:rPr>
          <w:sz w:val="26"/>
          <w:szCs w:val="26"/>
        </w:rPr>
      </w:pPr>
      <w:bookmarkStart w:id="9" w:name="_Toc54643696"/>
      <w:bookmarkStart w:id="10" w:name="_Toc46743506"/>
      <w:r>
        <w:rPr>
          <w:sz w:val="26"/>
          <w:szCs w:val="26"/>
        </w:rPr>
        <w:t>Наименование закупаемой продукции</w:t>
      </w:r>
      <w:bookmarkEnd w:id="9"/>
      <w:bookmarkEnd w:id="10"/>
    </w:p>
    <w:p>
      <w:pPr>
        <w:pStyle w:val="Normal"/>
        <w:keepNext w:val="true"/>
        <w:keepLines/>
        <w:tabs>
          <w:tab w:val="clear" w:pos="708"/>
          <w:tab w:val="left" w:pos="426" w:leader="none"/>
        </w:tabs>
        <w:jc w:val="both"/>
        <w:rPr>
          <w:sz w:val="24"/>
          <w:szCs w:val="24"/>
        </w:rPr>
      </w:pPr>
      <w:r>
        <w:rPr>
          <w:color w:val="171717" w:themeColor="background2" w:themeShade="1a"/>
          <w:sz w:val="24"/>
          <w:szCs w:val="24"/>
          <w:shd w:fill="FFFFFF" w:val="clear"/>
        </w:rPr>
        <w:t>ОКПД 2: 45.20.21 Услуги по техническому обслуживанию и текущему ремонту не гарантийных транспортных средств ФОРВАРДЕР KOMATSU 875 8WD, ХАРВЕСТЕР KOMATSU 931 6WD в населенном пункте Южно-Сахалинск для нужд Южно-Сахалинского участка расчистки просек Дальневосточного филиала АО "ТК РусГидро"</w:t>
      </w:r>
      <w:bookmarkStart w:id="11" w:name="_Toc46743507"/>
    </w:p>
    <w:p>
      <w:pPr>
        <w:pStyle w:val="Heading4"/>
        <w:numPr>
          <w:ilvl w:val="1"/>
          <w:numId w:val="3"/>
        </w:numPr>
        <w:ind w:hanging="0" w:left="0"/>
        <w:rPr>
          <w:sz w:val="24"/>
          <w:szCs w:val="24"/>
        </w:rPr>
      </w:pPr>
      <w:bookmarkStart w:id="12" w:name="_Toc54643697"/>
      <w:r>
        <w:rPr>
          <w:sz w:val="24"/>
          <w:szCs w:val="24"/>
        </w:rPr>
        <w:t xml:space="preserve">Цель </w:t>
      </w:r>
      <w:bookmarkEnd w:id="11"/>
      <w:r>
        <w:rPr>
          <w:sz w:val="24"/>
          <w:szCs w:val="24"/>
        </w:rPr>
        <w:t xml:space="preserve">оказания услуг </w:t>
      </w:r>
      <w:bookmarkEnd w:id="12"/>
    </w:p>
    <w:p>
      <w:pPr>
        <w:pStyle w:val="Normal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x-none"/>
        </w:rPr>
        <w:t xml:space="preserve">     </w:t>
      </w:r>
      <w:r>
        <w:rPr>
          <w:rFonts w:eastAsia="Calibri"/>
          <w:bCs/>
          <w:sz w:val="24"/>
          <w:szCs w:val="24"/>
          <w:lang w:val="x-none" w:eastAsia="x-none"/>
        </w:rPr>
        <w:t xml:space="preserve">Проведение технического обслуживания, диагностических и сопутствующих работ с соблюдением «Правил оказания услуг (выполнения работ) по техническому обслуживанию и ремонту лесозаготовительной техники», утвержденных Постановлением Правительства РФ от 11.04.2001 № 290 (в действующей редакции), инструкций по эксплуатации транспортных средств, государственных стандартов к техническому состоянию </w:t>
      </w:r>
      <w:r>
        <w:rPr>
          <w:rFonts w:eastAsia="Calibri"/>
          <w:bCs/>
          <w:sz w:val="24"/>
          <w:szCs w:val="24"/>
          <w:lang w:eastAsia="x-none"/>
        </w:rPr>
        <w:t>ТС</w:t>
      </w:r>
      <w:r>
        <w:rPr>
          <w:rFonts w:eastAsia="Calibri"/>
          <w:bCs/>
          <w:sz w:val="24"/>
          <w:szCs w:val="24"/>
          <w:lang w:val="x-none" w:eastAsia="x-none"/>
        </w:rPr>
        <w:t>, с целью поддержания надлежащего технического состояния.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6"/>
          <w:szCs w:val="26"/>
        </w:rPr>
      </w:pPr>
      <w:r>
        <w:rPr>
          <w:b w:val="false"/>
          <w:bCs/>
          <w:i w:val="false"/>
          <w:sz w:val="26"/>
          <w:szCs w:val="26"/>
        </w:rPr>
      </w:r>
    </w:p>
    <w:p>
      <w:pPr>
        <w:pStyle w:val="Heading1"/>
        <w:numPr>
          <w:ilvl w:val="0"/>
          <w:numId w:val="0"/>
        </w:numPr>
        <w:ind w:hanging="0" w:left="0"/>
        <w:rPr>
          <w:rStyle w:val="Style8"/>
          <w:b/>
          <w:i w:val="false"/>
          <w:i w:val="false"/>
          <w:sz w:val="26"/>
          <w:szCs w:val="26"/>
          <w:shd w:fill="auto" w:val="clear"/>
          <w:lang w:val="ru-RU"/>
        </w:rPr>
      </w:pPr>
      <w:bookmarkStart w:id="13" w:name="_Toc54643699"/>
      <w:r>
        <w:rPr>
          <w:sz w:val="26"/>
          <w:szCs w:val="26"/>
        </w:rPr>
        <w:t>Таблица 1. Перечень объектов заказчика</w:t>
      </w:r>
      <w:bookmarkEnd w:id="13"/>
    </w:p>
    <w:tbl>
      <w:tblPr>
        <w:tblW w:w="10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2864"/>
        <w:gridCol w:w="2126"/>
        <w:gridCol w:w="2977"/>
        <w:gridCol w:w="1560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Расположение объекта </w:t>
              <w:br/>
            </w:r>
            <w:r>
              <w:rPr>
                <w:i/>
                <w:iCs/>
                <w:sz w:val="26"/>
                <w:szCs w:val="26"/>
              </w:rPr>
              <w:t>(место оказания услуг)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>
        <w:trPr>
          <w:trHeight w:val="1023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color w:val="171717" w:themeColor="background2" w:themeShade="1a"/>
                <w:sz w:val="24"/>
                <w:szCs w:val="24"/>
                <w:shd w:fill="FFFFFF" w:val="clear"/>
              </w:rPr>
              <w:t xml:space="preserve">Услуги по техническому обслуживанию и текущему ремонту не гарантийного транспортного средства ФОРВАРДЕР KOMATSU 875 8WD,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Сахалинская область,   г.Южно-Сахалинск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  <w:shd w:fill="FFFFFF" w:val="clear"/>
              </w:rPr>
              <w:t>ФОРВАРДЕР  KOMATSU 875 8WD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  <w:shd w:fill="FFFFFF" w:val="clear"/>
              </w:rPr>
              <w:t xml:space="preserve">г.н. 27 ХА 1553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</w:r>
          </w:p>
        </w:tc>
      </w:tr>
      <w:tr>
        <w:trPr>
          <w:trHeight w:val="1023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  <w:shd w:fill="FFFFFF" w:val="clear"/>
              </w:rPr>
              <w:t>Услуги по техническому обслуживанию и текущему ремонту не гарантийного транспортного средства ХАРВЕСТЕР KOMATSU 931 6WD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Сахалинская область,  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г.Южно-Сахалинск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ХАРВЕСТЕР KOMATSU 931 6WD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г.н. 27 ХА 1556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</w:r>
          </w:p>
        </w:tc>
      </w:tr>
    </w:tbl>
    <w:p>
      <w:pPr>
        <w:pStyle w:val="Heading4"/>
        <w:numPr>
          <w:ilvl w:val="0"/>
          <w:numId w:val="0"/>
        </w:numPr>
        <w:ind w:hanging="0" w:left="432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6"/>
          <w:szCs w:val="26"/>
        </w:rPr>
      </w:pPr>
      <w:r>
        <w:rPr>
          <w:b w:val="false"/>
          <w:bCs/>
          <w:i w:val="false"/>
          <w:sz w:val="26"/>
          <w:szCs w:val="26"/>
        </w:rPr>
      </w:r>
      <w:bookmarkStart w:id="14" w:name="_Toc54643702"/>
      <w:bookmarkStart w:id="15" w:name="_Toc51339693"/>
      <w:bookmarkStart w:id="16" w:name="_Toc46743510"/>
      <w:bookmarkStart w:id="17" w:name="_Toc50125126"/>
      <w:bookmarkStart w:id="18" w:name="_Toc54643702"/>
      <w:bookmarkStart w:id="19" w:name="_Toc51339693"/>
      <w:bookmarkStart w:id="20" w:name="_Toc46743510"/>
      <w:bookmarkStart w:id="21" w:name="_Toc50125126"/>
      <w:bookmarkEnd w:id="20"/>
      <w:bookmarkEnd w:id="21"/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6"/>
          <w:szCs w:val="26"/>
        </w:rPr>
      </w:pPr>
      <w:r>
        <w:rPr>
          <w:b w:val="false"/>
          <w:bCs/>
          <w:i w:val="false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6"/>
          <w:szCs w:val="26"/>
        </w:rPr>
      </w:pPr>
      <w:r>
        <w:rPr>
          <w:b w:val="false"/>
          <w:bCs/>
          <w:i w:val="false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6"/>
          <w:szCs w:val="26"/>
        </w:rPr>
      </w:pPr>
      <w:r>
        <w:rPr>
          <w:b w:val="false"/>
          <w:bCs/>
          <w:i w:val="false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6"/>
          <w:szCs w:val="26"/>
        </w:rPr>
      </w:pPr>
      <w:r>
        <w:rPr>
          <w:b w:val="false"/>
          <w:bCs/>
          <w:i w:val="false"/>
          <w:sz w:val="26"/>
          <w:szCs w:val="26"/>
        </w:rPr>
      </w:r>
    </w:p>
    <w:p>
      <w:pPr>
        <w:pStyle w:val="Heading1"/>
        <w:numPr>
          <w:ilvl w:val="0"/>
          <w:numId w:val="3"/>
        </w:numPr>
        <w:ind w:hanging="0" w:left="0"/>
        <w:jc w:val="center"/>
        <w:rPr>
          <w:caps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Требования</w:t>
      </w:r>
      <w:r>
        <w:rPr>
          <w:sz w:val="26"/>
          <w:szCs w:val="26"/>
        </w:rPr>
        <w:t xml:space="preserve"> к продукции</w:t>
      </w:r>
      <w:bookmarkEnd w:id="18"/>
      <w:bookmarkEnd w:id="19"/>
    </w:p>
    <w:p>
      <w:pPr>
        <w:pStyle w:val="Heading4"/>
        <w:numPr>
          <w:ilvl w:val="1"/>
          <w:numId w:val="3"/>
        </w:numPr>
        <w:ind w:hanging="0" w:left="0"/>
        <w:rPr>
          <w:sz w:val="26"/>
          <w:szCs w:val="26"/>
        </w:rPr>
      </w:pPr>
      <w:bookmarkStart w:id="22" w:name="_Toc54643703"/>
      <w:r>
        <w:rPr>
          <w:sz w:val="26"/>
          <w:szCs w:val="26"/>
        </w:rPr>
        <w:t xml:space="preserve">Требования к объемам и срокам </w:t>
      </w:r>
      <w:r>
        <w:rPr>
          <w:sz w:val="26"/>
          <w:szCs w:val="26"/>
          <w:lang w:val="ru-RU"/>
        </w:rPr>
        <w:t>оказания услуг</w:t>
      </w:r>
      <w:bookmarkEnd w:id="22"/>
    </w:p>
    <w:p>
      <w:pPr>
        <w:pStyle w:val="Heading3"/>
        <w:numPr>
          <w:ilvl w:val="2"/>
          <w:numId w:val="3"/>
        </w:numPr>
        <w:ind w:hanging="0" w:left="0"/>
        <w:rPr>
          <w:sz w:val="26"/>
          <w:szCs w:val="26"/>
        </w:rPr>
      </w:pPr>
      <w:bookmarkStart w:id="23" w:name="_Toc54643704"/>
      <w:r>
        <w:rPr>
          <w:sz w:val="26"/>
          <w:szCs w:val="26"/>
        </w:rPr>
        <w:t>Требования к перечню и объему услуг</w:t>
      </w:r>
      <w:bookmarkEnd w:id="23"/>
    </w:p>
    <w:p>
      <w:pPr>
        <w:pStyle w:val="Heading1"/>
        <w:numPr>
          <w:ilvl w:val="0"/>
          <w:numId w:val="0"/>
        </w:numPr>
        <w:ind w:hanging="0" w:left="0"/>
        <w:rPr>
          <w:sz w:val="26"/>
          <w:szCs w:val="26"/>
        </w:rPr>
      </w:pPr>
      <w:bookmarkStart w:id="24" w:name="_Toc54643705"/>
      <w:bookmarkStart w:id="25" w:name="_Toc51339695"/>
      <w:r>
        <w:rPr>
          <w:sz w:val="26"/>
          <w:szCs w:val="26"/>
        </w:rPr>
        <w:t xml:space="preserve">Таблица 2. Перечень </w:t>
      </w:r>
      <w:bookmarkEnd w:id="25"/>
      <w:r>
        <w:rPr>
          <w:sz w:val="26"/>
          <w:szCs w:val="26"/>
        </w:rPr>
        <w:t>и объем оказываемых услуг</w:t>
      </w:r>
      <w:bookmarkEnd w:id="24"/>
    </w:p>
    <w:tbl>
      <w:tblPr>
        <w:tblW w:w="952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52"/>
        <w:gridCol w:w="6395"/>
        <w:gridCol w:w="1039"/>
        <w:gridCol w:w="1436"/>
      </w:tblGrid>
      <w:tr>
        <w:trPr>
          <w:trHeight w:val="785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 / этапа услуг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Количество*</w:t>
            </w:r>
          </w:p>
        </w:tc>
      </w:tr>
      <w:tr>
        <w:trPr>
          <w:trHeight w:val="179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1. ФОРВАРДЕР  KOMATSU 875 8WD;</w:t>
            </w:r>
            <w:r>
              <w:rPr>
                <w:sz w:val="22"/>
                <w:szCs w:val="22"/>
              </w:rPr>
              <w:t xml:space="preserve"> г.н.: 27 ХА 1553; 2017 г.в.</w:t>
            </w:r>
          </w:p>
        </w:tc>
      </w:tr>
      <w:tr>
        <w:trPr>
          <w:trHeight w:val="302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1.1.</w:t>
            </w:r>
          </w:p>
        </w:tc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ТО 500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38" w:hRule="atLeast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6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ТО 1000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28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1.3.</w:t>
            </w:r>
          </w:p>
        </w:tc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ремонт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чел/час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33" w:hRule="atLeast"/>
        </w:trPr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2.  </w:t>
            </w:r>
            <w:r>
              <w:rPr>
                <w:i/>
                <w:sz w:val="22"/>
                <w:szCs w:val="22"/>
              </w:rPr>
              <w:t>ХАРВЕСТЕР KOMATSU 931 6WD;</w:t>
            </w:r>
            <w:r>
              <w:rPr>
                <w:sz w:val="22"/>
                <w:szCs w:val="22"/>
              </w:rPr>
              <w:t xml:space="preserve"> г.н.: 27 ХА 1556; </w:t>
            </w:r>
            <w:bookmarkStart w:id="26" w:name="_GoBack"/>
            <w:bookmarkEnd w:id="26"/>
            <w:r>
              <w:rPr>
                <w:sz w:val="22"/>
                <w:szCs w:val="22"/>
              </w:rPr>
              <w:t>2017 г.в.</w:t>
            </w:r>
          </w:p>
        </w:tc>
      </w:tr>
      <w:tr>
        <w:trPr>
          <w:trHeight w:val="199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2.1.</w:t>
            </w:r>
          </w:p>
        </w:tc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ТО 500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2.2.</w:t>
            </w:r>
          </w:p>
        </w:tc>
        <w:tc>
          <w:tcPr>
            <w:tcW w:w="6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ТО 1000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229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2.3.</w:t>
            </w:r>
          </w:p>
        </w:tc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чел/час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</w:tr>
    </w:tbl>
    <w:p>
      <w:pPr>
        <w:pStyle w:val="Normal"/>
        <w:rPr>
          <w:i/>
          <w:i/>
          <w:iCs/>
          <w:sz w:val="18"/>
          <w:szCs w:val="18"/>
          <w:lang w:eastAsia="x-none"/>
        </w:rPr>
      </w:pPr>
      <w:r>
        <w:rPr>
          <w:i/>
          <w:iCs/>
          <w:sz w:val="18"/>
          <w:szCs w:val="18"/>
          <w:lang w:eastAsia="x-none"/>
        </w:rPr>
        <w:t>* Объем продукции является ориентировочным, Заказчик не несет ответственности за неполную выборку продукции на общую сумму договора.</w:t>
      </w:r>
    </w:p>
    <w:p>
      <w:pPr>
        <w:pStyle w:val="Normal"/>
        <w:rPr>
          <w:i/>
          <w:i/>
          <w:iCs/>
          <w:sz w:val="18"/>
          <w:szCs w:val="18"/>
          <w:lang w:eastAsia="x-none"/>
        </w:rPr>
      </w:pPr>
      <w:r>
        <w:rPr>
          <w:i/>
          <w:iCs/>
          <w:sz w:val="18"/>
          <w:szCs w:val="18"/>
          <w:lang w:eastAsia="x-none"/>
        </w:rPr>
        <w:t>В случае если в процессе оказания услуг будут выявлены дополнительные дефекты, требующие устранения, Исполнитель составляет предварительный заказ-наряд (дефектную ведомость) на ремонт, с указанием стоимости работ (услуг) и материалов, копия которого направляется для рассмотрения представителю Заказчика. После рассмотрения заказ-наряда (дефектной ведомости), Заказчиком в адрес Исполнителя направляется информация о согласии или отказе от оказания услуг.</w:t>
      </w:r>
    </w:p>
    <w:p>
      <w:pPr>
        <w:pStyle w:val="Heading3"/>
        <w:numPr>
          <w:ilvl w:val="0"/>
          <w:numId w:val="0"/>
        </w:numPr>
        <w:ind w:hanging="0" w:left="0"/>
        <w:rPr>
          <w:sz w:val="26"/>
          <w:szCs w:val="26"/>
        </w:rPr>
      </w:pPr>
      <w:r>
        <w:rPr>
          <w:sz w:val="26"/>
          <w:szCs w:val="26"/>
        </w:rPr>
      </w:r>
      <w:bookmarkStart w:id="27" w:name="_Toc54643706"/>
      <w:bookmarkStart w:id="28" w:name="_Toc54643706"/>
    </w:p>
    <w:p>
      <w:pPr>
        <w:pStyle w:val="Heading3"/>
        <w:numPr>
          <w:ilvl w:val="2"/>
          <w:numId w:val="3"/>
        </w:numPr>
        <w:ind w:hanging="0" w:left="0"/>
        <w:rPr>
          <w:sz w:val="26"/>
          <w:szCs w:val="26"/>
        </w:rPr>
      </w:pPr>
      <w:bookmarkStart w:id="29" w:name="_Toc51339696"/>
      <w:r>
        <w:rPr>
          <w:sz w:val="26"/>
          <w:szCs w:val="26"/>
        </w:rPr>
        <w:t xml:space="preserve">Требования </w:t>
      </w:r>
      <w:bookmarkEnd w:id="29"/>
      <w:r>
        <w:rPr>
          <w:sz w:val="26"/>
          <w:szCs w:val="26"/>
        </w:rPr>
        <w:t>к срокам оказания услуг</w:t>
      </w:r>
      <w:bookmarkEnd w:id="28"/>
    </w:p>
    <w:p>
      <w:pPr>
        <w:pStyle w:val="Heading1"/>
        <w:numPr>
          <w:ilvl w:val="0"/>
          <w:numId w:val="0"/>
        </w:numPr>
        <w:ind w:hanging="0" w:left="0"/>
        <w:rPr>
          <w:sz w:val="26"/>
          <w:szCs w:val="26"/>
          <w:lang w:val="ru-RU"/>
        </w:rPr>
      </w:pPr>
      <w:bookmarkStart w:id="30" w:name="_Toc54643707"/>
      <w:bookmarkStart w:id="31" w:name="_Toc51339697"/>
      <w:bookmarkStart w:id="32" w:name="_Toc50125127"/>
      <w:bookmarkStart w:id="33" w:name="_Toc501251261"/>
      <w:bookmarkEnd w:id="33"/>
      <w:r>
        <w:rPr>
          <w:sz w:val="26"/>
          <w:szCs w:val="26"/>
        </w:rPr>
        <w:t xml:space="preserve">Таблица </w:t>
      </w:r>
      <w:r>
        <w:rPr>
          <w:sz w:val="26"/>
          <w:szCs w:val="26"/>
          <w:lang w:val="ru-RU"/>
        </w:rPr>
        <w:t>3</w:t>
      </w:r>
      <w:r>
        <w:rPr>
          <w:sz w:val="26"/>
          <w:szCs w:val="26"/>
        </w:rPr>
        <w:t xml:space="preserve">. </w:t>
      </w:r>
      <w:bookmarkStart w:id="34" w:name="_Hlk50465284"/>
      <w:r>
        <w:rPr>
          <w:sz w:val="26"/>
          <w:szCs w:val="26"/>
        </w:rPr>
        <w:t xml:space="preserve">Требования </w:t>
      </w:r>
      <w:r>
        <w:rPr>
          <w:sz w:val="26"/>
          <w:szCs w:val="26"/>
          <w:lang w:val="ru-RU"/>
        </w:rPr>
        <w:t>к</w:t>
      </w:r>
      <w:r>
        <w:rPr>
          <w:sz w:val="26"/>
          <w:szCs w:val="26"/>
        </w:rPr>
        <w:t xml:space="preserve"> срокам </w:t>
      </w:r>
      <w:bookmarkEnd w:id="31"/>
      <w:bookmarkEnd w:id="32"/>
      <w:bookmarkEnd w:id="34"/>
      <w:r>
        <w:rPr>
          <w:sz w:val="26"/>
          <w:szCs w:val="26"/>
          <w:lang w:val="ru-RU"/>
        </w:rPr>
        <w:t>оказания услуг</w:t>
      </w:r>
      <w:bookmarkEnd w:id="30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3291"/>
        <w:gridCol w:w="2609"/>
        <w:gridCol w:w="2746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ОКПД 2: 45.20.21 Услуги по техническому обслуживанию и текущему ремонту не гарантийных транспортных средств ФОРВАРДЕР KOMATSU 875 8WD, ХАРВЕСТЕР KOMATSU 931 6WD в населенном пункте Южно-Сахалинск для нужд Южно-Сахалинского участка расчистки просек Дальневосточного филиала АО "ТК РусГидро"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даты заключения договора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</w:rPr>
              <w:t>7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4"/>
        <w:numPr>
          <w:ilvl w:val="0"/>
          <w:numId w:val="0"/>
        </w:numPr>
        <w:ind w:hanging="0" w:left="432"/>
        <w:rPr/>
      </w:pPr>
      <w:r>
        <w:rPr/>
      </w:r>
      <w:bookmarkStart w:id="35" w:name="_Toc54643709"/>
      <w:bookmarkStart w:id="36" w:name="_Toc50125131"/>
      <w:bookmarkStart w:id="37" w:name="_Toc51339698"/>
      <w:bookmarkStart w:id="38" w:name="_Toc54643708"/>
      <w:bookmarkStart w:id="39" w:name="_Toc467435101"/>
      <w:bookmarkStart w:id="40" w:name="_Toc54643709"/>
      <w:bookmarkStart w:id="41" w:name="_Toc50125131"/>
      <w:bookmarkStart w:id="42" w:name="_Toc51339698"/>
      <w:bookmarkStart w:id="43" w:name="_Toc54643708"/>
      <w:bookmarkStart w:id="44" w:name="_Toc467435101"/>
      <w:bookmarkEnd w:id="44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4"/>
        <w:numPr>
          <w:ilvl w:val="1"/>
          <w:numId w:val="3"/>
        </w:numPr>
        <w:ind w:hanging="0" w:left="0"/>
        <w:rPr>
          <w:sz w:val="26"/>
          <w:szCs w:val="26"/>
        </w:rPr>
      </w:pPr>
      <w:bookmarkStart w:id="45" w:name="_Toc46743511"/>
      <w:r>
        <w:rPr>
          <w:sz w:val="26"/>
          <w:szCs w:val="26"/>
        </w:rPr>
        <w:t xml:space="preserve">Требования к </w:t>
      </w:r>
      <w:bookmarkEnd w:id="45"/>
      <w:r>
        <w:rPr>
          <w:sz w:val="26"/>
          <w:szCs w:val="26"/>
          <w:lang w:val="ru-RU"/>
        </w:rPr>
        <w:t>качеству услуг</w:t>
      </w:r>
      <w:bookmarkEnd w:id="43"/>
    </w:p>
    <w:p>
      <w:pPr>
        <w:pStyle w:val="Heading1"/>
        <w:numPr>
          <w:ilvl w:val="0"/>
          <w:numId w:val="0"/>
        </w:numPr>
        <w:ind w:hanging="0" w:left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41"/>
      <w:bookmarkEnd w:id="42"/>
      <w:r>
        <w:rPr>
          <w:sz w:val="24"/>
          <w:szCs w:val="24"/>
          <w:lang w:val="ru-RU"/>
        </w:rPr>
        <w:t>качеству услуг</w:t>
      </w:r>
      <w:bookmarkEnd w:id="40"/>
      <w:r>
        <w:rPr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6946" w:leader="none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Наименование услуг/этапа услуг (позиция №1 Таблицы 2):</w:t>
      </w:r>
      <w:r>
        <w:rPr>
          <w:sz w:val="24"/>
          <w:szCs w:val="24"/>
        </w:rPr>
        <w:t xml:space="preserve"> ОКПД 2: 45.20.21 Услуги по техническому обслуживанию и текущему ремонту не гарантийных транспортных средств ФОРВАРДЕР KOMATSU 875 8WD, ХАРВЕСТЕР KOMATSU 931 6WD в населенном пункте Южно-Сахалинск для нужд Южно-Сахалинского участка расчистки просек Дальневосточного филиала АО "ТК РусГидро"</w:t>
      </w:r>
    </w:p>
    <w:tbl>
      <w:tblPr>
        <w:tblStyle w:val="af"/>
        <w:tblW w:w="1035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2117"/>
        <w:gridCol w:w="13"/>
        <w:gridCol w:w="2175"/>
        <w:gridCol w:w="1758"/>
        <w:gridCol w:w="1590"/>
        <w:gridCol w:w="1834"/>
        <w:gridCol w:w="4"/>
        <w:gridCol w:w="10"/>
      </w:tblGrid>
      <w:tr>
        <w:trPr>
          <w:trHeight w:val="551" w:hRule="atLeast"/>
        </w:trPr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130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17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34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8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8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  <w:tc>
          <w:tcPr>
            <w:tcW w:w="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626" w:hRule="atLeast"/>
        </w:trPr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0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7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5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3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bookmarkStart w:id="46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46"/>
          </w:p>
        </w:tc>
        <w:tc>
          <w:tcPr>
            <w:tcW w:w="213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1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4</w:t>
            </w:r>
          </w:p>
        </w:tc>
        <w:tc>
          <w:tcPr>
            <w:tcW w:w="15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5</w:t>
            </w:r>
          </w:p>
        </w:tc>
        <w:tc>
          <w:tcPr>
            <w:tcW w:w="183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6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hanging="0" w:left="360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9501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hanging="0" w:left="25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9501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hanging="0" w:right="19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1.1.1.</w:t>
            </w:r>
          </w:p>
        </w:tc>
        <w:tc>
          <w:tcPr>
            <w:tcW w:w="213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Порядок оказания услуг</w:t>
            </w:r>
          </w:p>
        </w:tc>
        <w:tc>
          <w:tcPr>
            <w:tcW w:w="21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по заявке Заказчика оказывает услуги по техническому обслуживанию ТС согласно Таблицы №2.</w:t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3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1.1.2.</w:t>
            </w:r>
          </w:p>
        </w:tc>
        <w:tc>
          <w:tcPr>
            <w:tcW w:w="213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проведения работ</w:t>
            </w:r>
          </w:p>
        </w:tc>
        <w:tc>
          <w:tcPr>
            <w:tcW w:w="21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Контрагент обязан обеспечить проведение ТО согласно установленным нормам и правилам процедуры технического обслуживания ТС, установленными заводом-изготовителем и правилами оказания услуг (выполнения работ) по техническому обслуживанию и ремонту автомототранспортных средств Российской Федерации Утвержденными Постановлением Правительства Российской Федерации от 11.04.2001 №  290</w:t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3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38" w:hRule="atLeast"/>
        </w:trPr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1.1.3.</w:t>
            </w:r>
          </w:p>
        </w:tc>
        <w:tc>
          <w:tcPr>
            <w:tcW w:w="213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обеспечению сохранности и комплектности ТС на период оказания услуг</w:t>
            </w:r>
          </w:p>
        </w:tc>
        <w:tc>
          <w:tcPr>
            <w:tcW w:w="217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Исполнитель обязан обеспечить сохранность и комплектность ТС Заказчика на период оказания Услуг</w:t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3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1039" w:hRule="atLeast"/>
        </w:trPr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1.1.4.</w:t>
            </w:r>
          </w:p>
        </w:tc>
        <w:tc>
          <w:tcPr>
            <w:tcW w:w="213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качеству оказания услуг</w:t>
            </w:r>
          </w:p>
        </w:tc>
        <w:tc>
          <w:tcPr>
            <w:tcW w:w="2175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hanging="0" w:left="0"/>
              <w:jc w:val="both"/>
              <w:outlineLvl w:val="2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  <w:t xml:space="preserve">Качество оказанных Услуг должно соответствовать нормативно-технической и технологической документации по техническому обслуживанию ТС.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3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1.1.5.</w:t>
            </w:r>
          </w:p>
        </w:tc>
        <w:tc>
          <w:tcPr>
            <w:tcW w:w="211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Требование к ТС после прохождения ТО </w:t>
            </w:r>
          </w:p>
        </w:tc>
        <w:tc>
          <w:tcPr>
            <w:tcW w:w="218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ТС после проведенного технического обслуживания должны удовлетворять требованиям ГОСТ 33997-2016 «Межгосударственный стандарт. Колесные транспортные средства. Требования к безопасности в эксплуатации и методы проверки» и Правила техники безопасности (ПТБ)</w:t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3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9501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>
          <w:trHeight w:val="3819" w:hRule="atLeast"/>
        </w:trPr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1.2.1</w:t>
            </w:r>
          </w:p>
        </w:tc>
        <w:tc>
          <w:tcPr>
            <w:tcW w:w="2130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оповещению Заказчика при возникновении ситуации которые могут привести к снижению безопасности эксплуатации ТС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извещать Заказчика о возникновении в ходе оказания Услуг новых обстоятельств технического состояния ТС, которые могут привести к снижению безопасности его эксплуатации</w:t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3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hanging="0" w:left="32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9501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1.3.1.</w:t>
            </w:r>
          </w:p>
        </w:tc>
        <w:tc>
          <w:tcPr>
            <w:tcW w:w="2130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характеристикам используемого оборудования и условиям его установки.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Исполнитель обязан оказать услуги с использованием современного, безопасного, эффективного оборудования, техники, инструментов, материалов и методов</w:t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3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1.3.2.</w:t>
            </w:r>
          </w:p>
        </w:tc>
        <w:tc>
          <w:tcPr>
            <w:tcW w:w="2130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предоставлению материалов и запасных частей необходимых для проведения технического обслуживания ТС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самостоятельно осуществляет закупку запчастей и материалов, необходимых для проведения технического обслуживания транспортных средств;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устанавливать сертифицированные запасные части. Исполнитель предъявляет по требованию Заказчика сертификаты качества используемых материалов.</w:t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3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77" w:hRule="atLeast"/>
        </w:trPr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1.4</w:t>
            </w:r>
          </w:p>
        </w:tc>
        <w:tc>
          <w:tcPr>
            <w:tcW w:w="9501" w:type="dxa"/>
            <w:gridSpan w:val="8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1.4.1</w:t>
            </w:r>
          </w:p>
        </w:tc>
        <w:tc>
          <w:tcPr>
            <w:tcW w:w="2130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обязан привлекать квалифицированный персонал в оказании услуг </w:t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3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9501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>
          <w:trHeight w:val="427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hanging="0" w:left="32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9501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>
          <w:trHeight w:val="639" w:hRule="atLeast"/>
        </w:trPr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2.1.1</w:t>
            </w:r>
          </w:p>
        </w:tc>
        <w:tc>
          <w:tcPr>
            <w:tcW w:w="430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на замененные в процессе обслуживания части, детали и механизмы должен составлять не менее гарантийного срока, установленного заводом-изготовителем</w:t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3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27" w:hRule="atLeast"/>
        </w:trPr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2.2.</w:t>
            </w:r>
          </w:p>
        </w:tc>
        <w:tc>
          <w:tcPr>
            <w:tcW w:w="9501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</w:tr>
      <w:tr>
        <w:trPr>
          <w:trHeight w:val="639" w:hRule="atLeast"/>
        </w:trPr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2.2.1.</w:t>
            </w:r>
          </w:p>
        </w:tc>
        <w:tc>
          <w:tcPr>
            <w:tcW w:w="430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ТС после проведения технического обслуживания должны удовлетворять требованиям Федерального закона от 10.12.1995 №196-ФЗ «О безопасности дорожного движения» </w:t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3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hanging="0" w:left="174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/>
                <w:kern w:val="0"/>
                <w:sz w:val="24"/>
                <w:szCs w:val="24"/>
                <w:lang w:val="ru-RU" w:eastAsia="ru-RU" w:bidi="ar-SA"/>
              </w:rPr>
              <w:t>2.3.</w:t>
            </w:r>
          </w:p>
        </w:tc>
        <w:tc>
          <w:tcPr>
            <w:tcW w:w="9501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2.2.1.</w:t>
            </w:r>
          </w:p>
        </w:tc>
        <w:tc>
          <w:tcPr>
            <w:tcW w:w="2130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Проверка качества оказанных услуг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результатов оказания услуг путем подписания с двух сторон Акта сдачи-приемки Услуг, выставленного Исполнителем</w:t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3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2.4.</w:t>
            </w:r>
          </w:p>
        </w:tc>
        <w:tc>
          <w:tcPr>
            <w:tcW w:w="9501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2.4.1.</w:t>
            </w:r>
          </w:p>
        </w:tc>
        <w:tc>
          <w:tcPr>
            <w:tcW w:w="213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Акт сдачи приемки оказанных услуг</w:t>
            </w:r>
          </w:p>
        </w:tc>
        <w:tc>
          <w:tcPr>
            <w:tcW w:w="21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Исполнитель передает Заказчику акт сдачи-приемки оказанных услуг в двух экземплярах.</w:t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3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2.4.2.</w:t>
            </w:r>
          </w:p>
        </w:tc>
        <w:tc>
          <w:tcPr>
            <w:tcW w:w="213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Счет на оплату</w:t>
            </w:r>
          </w:p>
        </w:tc>
        <w:tc>
          <w:tcPr>
            <w:tcW w:w="21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Исполнитель передает Заказчику счет на оплату после оказания услуги. </w:t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3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1645" w:hRule="atLeast"/>
        </w:trPr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hanging="0" w:left="-112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2.4.3.</w:t>
            </w:r>
          </w:p>
        </w:tc>
        <w:tc>
          <w:tcPr>
            <w:tcW w:w="213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Счет-фактура (если контрагент является плательщиком НДС)</w:t>
            </w:r>
          </w:p>
        </w:tc>
        <w:tc>
          <w:tcPr>
            <w:tcW w:w="21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Исполнитель передает счет-фактуру (если Исполнитель является плательщиком НДС)</w:t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3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hanging="0" w:left="174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9501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hanging="0" w:left="3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3.1.</w:t>
            </w:r>
          </w:p>
        </w:tc>
        <w:tc>
          <w:tcPr>
            <w:tcW w:w="4305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Гарантии на установленные узлы, агрегаты и запасные части согласно срокам, установленных заводом-изготовителем, а на оказанные услуги по ТО не менее 3 (трех) месяцев при условии эксплуатации транспортного средства согласно руководству по эксплуатации.</w:t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5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3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994" w:footer="0" w:bottom="1276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51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511a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93dc7"/>
    <w:pPr>
      <w:keepNext w:val="true"/>
      <w:numPr>
        <w:ilvl w:val="2"/>
        <w:numId w:val="3"/>
      </w:numPr>
      <w:ind w:hanging="0" w:left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93dc7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unhideWhenUsed/>
    <w:rsid w:val="001511a2"/>
    <w:rPr>
      <w:color w:val="954F72" w:themeColor="followedHyperlink"/>
      <w:u w:val="single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hanging="0" w:left="28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d64da"/>
    <w:pPr>
      <w:tabs>
        <w:tab w:val="clear" w:pos="708"/>
        <w:tab w:val="left" w:pos="1120" w:leader="none"/>
        <w:tab w:val="right" w:pos="9921" w:leader="none"/>
      </w:tabs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5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7234E-ACE3-464E-9C21-59AF15AA3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Application>AlterOffice/2026.2.0.0$Linux_X86_64 LibreOffice_project/bc4ef1adf80b36c7a6365f8ed6cbf29021361edd</Application>
  <AppVersion>15.0000</AppVersion>
  <Pages>8</Pages>
  <Words>1192</Words>
  <Characters>8092</Characters>
  <CharactersWithSpaces>9108</CharactersWithSpaces>
  <Paragraphs>209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2023-03-11T02:56:00Z</dcterms:created>
  <dc:creator>Быстров Олег Геннадьевич</dc:creator>
  <dc:description/>
  <dc:language>ru-RU</dc:language>
  <cp:lastModifiedBy>gribovsa@corp.gidroogk.com</cp:lastModifiedBy>
  <cp:lastPrinted>2024-09-10T15:34:37Z</cp:lastPrinted>
  <dcterms:modified xsi:type="dcterms:W3CDTF">2026-09-10T12:15:22Z</dcterms:modified>
  <cp:revision>35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