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header3.xml" ContentType="application/vnd.openxmlformats-officedocument.wordprocessingml.header+xml"/>
  <Override PartName="/word/_rels/document.xml.rels" ContentType="application/vnd.openxmlformats-package.relationships+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header4.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header7.xml" ContentType="application/vnd.openxmlformats-officedocument.wordprocessingml.header+xml"/>
  <Override PartName="/word/header6.xml" ContentType="application/vnd.openxmlformats-officedocument.wordprocessingml.header+xml"/>
  <Override PartName="/word/header5.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keepLines/>
        <w:ind w:left="5529" w:right="0" w:hanging="0"/>
        <w:jc w:val="right"/>
        <w:rPr>
          <w:bCs/>
        </w:rPr>
      </w:pPr>
      <w:r>
        <w:rPr>
          <w:bCs/>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w:r>
    </w:p>
    <w:p>
      <w:pPr>
        <w:pStyle w:val="Normal"/>
        <w:keepNext w:val="true"/>
        <w:keepLines/>
        <w:rPr>
          <w:sz w:val="26"/>
          <w:szCs w:val="26"/>
        </w:rPr>
      </w:pPr>
      <w:r>
        <w:rPr>
          <w:sz w:val="26"/>
          <w:szCs w:val="26"/>
        </w:rPr>
      </w:r>
    </w:p>
    <w:p>
      <w:pPr>
        <w:pStyle w:val="Normal"/>
        <w:keepNext w:val="true"/>
        <w:keepLines/>
        <w:jc w:val="center"/>
        <w:rPr>
          <w:sz w:val="26"/>
          <w:szCs w:val="26"/>
        </w:rPr>
      </w:pPr>
      <w:r>
        <w:rPr>
          <w:rFonts w:eastAsia="Calibri"/>
          <w:b/>
          <w:sz w:val="26"/>
          <w:szCs w:val="26"/>
        </w:rPr>
        <w:t>Технические требования на поставку МТР</w:t>
      </w:r>
    </w:p>
    <w:p>
      <w:pPr>
        <w:pStyle w:val="Normal"/>
        <w:keepNext w:val="true"/>
        <w:keepLines/>
        <w:jc w:val="center"/>
        <w:rPr>
          <w:rFonts w:eastAsia="Calibri"/>
          <w:b/>
          <w:i w:val="false"/>
          <w:i w:val="false"/>
          <w:iCs w:val="false"/>
          <w:sz w:val="26"/>
          <w:szCs w:val="26"/>
        </w:rPr>
      </w:pPr>
      <w:r>
        <w:rPr>
          <w:rFonts w:eastAsia="Calibri"/>
          <w:b/>
          <w:i w:val="false"/>
          <w:iCs w:val="false"/>
          <w:sz w:val="26"/>
          <w:szCs w:val="26"/>
        </w:rPr>
      </w:r>
    </w:p>
    <w:p>
      <w:pPr>
        <w:pStyle w:val="Normal"/>
        <w:keepNext w:val="true"/>
        <w:keepLines/>
        <w:jc w:val="center"/>
        <w:rPr>
          <w:rFonts w:eastAsia="Calibri"/>
          <w:b/>
          <w:i w:val="false"/>
          <w:i w:val="false"/>
          <w:iCs w:val="false"/>
          <w:sz w:val="26"/>
          <w:szCs w:val="26"/>
        </w:rPr>
      </w:pPr>
      <w:r>
        <w:rPr>
          <w:rFonts w:eastAsia="Calibri"/>
          <w:b/>
          <w:i w:val="false"/>
          <w:iCs w:val="false"/>
          <w:sz w:val="26"/>
          <w:szCs w:val="26"/>
        </w:rPr>
      </w:r>
    </w:p>
    <w:p>
      <w:pPr>
        <w:pStyle w:val="Normal"/>
        <w:jc w:val="center"/>
        <w:rPr>
          <w:sz w:val="26"/>
          <w:szCs w:val="26"/>
        </w:rPr>
      </w:pPr>
      <w:r>
        <w:rPr>
          <w:rFonts w:eastAsia="Calibri"/>
          <w:b/>
          <w:i w:val="false"/>
          <w:iCs w:val="false"/>
          <w:sz w:val="26"/>
          <w:szCs w:val="26"/>
        </w:rPr>
        <w:t>ОКПД2: 20.41.31 Поставка смывающих и обезвреживающих средств в населенные пункты Хабаровского, Приморского краев, Амурской, Магаданской, Сахалинской областей, Республики Саха (Якутия) для нужд Дальневосточного филиала АО "ТК РусГидро"</w:t>
      </w:r>
    </w:p>
    <w:p>
      <w:pPr>
        <w:pStyle w:val="Normal"/>
        <w:jc w:val="center"/>
        <w:rPr>
          <w:b/>
          <w:i/>
          <w:i/>
          <w:sz w:val="26"/>
          <w:szCs w:val="26"/>
        </w:rPr>
      </w:pPr>
      <w:r>
        <w:rPr>
          <w:b/>
          <w:i/>
          <w:sz w:val="26"/>
          <w:szCs w:val="26"/>
        </w:rPr>
      </w:r>
    </w:p>
    <w:p>
      <w:pPr>
        <w:pStyle w:val="Heading2"/>
        <w:widowControl w:val="false"/>
        <w:numPr>
          <w:ilvl w:val="1"/>
        </w:numPr>
        <w:suppressAutoHyphens w:val="true"/>
        <w:spacing w:lineRule="auto" w:line="240" w:before="0" w:after="0"/>
        <w:ind w:left="0" w:hanging="0"/>
        <w:contextualSpacing/>
        <w:jc w:val="center"/>
        <w:rPr>
          <w:b/>
          <w:bCs/>
          <w:sz w:val="26"/>
          <w:szCs w:val="26"/>
        </w:rPr>
      </w:pPr>
      <w:r>
        <w:rPr/>
      </w:r>
    </w:p>
    <w:p>
      <w:pPr>
        <w:pStyle w:val="Normal"/>
        <w:rPr>
          <w:b/>
          <w:i/>
          <w:i/>
          <w:sz w:val="26"/>
          <w:szCs w:val="26"/>
        </w:rPr>
      </w:pPr>
      <w:r>
        <w:rPr>
          <w:b/>
          <w:i/>
          <w:sz w:val="26"/>
          <w:szCs w:val="26"/>
        </w:rPr>
      </w:r>
      <w:r>
        <w:br w:type="page"/>
      </w:r>
    </w:p>
    <w:p>
      <w:pPr>
        <w:pStyle w:val="Normal"/>
        <w:jc w:val="center"/>
        <w:rPr>
          <w:b/>
        </w:rPr>
      </w:pPr>
      <w:r>
        <w:rPr>
          <w:b/>
        </w:rPr>
        <w:t>СОДЕРЖАНИЕ</w:t>
      </w:r>
    </w:p>
    <w:sdt>
      <w:sdtPr>
        <w:docPartObj>
          <w:docPartGallery w:val="Table of Contents"/>
          <w:docPartUnique w:val="true"/>
        </w:docPartObj>
      </w:sdtPr>
      <w:sdtContent>
        <w:p>
          <w:pPr>
            <w:pStyle w:val="TOC1"/>
            <w:tabs>
              <w:tab w:val="clear" w:pos="708"/>
              <w:tab w:val="left" w:pos="560" w:leader="none"/>
              <w:tab w:val="right" w:pos="9769" w:leader="dot"/>
            </w:tabs>
            <w:rPr>
              <w:rFonts w:ascii="Calibri" w:hAnsi="Calibri" w:eastAsia="" w:cs="" w:asciiTheme="minorHAnsi" w:cstheme="minorBidi" w:eastAsiaTheme="minorEastAsia" w:hAnsiTheme="minorHAnsi"/>
              <w:b w:val="false"/>
              <w:bCs w:val="false"/>
              <w:sz w:val="22"/>
              <w:szCs w:val="22"/>
            </w:rPr>
          </w:pPr>
          <w:r>
            <w:fldChar w:fldCharType="begin"/>
          </w:r>
          <w:r>
            <w:rPr>
              <w:webHidden/>
              <w:rStyle w:val="Style15"/>
              <w:vanish w:val="false"/>
            </w:rPr>
            <w:instrText xml:space="preserve"> TOC \z \o "1-4" \u \h</w:instrText>
          </w:r>
          <w:r>
            <w:rPr>
              <w:webHidden/>
              <w:rStyle w:val="Style15"/>
              <w:vanish w:val="false"/>
            </w:rPr>
            <w:fldChar w:fldCharType="separate"/>
          </w:r>
          <w:hyperlink w:anchor="_Toc162698174">
            <w:r>
              <w:rPr>
                <w:webHidden/>
                <w:rStyle w:val="Style15"/>
                <w:vanish w:val="false"/>
              </w:rPr>
              <w:t>1.</w:t>
            </w:r>
            <w:r>
              <w:rPr>
                <w:rStyle w:val="Style15"/>
                <w:rFonts w:eastAsia="" w:cs="" w:ascii="Calibri" w:hAnsi="Calibri" w:asciiTheme="minorHAnsi" w:cstheme="minorBidi" w:eastAsiaTheme="minorEastAsia" w:hAnsiTheme="minorHAnsi"/>
                <w:b w:val="false"/>
                <w:bCs w:val="false"/>
                <w:sz w:val="22"/>
                <w:szCs w:val="22"/>
              </w:rPr>
              <w:tab/>
            </w:r>
            <w:r>
              <w:rPr>
                <w:rStyle w:val="Style15"/>
              </w:rPr>
              <w:t>Общие сведения</w:t>
            </w:r>
            <w:r>
              <w:rPr>
                <w:webHidden/>
              </w:rPr>
              <w:fldChar w:fldCharType="begin"/>
            </w:r>
            <w:r>
              <w:rPr>
                <w:webHidden/>
              </w:rPr>
              <w:instrText xml:space="preserve">PAGEREF _Toc162698174 \h</w:instrText>
            </w:r>
            <w:r>
              <w:rPr>
                <w:webHidden/>
              </w:rPr>
              <w:fldChar w:fldCharType="separate"/>
            </w:r>
            <w:r>
              <w:rPr>
                <w:rStyle w:val="Style15"/>
                <w:vanish w:val="false"/>
              </w:rPr>
              <w:tab/>
              <w:t>3</w:t>
            </w:r>
            <w:r>
              <w:rPr>
                <w:webHidden/>
              </w:rPr>
              <w:fldChar w:fldCharType="end"/>
            </w:r>
          </w:hyperlink>
        </w:p>
        <w:p>
          <w:pPr>
            <w:pStyle w:val="TOC4"/>
            <w:tabs>
              <w:tab w:val="clear" w:pos="708"/>
              <w:tab w:val="left" w:pos="1120" w:leader="none"/>
              <w:tab w:val="right" w:pos="9769" w:leader="dot"/>
            </w:tabs>
            <w:rPr>
              <w:rFonts w:ascii="Calibri" w:hAnsi="Calibri" w:eastAsia="" w:cs="" w:asciiTheme="minorHAnsi" w:cstheme="minorBidi" w:eastAsiaTheme="minorEastAsia" w:hAnsiTheme="minorHAnsi"/>
              <w:sz w:val="22"/>
              <w:szCs w:val="22"/>
            </w:rPr>
          </w:pPr>
          <w:hyperlink w:anchor="_Toc162698175">
            <w:r>
              <w:rPr>
                <w:webHidden/>
                <w:rStyle w:val="Style15"/>
                <w:vanish w:val="false"/>
              </w:rPr>
              <w:t>1.1.</w:t>
            </w:r>
            <w:r>
              <w:rPr>
                <w:rStyle w:val="Style15"/>
                <w:rFonts w:eastAsia="" w:cs="" w:ascii="Calibri" w:hAnsi="Calibri" w:asciiTheme="minorHAnsi" w:cstheme="minorBidi" w:eastAsiaTheme="minorEastAsia" w:hAnsiTheme="minorHAnsi"/>
                <w:sz w:val="22"/>
                <w:szCs w:val="22"/>
              </w:rPr>
              <w:tab/>
            </w:r>
            <w:r>
              <w:rPr>
                <w:rStyle w:val="Style15"/>
              </w:rPr>
              <w:t>Наименование закупаемой продукции</w:t>
            </w:r>
            <w:r>
              <w:rPr>
                <w:webHidden/>
              </w:rPr>
              <w:fldChar w:fldCharType="begin"/>
            </w:r>
            <w:r>
              <w:rPr>
                <w:webHidden/>
              </w:rPr>
              <w:instrText xml:space="preserve">PAGEREF _Toc162698175 \h</w:instrText>
            </w:r>
            <w:r>
              <w:rPr>
                <w:webHidden/>
              </w:rPr>
              <w:fldChar w:fldCharType="separate"/>
            </w:r>
            <w:r>
              <w:rPr>
                <w:rStyle w:val="Style15"/>
                <w:vanish w:val="false"/>
              </w:rPr>
              <w:tab/>
              <w:t>3</w:t>
            </w:r>
            <w:r>
              <w:rPr>
                <w:webHidden/>
              </w:rPr>
              <w:fldChar w:fldCharType="end"/>
            </w:r>
          </w:hyperlink>
        </w:p>
        <w:p>
          <w:pPr>
            <w:pStyle w:val="TOC4"/>
            <w:tabs>
              <w:tab w:val="clear" w:pos="708"/>
              <w:tab w:val="left" w:pos="1120" w:leader="none"/>
              <w:tab w:val="right" w:pos="9769" w:leader="dot"/>
            </w:tabs>
            <w:rPr>
              <w:rFonts w:ascii="Calibri" w:hAnsi="Calibri" w:eastAsia="" w:cs="" w:asciiTheme="minorHAnsi" w:cstheme="minorBidi" w:eastAsiaTheme="minorEastAsia" w:hAnsiTheme="minorHAnsi"/>
              <w:sz w:val="22"/>
              <w:szCs w:val="22"/>
            </w:rPr>
          </w:pPr>
          <w:hyperlink w:anchor="_Toc162698176">
            <w:r>
              <w:rPr>
                <w:webHidden/>
                <w:rStyle w:val="Style15"/>
                <w:vanish w:val="false"/>
              </w:rPr>
              <w:t>1.2.</w:t>
            </w:r>
            <w:r>
              <w:rPr>
                <w:rStyle w:val="Style15"/>
                <w:rFonts w:eastAsia="" w:cs="" w:ascii="Calibri" w:hAnsi="Calibri" w:asciiTheme="minorHAnsi" w:cstheme="minorBidi" w:eastAsiaTheme="minorEastAsia" w:hAnsiTheme="minorHAnsi"/>
                <w:sz w:val="22"/>
                <w:szCs w:val="22"/>
              </w:rPr>
              <w:tab/>
            </w:r>
            <w:r>
              <w:rPr>
                <w:rStyle w:val="Style15"/>
              </w:rPr>
              <w:t>Цель использования закупаемой продукции</w:t>
            </w:r>
            <w:r>
              <w:rPr>
                <w:webHidden/>
              </w:rPr>
              <w:fldChar w:fldCharType="begin"/>
            </w:r>
            <w:r>
              <w:rPr>
                <w:webHidden/>
              </w:rPr>
              <w:instrText xml:space="preserve">PAGEREF _Toc162698176 \h</w:instrText>
            </w:r>
            <w:r>
              <w:rPr>
                <w:webHidden/>
              </w:rPr>
              <w:fldChar w:fldCharType="separate"/>
            </w:r>
            <w:r>
              <w:rPr>
                <w:rStyle w:val="Style15"/>
                <w:vanish w:val="false"/>
              </w:rPr>
              <w:tab/>
              <w:t>3</w:t>
            </w:r>
            <w:r>
              <w:rPr>
                <w:webHidden/>
              </w:rPr>
              <w:fldChar w:fldCharType="end"/>
            </w:r>
          </w:hyperlink>
        </w:p>
        <w:p>
          <w:pPr>
            <w:pStyle w:val="TOC4"/>
            <w:tabs>
              <w:tab w:val="clear" w:pos="708"/>
              <w:tab w:val="left" w:pos="1120" w:leader="none"/>
              <w:tab w:val="right" w:pos="9769" w:leader="dot"/>
            </w:tabs>
            <w:rPr>
              <w:rFonts w:ascii="Calibri" w:hAnsi="Calibri" w:eastAsia="" w:cs="" w:asciiTheme="minorHAnsi" w:cstheme="minorBidi" w:eastAsiaTheme="minorEastAsia" w:hAnsiTheme="minorHAnsi"/>
              <w:sz w:val="22"/>
              <w:szCs w:val="22"/>
            </w:rPr>
          </w:pPr>
          <w:hyperlink w:anchor="_Toc162698177">
            <w:r>
              <w:rPr>
                <w:webHidden/>
                <w:rStyle w:val="Style15"/>
                <w:vanish w:val="false"/>
              </w:rPr>
              <w:t>1.3.</w:t>
            </w:r>
            <w:r>
              <w:rPr>
                <w:rStyle w:val="Style15"/>
                <w:rFonts w:eastAsia="" w:cs="" w:ascii="Calibri" w:hAnsi="Calibri" w:asciiTheme="minorHAnsi" w:cstheme="minorBidi" w:eastAsiaTheme="minorEastAsia" w:hAnsiTheme="minorHAnsi"/>
                <w:sz w:val="22"/>
                <w:szCs w:val="22"/>
              </w:rPr>
              <w:tab/>
            </w:r>
            <w:r>
              <w:rPr>
                <w:rStyle w:val="Style15"/>
              </w:rPr>
              <w:t>Иные требования и сведения общего характера</w:t>
            </w:r>
            <w:r>
              <w:rPr>
                <w:webHidden/>
              </w:rPr>
              <w:fldChar w:fldCharType="begin"/>
            </w:r>
            <w:r>
              <w:rPr>
                <w:webHidden/>
              </w:rPr>
              <w:instrText xml:space="preserve">PAGEREF _Toc162698177 \h</w:instrText>
            </w:r>
            <w:r>
              <w:rPr>
                <w:webHidden/>
              </w:rPr>
              <w:fldChar w:fldCharType="separate"/>
            </w:r>
            <w:r>
              <w:rPr>
                <w:rStyle w:val="Style15"/>
                <w:vanish w:val="false"/>
              </w:rPr>
              <w:tab/>
              <w:t>3</w:t>
            </w:r>
            <w:r>
              <w:rPr>
                <w:webHidden/>
              </w:rPr>
              <w:fldChar w:fldCharType="end"/>
            </w:r>
          </w:hyperlink>
        </w:p>
        <w:p>
          <w:pPr>
            <w:pStyle w:val="TOC1"/>
            <w:tabs>
              <w:tab w:val="clear" w:pos="708"/>
              <w:tab w:val="right" w:pos="9769" w:leader="dot"/>
            </w:tabs>
            <w:rPr>
              <w:rFonts w:ascii="Calibri" w:hAnsi="Calibri" w:eastAsia="" w:cs="" w:asciiTheme="minorHAnsi" w:cstheme="minorBidi" w:eastAsiaTheme="minorEastAsia" w:hAnsiTheme="minorHAnsi"/>
              <w:b w:val="false"/>
              <w:bCs w:val="false"/>
              <w:sz w:val="22"/>
              <w:szCs w:val="22"/>
            </w:rPr>
          </w:pPr>
          <w:hyperlink w:anchor="_Toc162698178">
            <w:r>
              <w:rPr>
                <w:webHidden/>
              </w:rPr>
              <w:fldChar w:fldCharType="begin"/>
            </w:r>
            <w:r>
              <w:rPr>
                <w:webHidden/>
              </w:rPr>
              <w:instrText xml:space="preserve">PAGEREF _Toc162698178 \h</w:instrText>
            </w:r>
            <w:r>
              <w:rPr>
                <w:webHidden/>
              </w:rPr>
              <w:fldChar w:fldCharType="separate"/>
            </w:r>
            <w:r>
              <w:rPr>
                <w:webHidden/>
                <w:rStyle w:val="Style15"/>
                <w:vanish w:val="false"/>
              </w:rPr>
              <w:t>2. Требования к продукции</w:t>
              <w:tab/>
              <w:t>3</w:t>
            </w:r>
            <w:r>
              <w:rPr>
                <w:webHidden/>
              </w:rPr>
              <w:fldChar w:fldCharType="end"/>
            </w:r>
          </w:hyperlink>
        </w:p>
        <w:p>
          <w:pPr>
            <w:pStyle w:val="TOC4"/>
            <w:tabs>
              <w:tab w:val="clear" w:pos="708"/>
              <w:tab w:val="right" w:pos="9769" w:leader="dot"/>
            </w:tabs>
            <w:rPr>
              <w:rFonts w:ascii="Calibri" w:hAnsi="Calibri" w:eastAsia="" w:cs="" w:asciiTheme="minorHAnsi" w:cstheme="minorBidi" w:eastAsiaTheme="minorEastAsia" w:hAnsiTheme="minorHAnsi"/>
              <w:sz w:val="22"/>
              <w:szCs w:val="22"/>
            </w:rPr>
          </w:pPr>
          <w:hyperlink w:anchor="_Toc162698179">
            <w:r>
              <w:rPr>
                <w:webHidden/>
              </w:rPr>
              <w:fldChar w:fldCharType="begin"/>
            </w:r>
            <w:r>
              <w:rPr>
                <w:webHidden/>
              </w:rPr>
              <w:instrText xml:space="preserve">PAGEREF _Toc162698179 \h</w:instrText>
            </w:r>
            <w:r>
              <w:rPr>
                <w:webHidden/>
              </w:rPr>
              <w:fldChar w:fldCharType="separate"/>
            </w:r>
            <w:r>
              <w:rPr>
                <w:webHidden/>
                <w:rStyle w:val="Style15"/>
                <w:vanish w:val="false"/>
              </w:rPr>
              <w:t>2.1. Требования к объемам и срокам поставки</w:t>
              <w:tab/>
              <w:t>3</w:t>
            </w:r>
            <w:r>
              <w:rPr>
                <w:webHidden/>
              </w:rPr>
              <w:fldChar w:fldCharType="end"/>
            </w:r>
          </w:hyperlink>
        </w:p>
        <w:p>
          <w:pPr>
            <w:pStyle w:val="TOC3"/>
            <w:tabs>
              <w:tab w:val="clear" w:pos="708"/>
              <w:tab w:val="right" w:pos="9769" w:leader="dot"/>
            </w:tabs>
            <w:rPr>
              <w:rFonts w:ascii="Calibri" w:hAnsi="Calibri" w:eastAsia="" w:cs="" w:asciiTheme="minorHAnsi" w:cstheme="minorBidi" w:eastAsiaTheme="minorEastAsia" w:hAnsiTheme="minorHAnsi"/>
              <w:sz w:val="22"/>
              <w:szCs w:val="22"/>
            </w:rPr>
          </w:pPr>
          <w:r>
            <w:rPr>
              <w:vanish w:val="false"/>
            </w:rPr>
            <w:t xml:space="preserve">     </w:t>
          </w:r>
          <w:hyperlink w:anchor="_Toc162698180">
            <w:r>
              <w:rPr>
                <w:webHidden/>
              </w:rPr>
              <w:fldChar w:fldCharType="begin"/>
            </w:r>
            <w:r>
              <w:rPr>
                <w:webHidden/>
              </w:rPr>
              <w:instrText xml:space="preserve">PAGEREF _Toc162698180 \h</w:instrText>
            </w:r>
            <w:r>
              <w:rPr>
                <w:webHidden/>
              </w:rPr>
              <w:fldChar w:fldCharType="separate"/>
            </w:r>
            <w:r>
              <w:rPr>
                <w:webHidden/>
                <w:rStyle w:val="Style15"/>
                <w:vanish w:val="false"/>
              </w:rPr>
              <w:t>2.1.1. Перечень и объем закупаемой продукции</w:t>
              <w:tab/>
              <w:t>3</w:t>
            </w:r>
            <w:r>
              <w:rPr>
                <w:webHidden/>
              </w:rPr>
              <w:fldChar w:fldCharType="end"/>
            </w:r>
          </w:hyperlink>
        </w:p>
        <w:p>
          <w:pPr>
            <w:pStyle w:val="TOC1"/>
            <w:tabs>
              <w:tab w:val="clear" w:pos="708"/>
              <w:tab w:val="right" w:pos="9769" w:leader="dot"/>
            </w:tabs>
            <w:rPr>
              <w:rFonts w:ascii="Calibri" w:hAnsi="Calibri" w:eastAsia="" w:cs="" w:asciiTheme="minorHAnsi" w:cstheme="minorBidi" w:eastAsiaTheme="minorEastAsia" w:hAnsiTheme="minorHAnsi"/>
              <w:b w:val="false"/>
              <w:bCs w:val="false"/>
              <w:sz w:val="22"/>
              <w:szCs w:val="22"/>
            </w:rPr>
          </w:pPr>
          <w:hyperlink w:anchor="_Toc162698181">
            <w:r>
              <w:rPr>
                <w:webHidden/>
                <w:rStyle w:val="Style15"/>
                <w:vanish w:val="false"/>
              </w:rPr>
              <w:t>Таблица 1.1 Перечень</w:t>
            </w:r>
            <w:r>
              <w:rPr>
                <w:webHidden/>
              </w:rPr>
              <w:fldChar w:fldCharType="begin"/>
            </w:r>
            <w:r>
              <w:rPr>
                <w:webHidden/>
              </w:rPr>
              <w:instrText xml:space="preserve">PAGEREF _Toc162698181 \h</w:instrText>
            </w:r>
            <w:r>
              <w:rPr>
                <w:webHidden/>
              </w:rPr>
              <w:fldChar w:fldCharType="separate"/>
            </w:r>
            <w:r>
              <w:rPr>
                <w:rStyle w:val="Style15"/>
                <w:vanish w:val="false"/>
                <w:shd w:fill="auto" w:val="clear"/>
              </w:rPr>
              <w:t xml:space="preserve"> и объем закупаемой продукции</w:t>
              <w:tab/>
              <w:t>3</w:t>
            </w:r>
            <w:r>
              <w:rPr>
                <w:webHidden/>
              </w:rPr>
              <w:fldChar w:fldCharType="end"/>
            </w:r>
          </w:hyperlink>
        </w:p>
        <w:p>
          <w:pPr>
            <w:pStyle w:val="TOC3"/>
            <w:tabs>
              <w:tab w:val="clear" w:pos="708"/>
              <w:tab w:val="right" w:pos="9769" w:leader="dot"/>
            </w:tabs>
            <w:rPr/>
          </w:pPr>
          <w:r>
            <w:rPr>
              <w:vanish w:val="false"/>
              <w:shd w:fill="auto" w:val="clear"/>
            </w:rPr>
            <w:t xml:space="preserve">     </w:t>
          </w:r>
          <w:hyperlink w:anchor="_Toc162698182">
            <w:r>
              <w:rPr>
                <w:webHidden/>
                <w:rStyle w:val="Style15"/>
                <w:vanish w:val="false"/>
                <w:shd w:fill="auto" w:val="clear"/>
              </w:rPr>
              <w:t>2.1.2. Требования к срокам поставки продукции и оказания сопутствующих услуг</w:t>
              <w:tab/>
            </w:r>
          </w:hyperlink>
          <w:r>
            <w:rPr>
              <w:vanish w:val="false"/>
              <w:shd w:fill="auto" w:val="clear"/>
            </w:rPr>
            <w:t>4</w:t>
          </w:r>
        </w:p>
        <w:p>
          <w:pPr>
            <w:pStyle w:val="TOC1"/>
            <w:tabs>
              <w:tab w:val="clear" w:pos="708"/>
              <w:tab w:val="right" w:pos="9769" w:leader="dot"/>
            </w:tabs>
            <w:rPr/>
          </w:pPr>
          <w:hyperlink w:anchor="_Toc162698183">
            <w:r>
              <w:rPr>
                <w:webHidden/>
                <w:rStyle w:val="Style15"/>
                <w:vanish w:val="false"/>
                <w:shd w:fill="auto" w:val="clear"/>
              </w:rPr>
              <w:t>Таблица 2.1 Требования по срокам поставки продукции</w:t>
              <w:tab/>
            </w:r>
          </w:hyperlink>
          <w:r>
            <w:rPr>
              <w:vanish w:val="false"/>
              <w:shd w:fill="auto" w:val="clear"/>
            </w:rPr>
            <w:t>4</w:t>
          </w:r>
        </w:p>
        <w:p>
          <w:pPr>
            <w:pStyle w:val="TOC4"/>
            <w:tabs>
              <w:tab w:val="clear" w:pos="708"/>
              <w:tab w:val="right" w:pos="9769" w:leader="dot"/>
            </w:tabs>
            <w:rPr/>
          </w:pPr>
          <w:hyperlink w:anchor="_Toc162698184">
            <w:r>
              <w:rPr>
                <w:webHidden/>
                <w:rStyle w:val="Style15"/>
                <w:vanish w:val="false"/>
                <w:shd w:fill="auto" w:val="clear"/>
              </w:rPr>
              <w:t>2.2. Требования к качеству продукции</w:t>
              <w:tab/>
            </w:r>
          </w:hyperlink>
          <w:r>
            <w:rPr>
              <w:vanish w:val="false"/>
              <w:shd w:fill="auto" w:val="clear"/>
            </w:rPr>
            <w:t>5</w:t>
          </w:r>
        </w:p>
        <w:p>
          <w:pPr>
            <w:pStyle w:val="TOC1"/>
            <w:tabs>
              <w:tab w:val="clear" w:pos="708"/>
              <w:tab w:val="right" w:pos="9769" w:leader="dot"/>
            </w:tabs>
            <w:rPr/>
          </w:pPr>
          <w:hyperlink w:anchor="_Toc162698185">
            <w:r>
              <w:rPr>
                <w:webHidden/>
                <w:rStyle w:val="Style15"/>
                <w:vanish w:val="false"/>
                <w:shd w:fill="auto" w:val="clear"/>
              </w:rPr>
              <w:t>Таблица 3. Требования к продукции</w:t>
              <w:tab/>
            </w:r>
          </w:hyperlink>
          <w:r>
            <w:rPr>
              <w:vanish w:val="false"/>
              <w:shd w:fill="auto" w:val="clear"/>
            </w:rPr>
            <w:t>5</w:t>
          </w:r>
        </w:p>
        <w:p>
          <w:pPr>
            <w:pStyle w:val="TOC1"/>
            <w:tabs>
              <w:tab w:val="clear" w:pos="708"/>
              <w:tab w:val="right" w:pos="9769" w:leader="dot"/>
            </w:tabs>
            <w:rPr/>
          </w:pPr>
          <w:hyperlink w:anchor="_Toc162698187">
            <w:r>
              <w:rPr>
                <w:webHidden/>
                <w:rStyle w:val="Style15"/>
                <w:vanish w:val="false"/>
                <w:shd w:fill="auto" w:val="clear"/>
              </w:rPr>
              <w:t>3.Требования к документации по ценообразования на этапе закупки</w:t>
              <w:tab/>
              <w:t>1</w:t>
            </w:r>
          </w:hyperlink>
          <w:r>
            <w:rPr>
              <w:vanish w:val="false"/>
              <w:shd w:fill="auto" w:val="clear"/>
            </w:rPr>
            <w:t>1</w:t>
          </w:r>
        </w:p>
        <w:p>
          <w:pPr>
            <w:pStyle w:val="Normal"/>
            <w:tabs>
              <w:tab w:val="clear" w:pos="708"/>
              <w:tab w:val="right" w:pos="9769" w:leader="dot"/>
            </w:tabs>
            <w:rPr>
              <w:rFonts w:ascii="Times New Roman" w:hAnsi="Times New Roman" w:eastAsia="Times New Roman" w:cs="Calibri Light (Заголовки)"/>
              <w:b/>
              <w:bCs/>
              <w:vanish w:val="false"/>
              <w:color w:val="auto"/>
              <w:kern w:val="0"/>
              <w:sz w:val="24"/>
              <w:szCs w:val="24"/>
              <w:shd w:fill="auto" w:val="clear"/>
              <w:lang w:val="ru-RU" w:eastAsia="ru-RU" w:bidi="ar-SA"/>
            </w:rPr>
          </w:pPr>
          <w:r>
            <w:rPr>
              <w:rFonts w:eastAsia="Times New Roman" w:cs="Calibri Light (Заголовки)"/>
              <w:b/>
              <w:bCs/>
              <w:vanish w:val="false"/>
              <w:color w:val="000000"/>
              <w:kern w:val="0"/>
              <w:sz w:val="24"/>
              <w:szCs w:val="24"/>
              <w:shd w:fill="auto" w:val="clear"/>
              <w:lang w:val="ru-RU" w:eastAsia="ru-RU" w:bidi="ar-SA"/>
            </w:rPr>
            <w:t>4. Приложения. Приложение № 1 Распределение потребности по адресам поставки товара (ассортиментный перечень)……………………………………………………………..11</w:t>
          </w:r>
          <w:r>
            <w:rPr>
              <w:sz w:val="24"/>
              <w:b/>
              <w:kern w:val="0"/>
              <w:shd w:fill="auto" w:val="clear"/>
              <w:szCs w:val="24"/>
              <w:bCs/>
              <w:vanish w:val="false"/>
              <w:rFonts w:eastAsia="Times New Roman" w:cs="Calibri Light (Заголовки)"/>
              <w:color w:val="000000"/>
              <w:lang w:val="ru-RU" w:eastAsia="ru-RU" w:bidi="ar-SA"/>
            </w:rPr>
            <w:fldChar w:fldCharType="end"/>
          </w:r>
        </w:p>
      </w:sdtContent>
    </w:sdt>
    <w:p>
      <w:pPr>
        <w:pStyle w:val="Heading2"/>
        <w:numPr>
          <w:ilvl w:val="1"/>
        </w:numPr>
        <w:tabs>
          <w:tab w:val="clear" w:pos="708"/>
          <w:tab w:val="left" w:pos="709" w:leader="none"/>
        </w:tabs>
        <w:rPr>
          <w:highlight w:val="none"/>
          <w:shd w:fill="auto" w:val="clear"/>
        </w:rPr>
      </w:pPr>
      <w:r>
        <w:rPr>
          <w:shd w:fill="auto" w:val="clear"/>
        </w:rPr>
      </w:r>
    </w:p>
    <w:p>
      <w:pPr>
        <w:pStyle w:val="Normal"/>
        <w:keepNext w:val="true"/>
        <w:keepLines/>
        <w:jc w:val="center"/>
        <w:rPr>
          <w:rFonts w:eastAsia="Calibri"/>
          <w:b/>
          <w:i/>
          <w:i/>
          <w:sz w:val="24"/>
          <w:szCs w:val="24"/>
          <w:highlight w:val="none"/>
          <w:shd w:fill="auto" w:val="clear"/>
        </w:rPr>
      </w:pPr>
      <w:r>
        <w:rPr>
          <w:rFonts w:eastAsia="Calibri"/>
          <w:b/>
          <w:i/>
          <w:sz w:val="24"/>
          <w:szCs w:val="24"/>
          <w:shd w:fill="auto" w:val="clear"/>
        </w:rPr>
      </w:r>
      <w:r>
        <w:br w:type="page"/>
      </w:r>
    </w:p>
    <w:p>
      <w:pPr>
        <w:pStyle w:val="Heading1"/>
        <w:numPr>
          <w:ilvl w:val="0"/>
          <w:numId w:val="7"/>
        </w:numPr>
        <w:ind w:left="0" w:hanging="0"/>
        <w:rPr/>
      </w:pPr>
      <w:bookmarkStart w:id="0" w:name="_Toc162698174"/>
      <w:bookmarkStart w:id="1" w:name="_Toc51339692"/>
      <w:r>
        <w:rPr/>
        <w:t>Общие сведения</w:t>
      </w:r>
      <w:bookmarkEnd w:id="0"/>
      <w:bookmarkEnd w:id="1"/>
    </w:p>
    <w:p>
      <w:pPr>
        <w:pStyle w:val="Heading4"/>
        <w:numPr>
          <w:ilvl w:val="1"/>
          <w:numId w:val="7"/>
        </w:numPr>
        <w:ind w:left="0" w:hanging="0"/>
        <w:rPr/>
      </w:pPr>
      <w:bookmarkStart w:id="2" w:name="_Toc162698175"/>
      <w:bookmarkStart w:id="3" w:name="_Toc46743506"/>
      <w:r>
        <w:rPr/>
        <w:t>Наименование закупаемой продукции</w:t>
      </w:r>
      <w:bookmarkEnd w:id="2"/>
      <w:bookmarkEnd w:id="3"/>
    </w:p>
    <w:p>
      <w:pPr>
        <w:pStyle w:val="ListParagraph"/>
        <w:ind w:left="0" w:hanging="0"/>
        <w:jc w:val="both"/>
        <w:rPr>
          <w:bCs/>
          <w:sz w:val="28"/>
          <w:szCs w:val="28"/>
        </w:rPr>
      </w:pPr>
      <w:r>
        <w:rPr>
          <w:bCs/>
          <w:sz w:val="28"/>
          <w:szCs w:val="28"/>
        </w:rPr>
        <w:t>ОКПД2: 20.41.31 Поставка</w:t>
      </w:r>
      <w:r>
        <w:rPr>
          <w:rFonts w:eastAsia="Calibri" w:cs="Times New Roman"/>
          <w:bCs/>
          <w:color w:val="auto"/>
          <w:kern w:val="0"/>
          <w:sz w:val="28"/>
          <w:szCs w:val="28"/>
          <w:lang w:val="ru-RU" w:eastAsia="ru-RU" w:bidi="ar-SA"/>
        </w:rPr>
        <w:t xml:space="preserve"> смывающих и обезвреживающих средств в населенные пункты Хабаровского, Приморского краев, Амурской, Магаданской, Сахалинской областей, Республики Саха (Якутия) для нужд Дальневосточного филиала АО "ТК РусГидро"</w:t>
      </w:r>
    </w:p>
    <w:p>
      <w:pPr>
        <w:pStyle w:val="ListParagraph"/>
        <w:ind w:left="0" w:hanging="0"/>
        <w:jc w:val="both"/>
        <w:rPr>
          <w:b/>
          <w:bCs/>
          <w:sz w:val="28"/>
          <w:szCs w:val="28"/>
        </w:rPr>
      </w:pPr>
      <w:r>
        <w:rPr>
          <w:b/>
          <w:bCs/>
          <w:sz w:val="28"/>
          <w:szCs w:val="28"/>
        </w:rPr>
      </w:r>
    </w:p>
    <w:p>
      <w:pPr>
        <w:pStyle w:val="Heading4"/>
        <w:numPr>
          <w:ilvl w:val="1"/>
          <w:numId w:val="7"/>
        </w:numPr>
        <w:ind w:left="0" w:hanging="0"/>
        <w:rPr/>
      </w:pPr>
      <w:bookmarkStart w:id="4" w:name="_Toc162698176"/>
      <w:bookmarkStart w:id="5" w:name="_Toc46743507"/>
      <w:r>
        <w:rPr/>
        <w:t xml:space="preserve">Цель </w:t>
      </w:r>
      <w:bookmarkEnd w:id="5"/>
      <w:r>
        <w:rPr/>
        <w:t>использования закупаемой продукции</w:t>
      </w:r>
      <w:bookmarkEnd w:id="4"/>
      <w:r>
        <w:rPr/>
        <w:t xml:space="preserve">  </w:t>
      </w:r>
    </w:p>
    <w:p>
      <w:pPr>
        <w:pStyle w:val="ListParagraph"/>
        <w:tabs>
          <w:tab w:val="clear" w:pos="708"/>
          <w:tab w:val="left" w:pos="1276" w:leader="none"/>
        </w:tabs>
        <w:spacing w:lineRule="auto" w:line="276"/>
        <w:ind w:left="0" w:hanging="0"/>
        <w:jc w:val="both"/>
        <w:rPr>
          <w:bCs/>
          <w:sz w:val="28"/>
          <w:szCs w:val="28"/>
        </w:rPr>
      </w:pPr>
      <w:bookmarkStart w:id="6" w:name="_Toc46743510"/>
      <w:bookmarkStart w:id="7" w:name="_Toc50125126"/>
      <w:bookmarkEnd w:id="6"/>
      <w:bookmarkEnd w:id="7"/>
      <w:r>
        <w:rPr>
          <w:bCs/>
          <w:sz w:val="28"/>
          <w:szCs w:val="28"/>
        </w:rPr>
        <w:t xml:space="preserve">Целью закупки является обеспечение персонала Заказчика </w:t>
      </w:r>
      <w:r>
        <w:rPr>
          <w:color w:val="000000"/>
          <w:sz w:val="28"/>
          <w:szCs w:val="28"/>
        </w:rPr>
        <w:t>смывающими и обезвреживающими средствами</w:t>
      </w:r>
      <w:r>
        <w:rPr>
          <w:bCs/>
          <w:sz w:val="28"/>
          <w:szCs w:val="28"/>
        </w:rPr>
        <w:t>.</w:t>
      </w:r>
    </w:p>
    <w:p>
      <w:pPr>
        <w:pStyle w:val="ListParagraph"/>
        <w:ind w:left="709" w:hanging="0"/>
        <w:jc w:val="both"/>
        <w:rPr>
          <w:bCs/>
          <w:sz w:val="28"/>
          <w:szCs w:val="28"/>
        </w:rPr>
      </w:pPr>
      <w:r>
        <w:rPr>
          <w:bCs/>
          <w:sz w:val="28"/>
          <w:szCs w:val="28"/>
        </w:rPr>
      </w:r>
    </w:p>
    <w:p>
      <w:pPr>
        <w:pStyle w:val="Heading4"/>
        <w:numPr>
          <w:ilvl w:val="1"/>
          <w:numId w:val="7"/>
        </w:numPr>
        <w:ind w:left="709" w:hanging="720"/>
        <w:rPr/>
      </w:pPr>
      <w:bookmarkStart w:id="8" w:name="_Toc162698177"/>
      <w:r>
        <w:rPr/>
        <w:t>Иные требования и сведения общего характера</w:t>
      </w:r>
      <w:bookmarkEnd w:id="8"/>
    </w:p>
    <w:p>
      <w:pPr>
        <w:pStyle w:val="Normal"/>
        <w:jc w:val="both"/>
        <w:rPr/>
      </w:pPr>
      <w:r>
        <w:rPr/>
        <w:t xml:space="preserve">В сумму предложения должны быть включены все налоги и обязательные платежи, а также расходы, связанные с транспортировкой продукции и погрузо-разгрузочными работами до складов Покупателя по </w:t>
      </w:r>
      <w:r>
        <w:rPr>
          <w:bCs/>
        </w:rPr>
        <w:t>адресам подразделений Покупателя</w:t>
      </w:r>
      <w:r>
        <w:rPr/>
        <w:t xml:space="preserve"> в соответствии с Таблицей №1.1</w:t>
      </w:r>
      <w:r>
        <w:rPr>
          <w:bCs/>
        </w:rPr>
        <w:t xml:space="preserve"> к настоящим техническим требованиям</w:t>
      </w:r>
      <w:r>
        <w:rPr/>
        <w:t>.</w:t>
      </w:r>
    </w:p>
    <w:p>
      <w:pPr>
        <w:pStyle w:val="Normal"/>
        <w:jc w:val="both"/>
        <w:rPr/>
      </w:pPr>
      <w:r>
        <w:rPr/>
      </w:r>
    </w:p>
    <w:p>
      <w:pPr>
        <w:pStyle w:val="Heading1"/>
        <w:ind w:left="142" w:hanging="0"/>
        <w:rPr/>
      </w:pPr>
      <w:bookmarkStart w:id="9" w:name="_Toc51339693"/>
      <w:bookmarkStart w:id="10" w:name="_Toc162698178"/>
      <w:r>
        <w:rPr/>
        <w:t>2. Требования к продукции</w:t>
      </w:r>
      <w:bookmarkEnd w:id="9"/>
      <w:bookmarkEnd w:id="10"/>
    </w:p>
    <w:p>
      <w:pPr>
        <w:pStyle w:val="Normal"/>
        <w:ind w:left="142" w:hanging="0"/>
        <w:jc w:val="both"/>
        <w:rPr>
          <w:rFonts w:eastAsia="Calibri"/>
          <w:lang w:eastAsia="en-US"/>
        </w:rPr>
      </w:pPr>
      <w:r>
        <w:rPr/>
        <w:t>Наименование, тип, количество закупаемой продукции должно соответствовать настоящим техническим требованиям</w:t>
      </w:r>
      <w:r>
        <w:rPr>
          <w:rFonts w:eastAsia="Calibri"/>
          <w:lang w:eastAsia="en-US"/>
        </w:rPr>
        <w:t>.</w:t>
      </w:r>
    </w:p>
    <w:p>
      <w:pPr>
        <w:pStyle w:val="Normal"/>
        <w:ind w:left="142" w:firstLine="709"/>
        <w:jc w:val="both"/>
        <w:rPr>
          <w:rFonts w:eastAsia="Calibri"/>
          <w:lang w:eastAsia="en-US"/>
        </w:rPr>
      </w:pPr>
      <w:r>
        <w:rPr>
          <w:rFonts w:eastAsia="Calibri"/>
          <w:lang w:eastAsia="en-US"/>
        </w:rPr>
      </w:r>
    </w:p>
    <w:p>
      <w:pPr>
        <w:pStyle w:val="Heading4"/>
        <w:numPr>
          <w:ilvl w:val="1"/>
        </w:numPr>
        <w:ind w:left="142" w:hanging="0"/>
        <w:rPr/>
      </w:pPr>
      <w:r>
        <w:rPr/>
      </w:r>
    </w:p>
    <w:p>
      <w:pPr>
        <w:pStyle w:val="Heading4"/>
        <w:numPr>
          <w:ilvl w:val="1"/>
        </w:numPr>
        <w:ind w:left="142" w:hanging="0"/>
        <w:rPr/>
      </w:pPr>
      <w:bookmarkStart w:id="11" w:name="_Toc162698179"/>
      <w:r>
        <w:rPr/>
        <w:t>2.1. Требования к объемам и срокам поставки</w:t>
      </w:r>
      <w:bookmarkEnd w:id="11"/>
    </w:p>
    <w:p>
      <w:pPr>
        <w:pStyle w:val="Heading3"/>
        <w:ind w:left="142" w:hanging="0"/>
        <w:rPr/>
      </w:pPr>
      <w:r>
        <w:rPr/>
      </w:r>
    </w:p>
    <w:p>
      <w:pPr>
        <w:pStyle w:val="Heading3"/>
        <w:ind w:left="142" w:hanging="0"/>
        <w:rPr/>
      </w:pPr>
      <w:bookmarkStart w:id="12" w:name="_Toc162698180"/>
      <w:r>
        <w:rPr/>
        <w:t>2.1.1. Перечень и объем закупаемой продукции</w:t>
      </w:r>
      <w:bookmarkEnd w:id="12"/>
    </w:p>
    <w:p>
      <w:pPr>
        <w:pStyle w:val="Normal"/>
        <w:ind w:left="142" w:hanging="0"/>
        <w:jc w:val="both"/>
        <w:rPr>
          <w:lang w:val="x-none" w:eastAsia="x-none"/>
        </w:rPr>
      </w:pPr>
      <w:r>
        <w:rPr>
          <w:lang w:val="x-none" w:eastAsia="x-none"/>
        </w:rPr>
      </w:r>
    </w:p>
    <w:p>
      <w:pPr>
        <w:pStyle w:val="Heading1"/>
        <w:ind w:left="142" w:hanging="0"/>
        <w:rPr/>
      </w:pPr>
      <w:bookmarkStart w:id="13" w:name="_Toc162698181"/>
      <w:bookmarkStart w:id="14" w:name="_Toc51339695"/>
      <w:r>
        <w:rPr/>
        <w:t xml:space="preserve">Таблица 1.1 Перечень </w:t>
      </w:r>
      <w:bookmarkEnd w:id="14"/>
      <w:r>
        <w:rPr/>
        <w:t>и объем закупаемой продукции</w:t>
      </w:r>
      <w:bookmarkEnd w:id="13"/>
    </w:p>
    <w:p>
      <w:pPr>
        <w:pStyle w:val="Normal"/>
        <w:ind w:left="142" w:hanging="0"/>
        <w:rPr/>
      </w:pPr>
      <w:r>
        <w:rPr/>
      </w:r>
    </w:p>
    <w:p>
      <w:pPr>
        <w:pStyle w:val="Normal"/>
        <w:ind w:left="142" w:hanging="0"/>
        <w:rPr/>
      </w:pPr>
      <w:r>
        <w:rPr/>
      </w:r>
    </w:p>
    <w:tbl>
      <w:tblPr>
        <w:tblW w:w="5000" w:type="pct"/>
        <w:jc w:val="left"/>
        <w:tblInd w:w="55" w:type="dxa"/>
        <w:tblLayout w:type="fixed"/>
        <w:tblCellMar>
          <w:top w:w="55" w:type="dxa"/>
          <w:left w:w="55" w:type="dxa"/>
          <w:bottom w:w="55" w:type="dxa"/>
          <w:right w:w="55" w:type="dxa"/>
        </w:tblCellMar>
      </w:tblPr>
      <w:tblGrid>
        <w:gridCol w:w="510"/>
        <w:gridCol w:w="5670"/>
        <w:gridCol w:w="1709"/>
        <w:gridCol w:w="1889"/>
      </w:tblGrid>
      <w:tr>
        <w:trPr/>
        <w:tc>
          <w:tcPr>
            <w:tcW w:w="510" w:type="dxa"/>
            <w:tcBorders>
              <w:top w:val="single" w:sz="4" w:space="0" w:color="000000"/>
              <w:left w:val="single" w:sz="4" w:space="0" w:color="000000"/>
              <w:bottom w:val="single" w:sz="4" w:space="0" w:color="000000"/>
            </w:tcBorders>
          </w:tcPr>
          <w:p>
            <w:pPr>
              <w:pStyle w:val="Normal"/>
              <w:widowControl w:val="false"/>
              <w:tabs>
                <w:tab w:val="clear" w:pos="708"/>
              </w:tabs>
              <w:jc w:val="center"/>
              <w:rPr/>
            </w:pPr>
            <w:r>
              <w:rPr/>
              <w:t>№</w:t>
            </w:r>
            <w:r>
              <w:rPr/>
              <w:br/>
              <w:t>п/п</w:t>
            </w:r>
          </w:p>
        </w:tc>
        <w:tc>
          <w:tcPr>
            <w:tcW w:w="5670" w:type="dxa"/>
            <w:tcBorders>
              <w:top w:val="single" w:sz="4" w:space="0" w:color="000000"/>
              <w:left w:val="single" w:sz="4" w:space="0" w:color="000000"/>
              <w:bottom w:val="single" w:sz="4" w:space="0" w:color="000000"/>
            </w:tcBorders>
          </w:tcPr>
          <w:p>
            <w:pPr>
              <w:pStyle w:val="Normal"/>
              <w:widowControl w:val="false"/>
              <w:tabs>
                <w:tab w:val="clear" w:pos="708"/>
              </w:tabs>
              <w:jc w:val="center"/>
              <w:rPr/>
            </w:pPr>
            <w:r>
              <w:rPr/>
              <w:t>Наименование продукции</w:t>
            </w:r>
          </w:p>
        </w:tc>
        <w:tc>
          <w:tcPr>
            <w:tcW w:w="1709" w:type="dxa"/>
            <w:tcBorders>
              <w:top w:val="single" w:sz="4" w:space="0" w:color="000000"/>
              <w:left w:val="single" w:sz="4" w:space="0" w:color="000000"/>
              <w:bottom w:val="single" w:sz="4" w:space="0" w:color="000000"/>
            </w:tcBorders>
          </w:tcPr>
          <w:p>
            <w:pPr>
              <w:pStyle w:val="Normal"/>
              <w:widowControl w:val="false"/>
              <w:tabs>
                <w:tab w:val="clear" w:pos="708"/>
              </w:tabs>
              <w:jc w:val="center"/>
              <w:rPr/>
            </w:pPr>
            <w:r>
              <w:rPr/>
              <w:t>Единица измерения</w:t>
            </w:r>
          </w:p>
        </w:tc>
        <w:tc>
          <w:tcPr>
            <w:tcW w:w="18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Количество</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b/>
              </w:rPr>
              <w:t>1</w:t>
            </w:r>
          </w:p>
        </w:tc>
        <w:tc>
          <w:tcPr>
            <w:tcW w:w="5670" w:type="dxa"/>
            <w:tcBorders>
              <w:left w:val="single" w:sz="4" w:space="0" w:color="000000"/>
              <w:bottom w:val="single" w:sz="4" w:space="0" w:color="000000"/>
            </w:tcBorders>
          </w:tcPr>
          <w:p>
            <w:pPr>
              <w:pStyle w:val="Normal"/>
              <w:widowControl w:val="false"/>
              <w:tabs>
                <w:tab w:val="clear" w:pos="708"/>
              </w:tabs>
              <w:jc w:val="center"/>
              <w:rPr/>
            </w:pPr>
            <w:r>
              <w:rPr>
                <w:b/>
              </w:rPr>
              <w:t>2</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b/>
              </w:rPr>
              <w:t>3</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b/>
              </w:rPr>
              <w:t>4</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1</w:t>
            </w:r>
          </w:p>
        </w:tc>
        <w:tc>
          <w:tcPr>
            <w:tcW w:w="5670" w:type="dxa"/>
            <w:tcBorders>
              <w:left w:val="single" w:sz="4" w:space="0" w:color="000000"/>
              <w:bottom w:val="single" w:sz="4" w:space="0" w:color="000000"/>
            </w:tcBorders>
          </w:tcPr>
          <w:p>
            <w:pPr>
              <w:pStyle w:val="Normal"/>
              <w:widowControl w:val="false"/>
              <w:tabs>
                <w:tab w:val="clear" w:pos="708"/>
              </w:tabs>
              <w:jc w:val="left"/>
              <w:rPr/>
            </w:pPr>
            <w:r>
              <w:rPr/>
              <w:t>Твердое туалетное мыло</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кг</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61,20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2</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Жидкое туалетное мыло</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1571,00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3</w:t>
            </w:r>
          </w:p>
        </w:tc>
        <w:tc>
          <w:tcPr>
            <w:tcW w:w="5670" w:type="dxa"/>
            <w:tcBorders>
              <w:left w:val="single" w:sz="4" w:space="0" w:color="000000"/>
              <w:bottom w:val="single" w:sz="4" w:space="0" w:color="000000"/>
            </w:tcBorders>
          </w:tcPr>
          <w:p>
            <w:pPr>
              <w:pStyle w:val="Normal"/>
              <w:widowControl w:val="false"/>
              <w:tabs>
                <w:tab w:val="clear" w:pos="708"/>
              </w:tabs>
              <w:jc w:val="left"/>
              <w:rPr/>
            </w:pPr>
            <w:r>
              <w:rPr/>
              <w:t>Регенерирующие, восстанавливающие кремы, лосьоны, гели, спреи</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6</w:t>
            </w:r>
            <w:r>
              <w:rPr/>
              <w:t>45,60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4</w:t>
            </w:r>
          </w:p>
        </w:tc>
        <w:tc>
          <w:tcPr>
            <w:tcW w:w="5670" w:type="dxa"/>
            <w:tcBorders>
              <w:left w:val="single" w:sz="4" w:space="0" w:color="000000"/>
              <w:bottom w:val="single" w:sz="4" w:space="0" w:color="000000"/>
            </w:tcBorders>
          </w:tcPr>
          <w:p>
            <w:pPr>
              <w:pStyle w:val="Normal"/>
              <w:widowControl w:val="false"/>
              <w:tabs>
                <w:tab w:val="clear" w:pos="708"/>
              </w:tabs>
              <w:jc w:val="left"/>
              <w:rPr/>
            </w:pPr>
            <w:r>
              <w:rPr/>
              <w:t>Спрей для ног с противогрибковым действием,</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6</w:t>
            </w:r>
            <w:r>
              <w:rPr/>
              <w:t>45,60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5</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Крем, лосьон, гель, спрей для защиты кожи от УФ излучения диапазонов А, В, С</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1</w:t>
            </w:r>
            <w:r>
              <w:rPr/>
              <w:t>35,60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6</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Крем, лосьон, эмульсия гидрофильного действия</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2</w:t>
            </w:r>
            <w:r>
              <w:rPr/>
              <w:t>58,00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7</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Очищающие кремы, гели и пасты от устойчивых загрязнений</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594,20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8</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Крем, лосьон, эмульсия гидрофобного действия</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4</w:t>
            </w:r>
            <w:r>
              <w:rPr/>
              <w:t>2,00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9</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Антисептики для рук (спреи, гели, растворы) гидрофобного действия</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1</w:t>
            </w:r>
            <w:r>
              <w:rPr/>
              <w:t>74,00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10</w:t>
            </w:r>
          </w:p>
        </w:tc>
        <w:tc>
          <w:tcPr>
            <w:tcW w:w="5670" w:type="dxa"/>
            <w:tcBorders>
              <w:left w:val="single" w:sz="4" w:space="0" w:color="000000"/>
              <w:bottom w:val="single" w:sz="4" w:space="0" w:color="000000"/>
            </w:tcBorders>
          </w:tcPr>
          <w:p>
            <w:pPr>
              <w:pStyle w:val="Normal"/>
              <w:widowControl w:val="false"/>
              <w:tabs>
                <w:tab w:val="clear" w:pos="708"/>
              </w:tabs>
              <w:jc w:val="left"/>
              <w:rPr/>
            </w:pPr>
            <w:r>
              <w:rPr/>
              <w:t>Репеллентные средства: крем, лосьон, гель, спрей</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346,80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11</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Инсектоакарицидные средства: спрей, раствор</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298,80</w:t>
            </w:r>
          </w:p>
        </w:tc>
      </w:tr>
      <w:tr>
        <w:trPr/>
        <w:tc>
          <w:tcPr>
            <w:tcW w:w="510" w:type="dxa"/>
            <w:tcBorders>
              <w:left w:val="single" w:sz="4" w:space="0" w:color="000000"/>
              <w:bottom w:val="single" w:sz="4" w:space="0" w:color="000000"/>
            </w:tcBorders>
          </w:tcPr>
          <w:p>
            <w:pPr>
              <w:pStyle w:val="Normal"/>
              <w:widowControl w:val="false"/>
              <w:tabs>
                <w:tab w:val="clear" w:pos="708"/>
              </w:tabs>
              <w:jc w:val="center"/>
              <w:rPr/>
            </w:pPr>
            <w:r>
              <w:rPr/>
              <w:t>12</w:t>
            </w:r>
          </w:p>
        </w:tc>
        <w:tc>
          <w:tcPr>
            <w:tcW w:w="5670" w:type="dxa"/>
            <w:tcBorders>
              <w:left w:val="single" w:sz="4" w:space="0" w:color="000000"/>
              <w:bottom w:val="single" w:sz="4" w:space="0" w:color="000000"/>
            </w:tcBorders>
          </w:tcPr>
          <w:p>
            <w:pPr>
              <w:pStyle w:val="Normal"/>
              <w:widowControl w:val="false"/>
              <w:tabs>
                <w:tab w:val="clear" w:pos="708"/>
              </w:tabs>
              <w:jc w:val="left"/>
              <w:rPr/>
            </w:pPr>
            <w:r>
              <w:rPr/>
              <w:t>Крем, лосьон, гель, спрей от негативного влияния окружающей среды для защиты кожи в условиях пониженных температур, ветра</w:t>
            </w:r>
          </w:p>
        </w:tc>
        <w:tc>
          <w:tcPr>
            <w:tcW w:w="1709" w:type="dxa"/>
            <w:tcBorders>
              <w:left w:val="single" w:sz="4" w:space="0" w:color="000000"/>
              <w:bottom w:val="single" w:sz="4" w:space="0" w:color="000000"/>
            </w:tcBorders>
          </w:tcPr>
          <w:p>
            <w:pPr>
              <w:pStyle w:val="Normal"/>
              <w:widowControl w:val="false"/>
              <w:tabs>
                <w:tab w:val="clear" w:pos="708"/>
              </w:tabs>
              <w:jc w:val="center"/>
              <w:rPr/>
            </w:pPr>
            <w:r>
              <w:rPr/>
              <w:t>л</w:t>
            </w:r>
          </w:p>
        </w:tc>
        <w:tc>
          <w:tcPr>
            <w:tcW w:w="1889" w:type="dxa"/>
            <w:tcBorders>
              <w:left w:val="single" w:sz="4" w:space="0" w:color="000000"/>
              <w:bottom w:val="single" w:sz="4" w:space="0" w:color="000000"/>
              <w:right w:val="single" w:sz="4" w:space="0" w:color="000000"/>
            </w:tcBorders>
          </w:tcPr>
          <w:p>
            <w:pPr>
              <w:pStyle w:val="Normal"/>
              <w:widowControl w:val="false"/>
              <w:tabs>
                <w:tab w:val="clear" w:pos="708"/>
              </w:tabs>
              <w:suppressAutoHyphens w:val="true"/>
              <w:bidi w:val="0"/>
              <w:spacing w:before="0" w:after="0"/>
              <w:ind w:left="170" w:right="170" w:hanging="0"/>
              <w:jc w:val="center"/>
              <w:rPr/>
            </w:pPr>
            <w:r>
              <w:rPr/>
              <w:t>140,40</w:t>
            </w:r>
          </w:p>
        </w:tc>
      </w:tr>
    </w:tbl>
    <w:p>
      <w:pPr>
        <w:pStyle w:val="Normal"/>
        <w:jc w:val="both"/>
        <w:rPr>
          <w:rStyle w:val="Strong1"/>
          <w:i/>
          <w:i/>
          <w:sz w:val="26"/>
          <w:szCs w:val="26"/>
          <w:u w:val="single"/>
        </w:rPr>
      </w:pPr>
      <w:r>
        <w:rPr>
          <w:i/>
          <w:sz w:val="26"/>
          <w:szCs w:val="26"/>
          <w:u w:val="single"/>
        </w:rPr>
      </w:r>
    </w:p>
    <w:p>
      <w:pPr>
        <w:pStyle w:val="Normal"/>
        <w:rPr/>
      </w:pPr>
      <w:r>
        <w:rPr/>
      </w:r>
    </w:p>
    <w:p>
      <w:pPr>
        <w:pStyle w:val="Heading3"/>
        <w:rPr/>
      </w:pPr>
      <w:bookmarkStart w:id="15" w:name="_Toc162698182"/>
      <w:r>
        <w:rPr/>
        <w:t>2.1.2. Требования к срокам поставки продукции и оказания сопутствующих услуг</w:t>
      </w:r>
      <w:bookmarkEnd w:id="15"/>
    </w:p>
    <w:p>
      <w:pPr>
        <w:pStyle w:val="Normal"/>
        <w:rPr/>
      </w:pPr>
      <w:r>
        <w:rPr/>
      </w:r>
    </w:p>
    <w:p>
      <w:pPr>
        <w:pStyle w:val="Heading1"/>
        <w:keepNext w:val="true"/>
        <w:widowControl/>
        <w:suppressAutoHyphens w:val="true"/>
        <w:bidi w:val="0"/>
        <w:spacing w:before="0" w:after="0"/>
        <w:ind w:left="0" w:right="0" w:hanging="0"/>
        <w:jc w:val="left"/>
        <w:rPr/>
      </w:pPr>
      <w:bookmarkStart w:id="16" w:name="_Toc162698183"/>
      <w:bookmarkStart w:id="17" w:name="_Toc50125127"/>
      <w:bookmarkStart w:id="18" w:name="_Toc51339697"/>
      <w:bookmarkStart w:id="19" w:name="_Toc50125126_Копия_1"/>
      <w:bookmarkEnd w:id="19"/>
      <w:r>
        <w:rPr/>
        <w:t xml:space="preserve">Таблица 2.1 </w:t>
      </w:r>
      <w:bookmarkStart w:id="20" w:name="_Hlk50465284"/>
      <w:r>
        <w:rPr/>
        <w:t xml:space="preserve">Требования по срокам </w:t>
      </w:r>
      <w:bookmarkEnd w:id="17"/>
      <w:bookmarkEnd w:id="18"/>
      <w:bookmarkEnd w:id="20"/>
      <w:r>
        <w:rPr/>
        <w:t>поставки продукции</w:t>
      </w:r>
      <w:bookmarkEnd w:id="16"/>
    </w:p>
    <w:tbl>
      <w:tblPr>
        <w:tblW w:w="10202" w:type="dxa"/>
        <w:jc w:val="left"/>
        <w:tblInd w:w="113" w:type="dxa"/>
        <w:tblLayout w:type="fixed"/>
        <w:tblCellMar>
          <w:top w:w="0" w:type="dxa"/>
          <w:left w:w="108" w:type="dxa"/>
          <w:bottom w:w="0" w:type="dxa"/>
          <w:right w:w="108" w:type="dxa"/>
        </w:tblCellMar>
        <w:tblLook w:noVBand="1" w:val="04a0" w:noHBand="0" w:lastColumn="0" w:firstColumn="1" w:lastRow="0" w:firstRow="1"/>
      </w:tblPr>
      <w:tblGrid>
        <w:gridCol w:w="685"/>
        <w:gridCol w:w="3137"/>
        <w:gridCol w:w="2977"/>
        <w:gridCol w:w="3402"/>
      </w:tblGrid>
      <w:tr>
        <w:trPr/>
        <w:tc>
          <w:tcPr>
            <w:tcW w:w="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szCs w:val="24"/>
              </w:rPr>
            </w:pPr>
            <w:r>
              <w:rPr>
                <w:sz w:val="24"/>
                <w:szCs w:val="24"/>
              </w:rPr>
              <w:t xml:space="preserve">№ </w:t>
            </w:r>
            <w:r>
              <w:rPr>
                <w:sz w:val="24"/>
                <w:szCs w:val="24"/>
              </w:rPr>
              <w:t>п/п</w:t>
            </w:r>
          </w:p>
        </w:tc>
        <w:tc>
          <w:tcPr>
            <w:tcW w:w="31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szCs w:val="24"/>
              </w:rPr>
            </w:pPr>
            <w:r>
              <w:rPr>
                <w:sz w:val="24"/>
                <w:szCs w:val="24"/>
              </w:rPr>
              <w:t>Наименование продукции / партии продукции</w:t>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szCs w:val="24"/>
              </w:rPr>
            </w:pPr>
            <w:r>
              <w:rPr>
                <w:sz w:val="24"/>
                <w:szCs w:val="24"/>
              </w:rPr>
              <w:t>Требования к началу срока поставки продукции</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4"/>
                <w:szCs w:val="24"/>
              </w:rPr>
            </w:pPr>
            <w:r>
              <w:rPr>
                <w:sz w:val="24"/>
                <w:szCs w:val="24"/>
              </w:rPr>
              <w:t>Требования к окончанию срока поставки продукции</w:t>
            </w:r>
          </w:p>
        </w:tc>
      </w:tr>
      <w:tr>
        <w:trPr>
          <w:trHeight w:val="70" w:hRule="atLeast"/>
        </w:trPr>
        <w:tc>
          <w:tcPr>
            <w:tcW w:w="6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4"/>
                <w:szCs w:val="24"/>
              </w:rPr>
            </w:pPr>
            <w:r>
              <w:rPr>
                <w:b/>
                <w:sz w:val="24"/>
                <w:szCs w:val="24"/>
              </w:rPr>
              <w:t>1</w:t>
            </w:r>
          </w:p>
        </w:tc>
        <w:tc>
          <w:tcPr>
            <w:tcW w:w="31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4"/>
                <w:szCs w:val="24"/>
              </w:rPr>
            </w:pPr>
            <w:r>
              <w:rPr>
                <w:b/>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pPr>
              <w:pStyle w:val="Style29"/>
              <w:keepNext w:val="false"/>
              <w:widowControl w:val="false"/>
              <w:spacing w:before="40" w:after="40"/>
              <w:jc w:val="center"/>
              <w:rPr>
                <w:sz w:val="24"/>
                <w:szCs w:val="24"/>
              </w:rPr>
            </w:pPr>
            <w:r>
              <w:rPr>
                <w:b/>
                <w:sz w:val="24"/>
                <w:szCs w:val="24"/>
              </w:rPr>
              <w:t>3</w:t>
            </w:r>
          </w:p>
        </w:tc>
        <w:tc>
          <w:tcPr>
            <w:tcW w:w="3402" w:type="dxa"/>
            <w:tcBorders>
              <w:top w:val="single" w:sz="4" w:space="0" w:color="000000"/>
              <w:left w:val="single" w:sz="4" w:space="0" w:color="000000"/>
              <w:bottom w:val="single" w:sz="4" w:space="0" w:color="000000"/>
              <w:right w:val="single" w:sz="4" w:space="0" w:color="000000"/>
            </w:tcBorders>
          </w:tcPr>
          <w:p>
            <w:pPr>
              <w:pStyle w:val="Style29"/>
              <w:keepNext w:val="false"/>
              <w:widowControl w:val="false"/>
              <w:spacing w:before="40" w:after="40"/>
              <w:jc w:val="center"/>
              <w:rPr>
                <w:sz w:val="24"/>
                <w:szCs w:val="24"/>
              </w:rPr>
            </w:pPr>
            <w:r>
              <w:rPr>
                <w:b/>
                <w:sz w:val="24"/>
                <w:szCs w:val="24"/>
              </w:rPr>
              <w:t>4</w:t>
            </w:r>
          </w:p>
        </w:tc>
      </w:tr>
      <w:tr>
        <w:trPr/>
        <w:tc>
          <w:tcPr>
            <w:tcW w:w="685"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numPr>
                <w:ilvl w:val="0"/>
                <w:numId w:val="6"/>
              </w:numPr>
              <w:suppressAutoHyphens w:val="true"/>
              <w:rPr/>
            </w:pPr>
            <w:r>
              <w:rPr/>
            </w:r>
          </w:p>
        </w:tc>
        <w:tc>
          <w:tcPr>
            <w:tcW w:w="3137"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widowControl w:val="false"/>
              <w:ind w:left="0" w:hanging="0"/>
              <w:jc w:val="both"/>
              <w:rPr>
                <w:sz w:val="24"/>
                <w:szCs w:val="28"/>
              </w:rPr>
            </w:pPr>
            <w:r>
              <w:rPr>
                <w:bCs/>
                <w:sz w:val="24"/>
                <w:szCs w:val="28"/>
              </w:rPr>
              <w:t xml:space="preserve">ОКПД2: 20.41.31 Поставка смывающих и обезвреживающих средств в населенные пункты Хабаровского, Приморского краев, Амурской, </w:t>
            </w:r>
            <w:r>
              <w:rPr>
                <w:rFonts w:eastAsia="Calibri"/>
                <w:b w:val="false"/>
                <w:bCs w:val="false"/>
                <w:i w:val="false"/>
                <w:iCs w:val="false"/>
                <w:sz w:val="26"/>
                <w:szCs w:val="26"/>
              </w:rPr>
              <w:t>Магаданской, Сахалинской областей</w:t>
            </w:r>
            <w:r>
              <w:rPr>
                <w:bCs/>
                <w:sz w:val="24"/>
                <w:szCs w:val="28"/>
              </w:rPr>
              <w:t>, Республики Саха (Якутия) для нужд Дальневосточного филиала АО "ТК РусГидро"</w:t>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0" w:leader="none"/>
              </w:tabs>
              <w:spacing w:lineRule="auto" w:line="276"/>
              <w:jc w:val="center"/>
              <w:rPr>
                <w:sz w:val="24"/>
                <w:szCs w:val="24"/>
              </w:rPr>
            </w:pPr>
            <w:r>
              <w:rPr>
                <w:sz w:val="24"/>
                <w:szCs w:val="24"/>
              </w:rPr>
              <w:t>С даты поступления авансового платежа на расчетный счет Поставщика</w:t>
            </w:r>
          </w:p>
        </w:tc>
        <w:tc>
          <w:tcPr>
            <w:tcW w:w="340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4"/>
                <w:szCs w:val="24"/>
              </w:rPr>
            </w:pPr>
            <w:r>
              <w:rPr>
                <w:sz w:val="24"/>
                <w:szCs w:val="24"/>
              </w:rPr>
              <w:t>В течение 30 (тридцати) календарных дней с даты поступления авансового платежа на расчетный счет Поставщика</w:t>
            </w:r>
          </w:p>
          <w:p>
            <w:pPr>
              <w:pStyle w:val="Normal"/>
              <w:widowControl w:val="false"/>
              <w:jc w:val="center"/>
              <w:rPr>
                <w:sz w:val="24"/>
                <w:szCs w:val="24"/>
              </w:rPr>
            </w:pPr>
            <w:r>
              <w:rPr>
                <w:sz w:val="24"/>
                <w:szCs w:val="24"/>
              </w:rPr>
              <w:t>Окончание 31.12.202</w:t>
            </w:r>
            <w:r>
              <w:rPr>
                <w:sz w:val="24"/>
                <w:szCs w:val="24"/>
              </w:rPr>
              <w:t>7</w:t>
            </w:r>
          </w:p>
        </w:tc>
      </w:tr>
    </w:tbl>
    <w:p>
      <w:pPr>
        <w:sectPr>
          <w:headerReference w:type="even" r:id="rId2"/>
          <w:headerReference w:type="default" r:id="rId3"/>
          <w:headerReference w:type="first" r:id="rId4"/>
          <w:type w:val="nextPage"/>
          <w:pgSz w:w="11906" w:h="16838"/>
          <w:pgMar w:left="1276" w:right="851" w:gutter="0" w:header="680" w:top="1134" w:footer="0" w:bottom="992"/>
          <w:pgNumType w:fmt="decimal"/>
          <w:formProt w:val="false"/>
          <w:titlePg/>
          <w:textDirection w:val="lrTb"/>
          <w:docGrid w:type="default" w:linePitch="360" w:charSpace="0"/>
        </w:sectPr>
      </w:pPr>
    </w:p>
    <w:p>
      <w:pPr>
        <w:pStyle w:val="Heading4"/>
        <w:numPr>
          <w:ilvl w:val="1"/>
        </w:numPr>
        <w:ind w:left="0" w:hanging="0"/>
        <w:rPr>
          <w:sz w:val="26"/>
          <w:szCs w:val="26"/>
        </w:rPr>
      </w:pPr>
      <w:bookmarkStart w:id="21" w:name="_Toc51339698"/>
      <w:bookmarkStart w:id="22" w:name="_Toc162698184"/>
      <w:bookmarkStart w:id="23" w:name="_Toc46743511"/>
      <w:r>
        <w:rPr>
          <w:sz w:val="26"/>
          <w:szCs w:val="26"/>
        </w:rPr>
        <w:t xml:space="preserve">2.2. Требования к </w:t>
      </w:r>
      <w:bookmarkEnd w:id="23"/>
      <w:r>
        <w:rPr>
          <w:sz w:val="26"/>
          <w:szCs w:val="26"/>
        </w:rPr>
        <w:t>качеству продукции</w:t>
      </w:r>
      <w:bookmarkEnd w:id="22"/>
    </w:p>
    <w:p>
      <w:pPr>
        <w:pStyle w:val="Heading1"/>
        <w:ind w:left="-142" w:hanging="0"/>
        <w:jc w:val="left"/>
        <w:rPr>
          <w:sz w:val="26"/>
          <w:szCs w:val="26"/>
        </w:rPr>
      </w:pPr>
      <w:r>
        <w:rPr>
          <w:sz w:val="26"/>
          <w:szCs w:val="26"/>
        </w:rPr>
        <w:t xml:space="preserve">  </w:t>
      </w:r>
      <w:bookmarkStart w:id="24" w:name="_Toc162698185"/>
      <w:r>
        <w:rPr>
          <w:sz w:val="26"/>
          <w:szCs w:val="26"/>
        </w:rPr>
        <w:t>Таблица 3. Требования к продукции</w:t>
      </w:r>
      <w:bookmarkEnd w:id="24"/>
      <w:r>
        <w:rPr>
          <w:sz w:val="26"/>
          <w:szCs w:val="26"/>
        </w:rPr>
        <w:t xml:space="preserve"> </w:t>
      </w:r>
      <w:bookmarkEnd w:id="21"/>
    </w:p>
    <w:p>
      <w:pPr>
        <w:pStyle w:val="ListParagraph"/>
        <w:widowControl w:val="false"/>
        <w:ind w:left="0" w:hanging="0"/>
        <w:jc w:val="both"/>
        <w:rPr>
          <w:sz w:val="26"/>
          <w:szCs w:val="26"/>
        </w:rPr>
      </w:pPr>
      <w:r>
        <w:rPr>
          <w:bCs/>
          <w:sz w:val="26"/>
          <w:szCs w:val="26"/>
        </w:rPr>
        <w:t xml:space="preserve">ОКПД2: 20.41.31 Поставка смывающих и обезвреживающих средств в населенные пункты Хабаровского, Приморского краев, Амурской, </w:t>
      </w:r>
      <w:r>
        <w:rPr>
          <w:rFonts w:eastAsia="Calibri"/>
          <w:b w:val="false"/>
          <w:bCs w:val="false"/>
          <w:i w:val="false"/>
          <w:iCs w:val="false"/>
          <w:sz w:val="26"/>
          <w:szCs w:val="26"/>
        </w:rPr>
        <w:t>Магаданской, Сахалинской областей</w:t>
      </w:r>
      <w:r>
        <w:rPr>
          <w:bCs/>
          <w:sz w:val="26"/>
          <w:szCs w:val="26"/>
        </w:rPr>
        <w:t>, Республики Саха (Якутия) для нужд Дальневосточного филиала АО "ТК РусГидро"</w:t>
      </w:r>
    </w:p>
    <w:p>
      <w:pPr>
        <w:pStyle w:val="Normal"/>
        <w:rPr/>
      </w:pPr>
      <w:r>
        <w:rPr/>
      </w:r>
    </w:p>
    <w:tbl>
      <w:tblPr>
        <w:tblStyle w:val="af"/>
        <w:tblW w:w="15311" w:type="dxa"/>
        <w:jc w:val="left"/>
        <w:tblInd w:w="108" w:type="dxa"/>
        <w:tblLayout w:type="fixed"/>
        <w:tblCellMar>
          <w:top w:w="0" w:type="dxa"/>
          <w:left w:w="108" w:type="dxa"/>
          <w:bottom w:w="0" w:type="dxa"/>
          <w:right w:w="108" w:type="dxa"/>
        </w:tblCellMar>
        <w:tblLook w:noVBand="1" w:val="04a0" w:noHBand="0" w:lastColumn="0" w:firstColumn="1" w:lastRow="0" w:firstRow="1"/>
      </w:tblPr>
      <w:tblGrid>
        <w:gridCol w:w="851"/>
        <w:gridCol w:w="2255"/>
        <w:gridCol w:w="11"/>
        <w:gridCol w:w="5105"/>
        <w:gridCol w:w="2267"/>
        <w:gridCol w:w="2692"/>
        <w:gridCol w:w="2129"/>
      </w:tblGrid>
      <w:tr>
        <w:trPr/>
        <w:tc>
          <w:tcPr>
            <w:tcW w:w="851" w:type="dxa"/>
            <w:vMerge w:val="restart"/>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 xml:space="preserve">№ </w:t>
            </w:r>
            <w:r>
              <w:rPr>
                <w:rFonts w:eastAsia="Times New Roman" w:cs="Times New Roman"/>
                <w:b/>
                <w:bCs/>
                <w:kern w:val="0"/>
                <w:sz w:val="24"/>
                <w:szCs w:val="24"/>
                <w:lang w:val="ru-RU" w:eastAsia="ru-RU" w:bidi="ar-SA"/>
              </w:rPr>
              <w:t>п/п</w:t>
            </w:r>
          </w:p>
        </w:tc>
        <w:tc>
          <w:tcPr>
            <w:tcW w:w="2255" w:type="dxa"/>
            <w:vMerge w:val="restart"/>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Наименование параметра</w:t>
            </w:r>
          </w:p>
        </w:tc>
        <w:tc>
          <w:tcPr>
            <w:tcW w:w="5116" w:type="dxa"/>
            <w:gridSpan w:val="2"/>
            <w:vMerge w:val="restart"/>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Требование заказчика</w:t>
            </w:r>
          </w:p>
        </w:tc>
        <w:tc>
          <w:tcPr>
            <w:tcW w:w="4959" w:type="dxa"/>
            <w:gridSpan w:val="2"/>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Способ подтверждения участником соответствия требованиям</w:t>
            </w:r>
          </w:p>
        </w:tc>
        <w:tc>
          <w:tcPr>
            <w:tcW w:w="2129" w:type="dxa"/>
            <w:vMerge w:val="restart"/>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Предложение участника по характеристикам и параметрам</w:t>
            </w:r>
          </w:p>
        </w:tc>
      </w:tr>
      <w:tr>
        <w:trPr/>
        <w:tc>
          <w:tcPr>
            <w:tcW w:w="851" w:type="dxa"/>
            <w:vMerge w:val="continue"/>
            <w:tcBorders/>
            <w:vAlign w:val="center"/>
          </w:tcPr>
          <w:p>
            <w:pPr>
              <w:pStyle w:val="Normal"/>
              <w:widowControl w:val="false"/>
              <w:suppressAutoHyphens w:val="true"/>
              <w:spacing w:before="0" w:after="0"/>
              <w:jc w:val="left"/>
              <w:rPr>
                <w:b/>
                <w:bCs/>
                <w:sz w:val="24"/>
                <w:szCs w:val="24"/>
              </w:rPr>
            </w:pPr>
            <w:r>
              <w:rPr>
                <w:b/>
                <w:bCs/>
                <w:sz w:val="24"/>
                <w:szCs w:val="24"/>
              </w:rPr>
            </w:r>
          </w:p>
        </w:tc>
        <w:tc>
          <w:tcPr>
            <w:tcW w:w="2255" w:type="dxa"/>
            <w:vMerge w:val="continue"/>
            <w:tcBorders/>
            <w:vAlign w:val="center"/>
          </w:tcPr>
          <w:p>
            <w:pPr>
              <w:pStyle w:val="Normal"/>
              <w:widowControl w:val="false"/>
              <w:suppressAutoHyphens w:val="true"/>
              <w:spacing w:before="0" w:after="0"/>
              <w:jc w:val="left"/>
              <w:rPr>
                <w:b/>
                <w:bCs/>
                <w:sz w:val="24"/>
                <w:szCs w:val="24"/>
              </w:rPr>
            </w:pPr>
            <w:r>
              <w:rPr>
                <w:b/>
                <w:bCs/>
                <w:sz w:val="24"/>
                <w:szCs w:val="24"/>
              </w:rPr>
            </w:r>
          </w:p>
        </w:tc>
        <w:tc>
          <w:tcPr>
            <w:tcW w:w="5116" w:type="dxa"/>
            <w:gridSpan w:val="2"/>
            <w:vMerge w:val="continue"/>
            <w:tcBorders/>
            <w:vAlign w:val="center"/>
          </w:tcPr>
          <w:p>
            <w:pPr>
              <w:pStyle w:val="Normal"/>
              <w:widowControl w:val="false"/>
              <w:suppressAutoHyphens w:val="true"/>
              <w:spacing w:before="0" w:after="0"/>
              <w:jc w:val="left"/>
              <w:rPr>
                <w:b/>
                <w:bCs/>
                <w:sz w:val="24"/>
                <w:szCs w:val="24"/>
              </w:rPr>
            </w:pPr>
            <w:r>
              <w:rPr>
                <w:b/>
                <w:bCs/>
                <w:sz w:val="24"/>
                <w:szCs w:val="24"/>
              </w:rPr>
            </w:r>
          </w:p>
        </w:tc>
        <w:tc>
          <w:tcPr>
            <w:tcW w:w="2267" w:type="dxa"/>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Согласие с требованием/ указание характеристик</w:t>
            </w:r>
          </w:p>
        </w:tc>
        <w:tc>
          <w:tcPr>
            <w:tcW w:w="2692" w:type="dxa"/>
            <w:tcBorders/>
            <w:vAlign w:val="center"/>
          </w:tcPr>
          <w:p>
            <w:pPr>
              <w:pStyle w:val="Normal"/>
              <w:widowControl w:val="false"/>
              <w:suppressAutoHyphens w:val="true"/>
              <w:spacing w:before="0" w:after="0"/>
              <w:jc w:val="center"/>
              <w:rPr>
                <w:b/>
                <w:bCs/>
                <w:sz w:val="24"/>
                <w:szCs w:val="24"/>
              </w:rPr>
            </w:pPr>
            <w:r>
              <w:rPr>
                <w:rFonts w:eastAsia="Times New Roman" w:cs="Times New Roman"/>
                <w:b/>
                <w:bCs/>
                <w:kern w:val="0"/>
                <w:sz w:val="24"/>
                <w:szCs w:val="24"/>
                <w:lang w:val="ru-RU" w:eastAsia="ru-RU" w:bidi="ar-SA"/>
              </w:rPr>
              <w:t>Предоставление подтверждающего документа или иной способ подтверждения</w:t>
            </w:r>
          </w:p>
        </w:tc>
        <w:tc>
          <w:tcPr>
            <w:tcW w:w="2129" w:type="dxa"/>
            <w:vMerge w:val="continue"/>
            <w:tcBorders/>
            <w:vAlign w:val="center"/>
          </w:tcPr>
          <w:p>
            <w:pPr>
              <w:pStyle w:val="Normal"/>
              <w:widowControl w:val="false"/>
              <w:suppressAutoHyphens w:val="true"/>
              <w:spacing w:before="0" w:after="0"/>
              <w:jc w:val="left"/>
              <w:rPr>
                <w:b/>
                <w:bCs/>
                <w:sz w:val="24"/>
                <w:szCs w:val="24"/>
              </w:rPr>
            </w:pPr>
            <w:r>
              <w:rPr>
                <w:b/>
                <w:bCs/>
                <w:sz w:val="24"/>
                <w:szCs w:val="24"/>
              </w:rPr>
            </w:r>
          </w:p>
        </w:tc>
      </w:tr>
      <w:tr>
        <w:trPr/>
        <w:tc>
          <w:tcPr>
            <w:tcW w:w="851" w:type="dxa"/>
            <w:tcBorders/>
            <w:vAlign w:val="center"/>
          </w:tcPr>
          <w:p>
            <w:pPr>
              <w:pStyle w:val="Normal"/>
              <w:widowControl w:val="false"/>
              <w:suppressAutoHyphens w:val="true"/>
              <w:spacing w:before="60" w:after="60"/>
              <w:jc w:val="center"/>
              <w:rPr>
                <w:rFonts w:ascii="Times New Roman" w:hAnsi="Times New Roman" w:eastAsia="Times New Roman" w:cs="Times New Roman"/>
                <w:kern w:val="0"/>
                <w:lang w:val="ru-RU" w:eastAsia="ru-RU" w:bidi="ar-SA"/>
              </w:rPr>
            </w:pPr>
            <w:r>
              <w:rPr>
                <w:rFonts w:eastAsia="Times New Roman" w:cs="Times New Roman"/>
                <w:b/>
                <w:kern w:val="0"/>
                <w:sz w:val="24"/>
                <w:szCs w:val="24"/>
                <w:lang w:val="ru-RU" w:eastAsia="ru-RU" w:bidi="ar-SA"/>
              </w:rPr>
              <w:t>1</w:t>
            </w:r>
          </w:p>
        </w:tc>
        <w:tc>
          <w:tcPr>
            <w:tcW w:w="2255"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2</w:t>
            </w:r>
          </w:p>
        </w:tc>
        <w:tc>
          <w:tcPr>
            <w:tcW w:w="5116" w:type="dxa"/>
            <w:gridSpan w:val="2"/>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3</w:t>
            </w:r>
          </w:p>
        </w:tc>
        <w:tc>
          <w:tcPr>
            <w:tcW w:w="2267"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4</w:t>
            </w:r>
          </w:p>
        </w:tc>
        <w:tc>
          <w:tcPr>
            <w:tcW w:w="2692"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5</w:t>
            </w:r>
          </w:p>
        </w:tc>
        <w:tc>
          <w:tcPr>
            <w:tcW w:w="2129" w:type="dxa"/>
            <w:tcBorders/>
            <w:vAlign w:val="center"/>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6</w:t>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b/>
                <w:sz w:val="24"/>
                <w:szCs w:val="24"/>
              </w:rPr>
            </w:pPr>
            <w:r>
              <w:rPr>
                <w:rFonts w:eastAsia="Times New Roman" w:cs="Times New Roman"/>
                <w:b/>
                <w:kern w:val="0"/>
                <w:sz w:val="24"/>
                <w:szCs w:val="24"/>
                <w:lang w:val="ru-RU" w:eastAsia="ru-RU" w:bidi="ar-SA"/>
              </w:rPr>
              <w:t>Требования к техническим и функциональным характеристикам (включая гарантируемые показатели)</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shd w:color="auto" w:fill="auto" w:val="clear"/>
          </w:tcPr>
          <w:p>
            <w:pPr>
              <w:pStyle w:val="Normal"/>
              <w:widowControl w:val="false"/>
              <w:suppressAutoHyphens w:val="true"/>
              <w:spacing w:before="0" w:after="0"/>
              <w:jc w:val="both"/>
              <w:rPr>
                <w:sz w:val="24"/>
                <w:szCs w:val="24"/>
              </w:rPr>
            </w:pPr>
            <w:r>
              <w:rPr>
                <w:rFonts w:eastAsia="Times New Roman" w:cs="Times New Roman"/>
                <w:kern w:val="0"/>
                <w:sz w:val="24"/>
                <w:szCs w:val="24"/>
                <w:lang w:val="ru-RU" w:eastAsia="ru-RU" w:bidi="ar-SA"/>
              </w:rPr>
              <w:t>Все поставляемые номеклатурные позиции, указанные в табл. 1.1, должны являться дерматологическими средствами индивидуальной защиты и иметь соответствующие сертификаты (декларации) соответствия.</w:t>
            </w:r>
          </w:p>
        </w:tc>
        <w:tc>
          <w:tcPr>
            <w:tcW w:w="2267" w:type="dxa"/>
            <w:tcBorders/>
            <w:shd w:color="auto" w:fill="auto" w:val="clear"/>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shd w:color="auto" w:fill="auto" w:val="clear"/>
          </w:tcPr>
          <w:p>
            <w:pPr>
              <w:pStyle w:val="Normal"/>
              <w:widowControl w:val="false"/>
              <w:suppressAutoHyphens w:val="true"/>
              <w:spacing w:before="0" w:after="0"/>
              <w:jc w:val="left"/>
              <w:rPr>
                <w:sz w:val="24"/>
                <w:szCs w:val="24"/>
              </w:rPr>
            </w:pPr>
            <w:r>
              <w:rPr>
                <w:sz w:val="24"/>
                <w:szCs w:val="24"/>
              </w:rPr>
            </w:r>
          </w:p>
        </w:tc>
        <w:tc>
          <w:tcPr>
            <w:tcW w:w="2129" w:type="dxa"/>
            <w:tcBorders/>
            <w:shd w:color="auto" w:fill="auto" w:val="clear"/>
          </w:tcPr>
          <w:p>
            <w:pPr>
              <w:pStyle w:val="Normal"/>
              <w:widowControl w:val="false"/>
              <w:suppressAutoHyphens w:val="true"/>
              <w:spacing w:before="0" w:after="0"/>
              <w:jc w:val="left"/>
              <w:rPr>
                <w:sz w:val="24"/>
                <w:szCs w:val="24"/>
              </w:rPr>
            </w:pPr>
            <w:r>
              <w:rPr>
                <w:sz w:val="24"/>
                <w:szCs w:val="24"/>
              </w:rPr>
            </w:r>
          </w:p>
        </w:tc>
      </w:tr>
      <w:tr>
        <w:trPr/>
        <w:tc>
          <w:tcPr>
            <w:tcW w:w="851" w:type="dxa"/>
            <w:tcBorders>
              <w:top w:val="nil"/>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op w:val="nil"/>
            </w:tcBorders>
            <w:shd w:color="auto" w:fill="auto" w:val="clear"/>
          </w:tcPr>
          <w:p>
            <w:pPr>
              <w:pStyle w:val="Normal"/>
              <w:widowControl w:val="false"/>
              <w:suppressAutoHyphens w:val="true"/>
              <w:spacing w:before="0" w:after="0"/>
              <w:jc w:val="both"/>
              <w:rPr>
                <w:sz w:val="24"/>
                <w:szCs w:val="24"/>
              </w:rPr>
            </w:pPr>
            <w:r>
              <w:rPr>
                <w:rFonts w:eastAsia="Times New Roman" w:cs="Times New Roman"/>
                <w:kern w:val="0"/>
                <w:sz w:val="24"/>
                <w:szCs w:val="24"/>
                <w:lang w:val="ru-RU" w:eastAsia="ru-RU" w:bidi="ar-SA"/>
              </w:rPr>
              <w:t>Срок годности Товара от даты поставки не должен быть менее 12 месяцев.</w:t>
            </w:r>
          </w:p>
        </w:tc>
        <w:tc>
          <w:tcPr>
            <w:tcW w:w="2267" w:type="dxa"/>
            <w:tcBorders>
              <w:top w:val="nil"/>
            </w:tcBorders>
            <w:shd w:color="auto" w:fill="auto" w:val="clear"/>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op w:val="nil"/>
            </w:tcBorders>
            <w:shd w:color="auto" w:fill="auto" w:val="clear"/>
          </w:tcPr>
          <w:p>
            <w:pPr>
              <w:pStyle w:val="Normal"/>
              <w:widowControl w:val="false"/>
              <w:suppressAutoHyphens w:val="true"/>
              <w:spacing w:before="0" w:after="0"/>
              <w:jc w:val="left"/>
              <w:rPr>
                <w:sz w:val="24"/>
                <w:szCs w:val="24"/>
              </w:rPr>
            </w:pPr>
            <w:r>
              <w:rPr>
                <w:sz w:val="24"/>
                <w:szCs w:val="24"/>
              </w:rPr>
            </w:r>
          </w:p>
        </w:tc>
        <w:tc>
          <w:tcPr>
            <w:tcW w:w="2129" w:type="dxa"/>
            <w:tcBorders>
              <w:top w:val="nil"/>
            </w:tcBorders>
            <w:shd w:color="auto" w:fill="auto" w:val="clear"/>
          </w:tcPr>
          <w:p>
            <w:pPr>
              <w:pStyle w:val="Normal"/>
              <w:widowControl w:val="false"/>
              <w:suppressAutoHyphens w:val="true"/>
              <w:spacing w:before="0" w:after="0"/>
              <w:jc w:val="left"/>
              <w:rPr>
                <w:sz w:val="24"/>
                <w:szCs w:val="24"/>
              </w:rPr>
            </w:pPr>
            <w:r>
              <w:rPr>
                <w:sz w:val="24"/>
                <w:szCs w:val="24"/>
              </w:rPr>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b/>
                <w:bCs/>
                <w:sz w:val="24"/>
                <w:szCs w:val="24"/>
              </w:rPr>
            </w:pPr>
            <w:r>
              <w:rPr>
                <w:rFonts w:eastAsia="Times New Roman" w:cs="Times New Roman"/>
                <w:b/>
                <w:kern w:val="0"/>
                <w:sz w:val="24"/>
                <w:szCs w:val="24"/>
                <w:lang w:val="ru-RU" w:eastAsia="ru-RU" w:bidi="ar-SA"/>
              </w:rPr>
              <w:t>Требования к безопасности</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cPr>
          <w:p>
            <w:pPr>
              <w:pStyle w:val="Normal"/>
              <w:widowControl w:val="false"/>
              <w:suppressAutoHyphens w:val="true"/>
              <w:spacing w:before="0" w:after="0"/>
              <w:jc w:val="left"/>
              <w:rPr>
                <w:b/>
                <w:bCs/>
                <w:sz w:val="24"/>
                <w:szCs w:val="24"/>
              </w:rPr>
            </w:pPr>
            <w:r>
              <w:rPr>
                <w:rFonts w:eastAsia="Times New Roman" w:cs="Times New Roman"/>
                <w:kern w:val="0"/>
                <w:sz w:val="24"/>
                <w:szCs w:val="24"/>
                <w:lang w:val="ru-RU" w:eastAsia="ru-RU" w:bidi="ar-SA"/>
              </w:rPr>
              <w:t>Очищающие пасты не должны содержать в своем составе минеральных абразивов, силиконов, мыла, горючих, летучих, органических растворителей.</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cPr>
          <w:p>
            <w:pPr>
              <w:pStyle w:val="Normal"/>
              <w:widowControl w:val="false"/>
              <w:suppressAutoHyphens w:val="true"/>
              <w:spacing w:before="0" w:after="0"/>
              <w:jc w:val="left"/>
              <w:rPr>
                <w:b/>
                <w:bCs/>
                <w:sz w:val="24"/>
                <w:szCs w:val="24"/>
              </w:rPr>
            </w:pPr>
            <w:r>
              <w:rPr>
                <w:rFonts w:eastAsia="Times New Roman" w:cs="Times New Roman"/>
                <w:kern w:val="0"/>
                <w:sz w:val="24"/>
                <w:szCs w:val="24"/>
                <w:lang w:val="ru-RU" w:eastAsia="ru-RU" w:bidi="ar-SA"/>
              </w:rPr>
              <w:t>Уровень pH Продукции приближен к нейтральному, не сушит, не стягивает и не раздражает кожу.</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b/>
                <w:bCs/>
                <w:sz w:val="24"/>
                <w:szCs w:val="24"/>
              </w:rPr>
            </w:pPr>
            <w:r>
              <w:rPr>
                <w:rFonts w:eastAsia="Times New Roman" w:cs="Times New Roman"/>
                <w:b/>
                <w:kern w:val="0"/>
                <w:sz w:val="24"/>
                <w:szCs w:val="24"/>
                <w:lang w:val="ru-RU" w:eastAsia="ru-RU" w:bidi="ar-SA"/>
              </w:rPr>
              <w:t>Требования к конструкции, изготовлению и материалам</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0" w:after="0"/>
              <w:jc w:val="center"/>
              <w:rPr>
                <w:b/>
                <w:sz w:val="24"/>
                <w:szCs w:val="24"/>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b/>
                <w:bCs/>
                <w:sz w:val="24"/>
                <w:szCs w:val="24"/>
              </w:rPr>
            </w:pPr>
            <w:r>
              <w:rPr>
                <w:rFonts w:eastAsia="Times New Roman" w:cs="Times New Roman"/>
                <w:kern w:val="0"/>
                <w:sz w:val="24"/>
                <w:szCs w:val="24"/>
                <w:lang w:val="ru-RU" w:eastAsia="ru-RU" w:bidi="ar-SA"/>
              </w:rPr>
              <w:t>Поставляемая продукция должна быть новой и ранее не использованной.</w:t>
            </w:r>
          </w:p>
        </w:tc>
        <w:tc>
          <w:tcPr>
            <w:tcW w:w="2267" w:type="dxa"/>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Твердое туалетное мыло</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Не допускаются на поверхности мыла трещины, полосы, выпоты, пятна. Консистенция твердая на ощупь. В разрезе однородная масса.</w:t>
            </w:r>
          </w:p>
          <w:p>
            <w:pPr>
              <w:pStyle w:val="Normal"/>
              <w:widowControl w:val="false"/>
              <w:suppressAutoHyphens w:val="true"/>
              <w:spacing w:before="0" w:after="0"/>
              <w:jc w:val="left"/>
              <w:rPr>
                <w:b/>
                <w:bCs/>
                <w:sz w:val="24"/>
                <w:szCs w:val="24"/>
              </w:rPr>
            </w:pPr>
            <w:r>
              <w:rPr>
                <w:rFonts w:eastAsia="Times New Roman" w:cs="Times New Roman"/>
                <w:b/>
                <w:bCs/>
                <w:kern w:val="0"/>
                <w:sz w:val="24"/>
                <w:szCs w:val="24"/>
                <w:lang w:val="ru-RU" w:eastAsia="ru-RU" w:bidi="ar-SA"/>
              </w:rPr>
              <w:t xml:space="preserve">Фасовка: </w:t>
            </w:r>
            <w:r>
              <w:rPr>
                <w:rFonts w:eastAsia="Times New Roman" w:cs="Times New Roman"/>
                <w:b/>
                <w:bCs/>
                <w:kern w:val="0"/>
                <w:sz w:val="24"/>
                <w:szCs w:val="24"/>
                <w:lang w:val="ru-RU" w:eastAsia="en-US" w:bidi="ar-SA"/>
              </w:rPr>
              <w:t>не менее 100 гр в индивидуальной упаковке</w:t>
            </w:r>
            <w:r>
              <w:rPr>
                <w:rFonts w:eastAsia="Times New Roman" w:cs="Times New Roman"/>
                <w:b/>
                <w:bCs/>
                <w:kern w:val="0"/>
                <w:sz w:val="24"/>
                <w:szCs w:val="24"/>
                <w:lang w:val="ru-RU" w:eastAsia="ru-RU" w:bidi="ar-SA"/>
              </w:rPr>
              <w:t>.</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Жидкое туалетное мыло</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Жидкое средство для мягкого очищения кожи любого типа с увлажняющим эффектом.</w:t>
            </w:r>
          </w:p>
          <w:p>
            <w:pPr>
              <w:pStyle w:val="Normal"/>
              <w:widowControl w:val="false"/>
              <w:suppressAutoHyphens w:val="true"/>
              <w:spacing w:before="0" w:after="0"/>
              <w:jc w:val="left"/>
              <w:rPr>
                <w:b/>
                <w:bCs/>
                <w:sz w:val="24"/>
                <w:szCs w:val="24"/>
              </w:rPr>
            </w:pPr>
            <w:r>
              <w:rPr>
                <w:rFonts w:eastAsia="Times New Roman" w:cs="Times New Roman"/>
                <w:b/>
                <w:bCs/>
                <w:kern w:val="0"/>
                <w:sz w:val="24"/>
                <w:szCs w:val="24"/>
                <w:lang w:val="ru-RU" w:eastAsia="ru-RU" w:bidi="ar-SA"/>
              </w:rPr>
              <w:t>Фасовка: флакон с дозатором,</w:t>
            </w:r>
          </w:p>
          <w:p>
            <w:pPr>
              <w:pStyle w:val="Normal"/>
              <w:widowControl w:val="false"/>
              <w:suppressAutoHyphens w:val="true"/>
              <w:spacing w:before="0" w:after="0"/>
              <w:jc w:val="left"/>
              <w:rPr>
                <w:b/>
                <w:bCs/>
                <w:sz w:val="24"/>
                <w:szCs w:val="24"/>
              </w:rPr>
            </w:pPr>
            <w:r>
              <w:rPr>
                <w:rFonts w:eastAsia="Times New Roman" w:cs="Times New Roman"/>
                <w:b/>
                <w:bCs/>
                <w:kern w:val="0"/>
                <w:sz w:val="24"/>
                <w:szCs w:val="24"/>
                <w:lang w:val="ru-RU" w:eastAsia="ru-RU" w:bidi="ar-SA"/>
              </w:rPr>
              <w:t>не менее 250 мл</w:t>
            </w:r>
            <w:r>
              <w:rPr>
                <w:rFonts w:eastAsia="Times New Roman" w:cs="Times New Roman"/>
                <w:b/>
                <w:bCs/>
                <w:kern w:val="0"/>
                <w:sz w:val="24"/>
                <w:szCs w:val="24"/>
                <w:lang w:val="ru-RU" w:eastAsia="en-US" w:bidi="ar-SA"/>
              </w:rPr>
              <w:t xml:space="preserve"> не более 500 мл</w:t>
            </w:r>
            <w:r>
              <w:rPr>
                <w:rFonts w:eastAsia="Times New Roman" w:cs="Times New Roman"/>
                <w:b/>
                <w:bCs/>
                <w:kern w:val="0"/>
                <w:sz w:val="24"/>
                <w:szCs w:val="24"/>
                <w:lang w:val="ru-RU" w:eastAsia="ru-RU" w:bidi="ar-SA"/>
              </w:rPr>
              <w:t>.</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Регенерирующие, восстанавливающие кремы, лосьоны, гели, спреи</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Стимулирует защитную функцию кожи, интенсивно увлажняет и питает кожу, способствует заживлению микротрещин, быстро впитывается, не оставляя ощущения жирности и липкости на коже. Подходит для лица, для всех типов кожи.</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более 100 мл.</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Спрей для ног с противогрибковым действием</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Защитное средство эффективно снижает потоотделение и размягчение кожи, дезодорирует и обеспечивает эффективную защиту от неприятного запаха и профилактику грибковых заболеваний. Легко наносится, не</w:t>
            </w:r>
          </w:p>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оставляет ощущение липкости после нанесения. Не вызывает аллергии.</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более 100 мл.</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Крем, лосьон, гель, спрей для защиты кожи от УФ излучения диапазонов А, В, С</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Должен обладать широким спектром защитного действия, обеспечивая защиту от УФ излучения диапазонов А (320-400 Нм), В (280-320 нм) и С (при интенсивных сварочных работах).</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более 100 мл.</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Срок годности: не менее 30 месяцев от даты производства</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Крем, лосьон, эмульсия гидрофильного действия</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Существенно облегчает очистку от сильных загрязнений, быстро впитывается, не оставляя ощущения жирности и липкости на коже, защищает кожу в течение 4-х часов и более, подходит для лица, для всех типов кожи.</w:t>
            </w:r>
          </w:p>
          <w:p>
            <w:pPr>
              <w:pStyle w:val="Normal"/>
              <w:widowControl w:val="false"/>
              <w:suppressAutoHyphens w:val="true"/>
              <w:spacing w:before="0" w:after="0"/>
              <w:jc w:val="left"/>
              <w:rPr>
                <w:rFonts w:ascii="Times New Roman" w:hAnsi="Times New Roman" w:eastAsia="Times New Roman" w:cs="Times New Roman"/>
                <w:b/>
                <w:bCs/>
                <w:kern w:val="0"/>
                <w:sz w:val="24"/>
                <w:szCs w:val="24"/>
                <w:lang w:val="ru-RU" w:eastAsia="ru-RU" w:bidi="ar-SA"/>
              </w:rPr>
            </w:pPr>
            <w:r>
              <w:rPr>
                <w:rFonts w:eastAsia="Times New Roman" w:cs="Times New Roman"/>
                <w:b/>
                <w:bCs/>
                <w:kern w:val="0"/>
                <w:sz w:val="24"/>
                <w:szCs w:val="24"/>
                <w:lang w:val="ru-RU" w:eastAsia="ru-RU" w:bidi="ar-SA"/>
              </w:rPr>
              <w:t>Фасовка: не менее 100 мл.</w:t>
            </w:r>
          </w:p>
          <w:p>
            <w:pPr>
              <w:pStyle w:val="Normal"/>
              <w:widowControl w:val="false"/>
              <w:suppressAutoHyphens w:val="true"/>
              <w:spacing w:before="0" w:after="0"/>
              <w:jc w:val="left"/>
              <w:rPr>
                <w:rFonts w:ascii="Times New Roman" w:hAnsi="Times New Roman" w:eastAsia="Times New Roman" w:cs="Times New Roman"/>
                <w:b/>
                <w:bCs/>
                <w:kern w:val="0"/>
                <w:sz w:val="24"/>
                <w:szCs w:val="24"/>
                <w:lang w:val="ru-RU" w:eastAsia="ru-RU" w:bidi="ar-SA"/>
              </w:rPr>
            </w:pPr>
            <w:r>
              <w:rPr>
                <w:rFonts w:eastAsia="Times New Roman" w:cs="Times New Roman"/>
                <w:b/>
                <w:bCs/>
                <w:kern w:val="0"/>
                <w:sz w:val="24"/>
                <w:szCs w:val="24"/>
                <w:lang w:val="ru-RU" w:eastAsia="ru-RU" w:bidi="ar-SA"/>
              </w:rPr>
              <w:t>Срок годности: не менее 30 месяцев от даты производства</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Очищающие кремы, гели и пасты от устойчивых загрязнений</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Содержит натуральное абразивное вещество мелкой фракции; Абразивные вещества, содержащиеся в пастах, не должны приводить к травмированию кожи, возникновению аллергических реакций и грибковых заболеваний.</w:t>
            </w:r>
          </w:p>
          <w:p>
            <w:pPr>
              <w:pStyle w:val="Normal"/>
              <w:widowControl w:val="false"/>
              <w:suppressAutoHyphens w:val="true"/>
              <w:spacing w:before="0" w:after="0"/>
              <w:jc w:val="left"/>
              <w:rPr>
                <w:rFonts w:ascii="Times New Roman" w:hAnsi="Times New Roman" w:eastAsia="Times New Roman" w:cs="Times New Roman"/>
                <w:kern w:val="0"/>
                <w:lang w:val="ru-RU" w:eastAsia="ru-RU" w:bidi="ar-SA"/>
              </w:rPr>
            </w:pPr>
            <w:r>
              <w:rPr>
                <w:rFonts w:eastAsia="Times New Roman" w:cs="Times New Roman"/>
                <w:b/>
                <w:bCs/>
                <w:kern w:val="0"/>
                <w:sz w:val="24"/>
                <w:szCs w:val="24"/>
                <w:lang w:val="ru-RU" w:eastAsia="ru-RU" w:bidi="ar-SA"/>
              </w:rPr>
              <w:t>Фасовка: не менее 200 мл.</w:t>
            </w:r>
          </w:p>
          <w:p>
            <w:pPr>
              <w:pStyle w:val="Normal"/>
              <w:widowControl w:val="false"/>
              <w:suppressAutoHyphens w:val="true"/>
              <w:spacing w:before="0" w:after="0"/>
              <w:jc w:val="left"/>
              <w:rPr>
                <w:rFonts w:ascii="Times New Roman" w:hAnsi="Times New Roman" w:eastAsia="Times New Roman" w:cs="Times New Roman"/>
                <w:b/>
                <w:bCs/>
                <w:kern w:val="0"/>
                <w:sz w:val="24"/>
                <w:szCs w:val="24"/>
                <w:lang w:val="ru-RU" w:eastAsia="ru-RU" w:bidi="ar-SA"/>
              </w:rPr>
            </w:pPr>
            <w:r>
              <w:rPr>
                <w:rFonts w:eastAsia="Times New Roman" w:cs="Times New Roman"/>
                <w:b/>
                <w:bCs/>
                <w:kern w:val="0"/>
                <w:sz w:val="24"/>
                <w:szCs w:val="24"/>
                <w:lang w:val="ru-RU" w:eastAsia="ru-RU" w:bidi="ar-SA"/>
              </w:rPr>
              <w:t>Срок годности: не менее 30 месяцев от даты производства</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Крем, лосьон, эмульсия гидрофобного действия</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Существенно облегчает очистку от сильных загрязнений, быстро впитывается, не оставляя ощущения жирности и липкости на коже, имеет высокую водоотталкивающую способность, защищает кожу в течение 4-х часов и более, подходит для лица, для всех типов кожи.</w:t>
            </w:r>
          </w:p>
          <w:p>
            <w:pPr>
              <w:pStyle w:val="Normal"/>
              <w:widowControl w:val="false"/>
              <w:suppressAutoHyphens w:val="true"/>
              <w:spacing w:before="0" w:after="0"/>
              <w:jc w:val="left"/>
              <w:rPr>
                <w:rFonts w:ascii="Times New Roman" w:hAnsi="Times New Roman" w:eastAsia="Times New Roman" w:cs="Times New Roman"/>
                <w:b/>
                <w:bCs/>
                <w:kern w:val="0"/>
                <w:sz w:val="24"/>
                <w:szCs w:val="24"/>
                <w:lang w:val="ru-RU" w:eastAsia="ru-RU" w:bidi="ar-SA"/>
              </w:rPr>
            </w:pPr>
            <w:r>
              <w:rPr>
                <w:rFonts w:eastAsia="Times New Roman" w:cs="Times New Roman"/>
                <w:b/>
                <w:bCs/>
                <w:kern w:val="0"/>
                <w:sz w:val="24"/>
                <w:szCs w:val="24"/>
                <w:lang w:val="ru-RU" w:eastAsia="ru-RU" w:bidi="ar-SA"/>
              </w:rPr>
              <w:t>Фасовка: не менее 100 мл.</w:t>
            </w:r>
          </w:p>
          <w:p>
            <w:pPr>
              <w:pStyle w:val="Normal"/>
              <w:widowControl w:val="false"/>
              <w:suppressAutoHyphens w:val="true"/>
              <w:spacing w:before="0" w:after="0"/>
              <w:jc w:val="left"/>
              <w:rPr>
                <w:rFonts w:ascii="Times New Roman" w:hAnsi="Times New Roman" w:eastAsia="Times New Roman" w:cs="Times New Roman"/>
                <w:b/>
                <w:bCs/>
                <w:kern w:val="0"/>
                <w:sz w:val="24"/>
                <w:szCs w:val="24"/>
                <w:lang w:val="ru-RU" w:eastAsia="ru-RU" w:bidi="ar-SA"/>
              </w:rPr>
            </w:pPr>
            <w:r>
              <w:rPr>
                <w:rFonts w:eastAsia="Times New Roman" w:cs="Times New Roman"/>
                <w:b/>
                <w:bCs/>
                <w:kern w:val="0"/>
                <w:sz w:val="24"/>
                <w:szCs w:val="24"/>
                <w:lang w:val="ru-RU" w:eastAsia="ru-RU" w:bidi="ar-SA"/>
              </w:rPr>
              <w:t>Срок годности: не менее 30 месяцев от даты производства</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Антисептики для рук (спреи, гели, растворы) гидрофобного действия</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Обладает ухаживающим и увлажняющим эффект для гигиены рук без использования воды. Обладает антибактериальным действием, вироцидной и фунгицидной активностью, содержит ухаживающие ингредиенты (пантенол, глицерин), уменьшает неприятные запахи на коже.</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менее 100 мл.</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Репеллентные средства: крем, лосьон, гель, спрей</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Репеллент должен обладать универсальным действием – защищать от широкого спектра кровососущих насекомых (мошки, слепни, комары, мокрецы, москиты, блохи), иметь возможность нанесения как на кожу, так и на одежду.</w:t>
            </w:r>
          </w:p>
          <w:p>
            <w:pPr>
              <w:pStyle w:val="Normal"/>
              <w:widowControl w:val="false"/>
              <w:tabs>
                <w:tab w:val="clear" w:pos="708"/>
                <w:tab w:val="left" w:pos="360" w:leader="none"/>
              </w:tabs>
              <w:suppressAutoHyphens w:val="true"/>
              <w:spacing w:before="0" w:after="0"/>
              <w:jc w:val="left"/>
              <w:rPr>
                <w:bCs/>
                <w:sz w:val="24"/>
                <w:szCs w:val="24"/>
              </w:rPr>
            </w:pPr>
            <w:r>
              <w:rPr>
                <w:rFonts w:eastAsia="Times New Roman" w:cs="Times New Roman"/>
                <w:bCs/>
                <w:kern w:val="0"/>
                <w:sz w:val="24"/>
                <w:szCs w:val="24"/>
                <w:lang w:val="ru-RU" w:eastAsia="ru-RU" w:bidi="ar-SA"/>
              </w:rPr>
              <w:t>Время защитного действия:</w:t>
            </w:r>
          </w:p>
          <w:p>
            <w:pPr>
              <w:pStyle w:val="Normal"/>
              <w:widowControl w:val="false"/>
              <w:tabs>
                <w:tab w:val="clear" w:pos="708"/>
                <w:tab w:val="left" w:pos="360" w:leader="none"/>
              </w:tabs>
              <w:suppressAutoHyphens w:val="true"/>
              <w:spacing w:before="0" w:after="0"/>
              <w:jc w:val="left"/>
              <w:rPr>
                <w:bCs/>
                <w:sz w:val="24"/>
                <w:szCs w:val="24"/>
              </w:rPr>
            </w:pPr>
            <w:r>
              <w:rPr>
                <w:rFonts w:eastAsia="Times New Roman" w:cs="Times New Roman"/>
                <w:bCs/>
                <w:kern w:val="0"/>
                <w:sz w:val="24"/>
                <w:szCs w:val="24"/>
                <w:lang w:val="ru-RU" w:eastAsia="ru-RU" w:bidi="ar-SA"/>
              </w:rPr>
              <w:t>а) при нанесении на кожу – более 4-х часов;</w:t>
            </w:r>
          </w:p>
          <w:p>
            <w:pPr>
              <w:pStyle w:val="Normal"/>
              <w:widowControl w:val="false"/>
              <w:tabs>
                <w:tab w:val="clear" w:pos="708"/>
                <w:tab w:val="left" w:pos="360" w:leader="none"/>
              </w:tabs>
              <w:suppressAutoHyphens w:val="true"/>
              <w:spacing w:before="0" w:after="0"/>
              <w:jc w:val="left"/>
              <w:rPr>
                <w:bCs/>
                <w:sz w:val="24"/>
                <w:szCs w:val="24"/>
              </w:rPr>
            </w:pPr>
            <w:r>
              <w:rPr>
                <w:rFonts w:eastAsia="Times New Roman" w:cs="Times New Roman"/>
                <w:bCs/>
                <w:kern w:val="0"/>
                <w:sz w:val="24"/>
                <w:szCs w:val="24"/>
                <w:lang w:val="ru-RU" w:eastAsia="ru-RU" w:bidi="ar-SA"/>
              </w:rPr>
              <w:t>б) на одежду от насекомых – до 30 суток;</w:t>
            </w:r>
          </w:p>
          <w:p>
            <w:pPr>
              <w:pStyle w:val="Normal"/>
              <w:widowControl w:val="false"/>
              <w:suppressAutoHyphens w:val="true"/>
              <w:spacing w:before="0" w:after="0"/>
              <w:jc w:val="left"/>
              <w:rPr>
                <w:bCs/>
                <w:sz w:val="24"/>
                <w:szCs w:val="24"/>
              </w:rPr>
            </w:pPr>
            <w:r>
              <w:rPr>
                <w:bCs/>
                <w:sz w:val="24"/>
                <w:szCs w:val="24"/>
              </w:rPr>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Концентрация действующего вещества: не ниже 20%, не выше 35%.</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менее 200 мл.</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Срок годности: не менее 36 месяцев от даты производства.</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Инсектоакарицидные средства: спрей, раствор</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Должно обеспечивать эффективную защиту от клещей при сохранении требований безопасности за счет содержания активного вещества – N,N- диэтилтолуамид (не менее 29 % и не более 31 %).</w:t>
            </w:r>
          </w:p>
          <w:p>
            <w:pPr>
              <w:pStyle w:val="Normal"/>
              <w:widowControl w:val="false"/>
              <w:tabs>
                <w:tab w:val="clear" w:pos="708"/>
                <w:tab w:val="left" w:pos="360" w:leader="none"/>
              </w:tabs>
              <w:suppressAutoHyphens w:val="true"/>
              <w:spacing w:before="0" w:after="0"/>
              <w:jc w:val="left"/>
              <w:rPr>
                <w:bCs/>
                <w:sz w:val="24"/>
                <w:szCs w:val="24"/>
              </w:rPr>
            </w:pPr>
            <w:r>
              <w:rPr>
                <w:rFonts w:eastAsia="Times New Roman" w:cs="Times New Roman"/>
                <w:bCs/>
                <w:kern w:val="0"/>
                <w:sz w:val="24"/>
                <w:szCs w:val="24"/>
                <w:lang w:val="ru-RU" w:eastAsia="ru-RU" w:bidi="ar-SA"/>
              </w:rPr>
              <w:t>Время защитного действия от клещей – не менее 3-х суток.</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более 200 мл.</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66" w:type="dxa"/>
            <w:gridSpan w:val="2"/>
            <w:tcBorders/>
            <w:vAlign w:val="center"/>
          </w:tcPr>
          <w:p>
            <w:pPr>
              <w:pStyle w:val="Normal"/>
              <w:widowControl w:val="false"/>
              <w:suppressAutoHyphens w:val="true"/>
              <w:spacing w:before="0" w:after="0"/>
              <w:jc w:val="left"/>
              <w:rPr>
                <w:bCs/>
                <w:sz w:val="24"/>
                <w:szCs w:val="24"/>
              </w:rPr>
            </w:pPr>
            <w:r>
              <w:rPr>
                <w:rFonts w:eastAsia="Times New Roman" w:cs="Times New Roman"/>
                <w:bCs/>
                <w:color w:val="000000"/>
                <w:kern w:val="0"/>
                <w:sz w:val="24"/>
                <w:szCs w:val="24"/>
                <w:lang w:val="ru-RU" w:eastAsia="ru-RU" w:bidi="ar-SA"/>
              </w:rPr>
              <w:t>Крем, лосьон, гель, спрей от негативного влияния окружающей среды для защиты кожи в условиях пониженных температур, ветра</w:t>
            </w:r>
          </w:p>
        </w:tc>
        <w:tc>
          <w:tcPr>
            <w:tcW w:w="5105" w:type="dxa"/>
            <w:tcBorders/>
            <w:vAlign w:val="center"/>
          </w:tcPr>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Крем должен быть устойчивым к пониженным температурам, легко наноситься в условиях низких температур, должен быстро впитываться, не оставляя на коже неприятного ощущения липкости и жирности, защищает кожу в течение 4- х часов и более, подходит для лица, для всех типов кожи.</w:t>
            </w:r>
          </w:p>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Крем должен выдерживать не менее 3-х</w:t>
            </w:r>
          </w:p>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циклов замораживания и размораживания</w:t>
            </w:r>
          </w:p>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(от минус 20 °С до плюс 20 °С), после</w:t>
            </w:r>
          </w:p>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чего не должен расслаиваться и изменять</w:t>
            </w:r>
          </w:p>
          <w:p>
            <w:pPr>
              <w:pStyle w:val="Normal"/>
              <w:widowControl w:val="false"/>
              <w:suppressAutoHyphens w:val="true"/>
              <w:spacing w:before="0" w:after="0"/>
              <w:jc w:val="left"/>
              <w:rPr>
                <w:bCs/>
                <w:sz w:val="24"/>
                <w:szCs w:val="24"/>
              </w:rPr>
            </w:pPr>
            <w:r>
              <w:rPr>
                <w:rFonts w:eastAsia="Times New Roman" w:cs="Times New Roman"/>
                <w:bCs/>
                <w:kern w:val="0"/>
                <w:sz w:val="24"/>
                <w:szCs w:val="24"/>
                <w:lang w:val="ru-RU" w:eastAsia="ru-RU" w:bidi="ar-SA"/>
              </w:rPr>
              <w:t>свои органолептические и физикохимические свойства.</w:t>
            </w:r>
          </w:p>
          <w:p>
            <w:pPr>
              <w:pStyle w:val="Normal"/>
              <w:widowControl w:val="false"/>
              <w:suppressAutoHyphens w:val="true"/>
              <w:spacing w:before="0" w:after="0"/>
              <w:jc w:val="left"/>
              <w:rPr>
                <w:bCs/>
                <w:sz w:val="24"/>
                <w:szCs w:val="24"/>
              </w:rPr>
            </w:pPr>
            <w:r>
              <w:rPr>
                <w:rFonts w:eastAsia="Times New Roman" w:cs="Times New Roman"/>
                <w:b/>
                <w:bCs/>
                <w:kern w:val="0"/>
                <w:sz w:val="24"/>
                <w:szCs w:val="24"/>
                <w:lang w:val="ru-RU" w:eastAsia="ru-RU" w:bidi="ar-SA"/>
              </w:rPr>
              <w:t>Фасовка: не менее 100 мл.</w:t>
            </w:r>
          </w:p>
          <w:p>
            <w:pPr>
              <w:pStyle w:val="Normal"/>
              <w:widowControl w:val="false"/>
              <w:suppressAutoHyphens w:val="true"/>
              <w:spacing w:before="0" w:after="0"/>
              <w:jc w:val="left"/>
              <w:rPr>
                <w:rFonts w:ascii="Times New Roman" w:hAnsi="Times New Roman" w:eastAsia="Times New Roman" w:cs="Times New Roman"/>
                <w:b/>
                <w:bCs/>
                <w:kern w:val="0"/>
                <w:sz w:val="24"/>
                <w:szCs w:val="24"/>
                <w:lang w:val="ru-RU" w:eastAsia="ru-RU" w:bidi="ar-SA"/>
              </w:rPr>
            </w:pPr>
            <w:r>
              <w:rPr>
                <w:rFonts w:eastAsia="Times New Roman" w:cs="Times New Roman"/>
                <w:b/>
                <w:bCs/>
                <w:kern w:val="0"/>
                <w:sz w:val="24"/>
                <w:szCs w:val="24"/>
                <w:lang w:val="ru-RU" w:eastAsia="ru-RU" w:bidi="ar-SA"/>
              </w:rPr>
              <w:t>Срок годности: не менее 30 месяцев от даты производства</w:t>
            </w:r>
          </w:p>
        </w:tc>
        <w:tc>
          <w:tcPr>
            <w:tcW w:w="2267" w:type="dxa"/>
            <w:tcBorders/>
          </w:tcPr>
          <w:p>
            <w:pPr>
              <w:pStyle w:val="Normal"/>
              <w:widowControl w:val="false"/>
              <w:suppressAutoHyphens w:val="true"/>
              <w:spacing w:before="0" w:after="0"/>
              <w:jc w:val="center"/>
              <w:rPr>
                <w:b/>
                <w:sz w:val="24"/>
                <w:szCs w:val="24"/>
              </w:rPr>
            </w:pPr>
            <w:r>
              <w:rPr>
                <w:rFonts w:eastAsia="Times New Roman" w:cs="Times New Roman"/>
                <w:kern w:val="0"/>
                <w:sz w:val="24"/>
                <w:szCs w:val="24"/>
                <w:lang w:val="ru-RU" w:eastAsia="ru-RU" w:bidi="ar-SA"/>
              </w:rPr>
              <w:t>Указание характеристик</w:t>
            </w:r>
          </w:p>
        </w:tc>
        <w:tc>
          <w:tcPr>
            <w:tcW w:w="2692" w:type="dxa"/>
            <w:tcBorders/>
          </w:tcPr>
          <w:p>
            <w:pPr>
              <w:pStyle w:val="Normal"/>
              <w:widowControl w:val="false"/>
              <w:suppressAutoHyphens w:val="true"/>
              <w:spacing w:before="0" w:after="0"/>
              <w:jc w:val="center"/>
              <w:rPr>
                <w:b/>
                <w:sz w:val="24"/>
                <w:szCs w:val="24"/>
              </w:rPr>
            </w:pPr>
            <w:r>
              <w:rPr>
                <w:b/>
                <w:sz w:val="24"/>
                <w:szCs w:val="24"/>
              </w:rPr>
            </w:r>
          </w:p>
        </w:tc>
        <w:tc>
          <w:tcPr>
            <w:tcW w:w="2129" w:type="dxa"/>
            <w:tcBorders/>
          </w:tcPr>
          <w:p>
            <w:pPr>
              <w:pStyle w:val="Normal"/>
              <w:widowControl w:val="false"/>
              <w:suppressAutoHyphens w:val="true"/>
              <w:spacing w:before="0" w:after="0"/>
              <w:jc w:val="center"/>
              <w:rPr>
                <w:b/>
                <w:sz w:val="24"/>
                <w:szCs w:val="24"/>
              </w:rPr>
            </w:pPr>
            <w:r>
              <w:rPr>
                <w:b/>
                <w:sz w:val="24"/>
                <w:szCs w:val="24"/>
              </w:rPr>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b/>
                <w:bCs/>
                <w:sz w:val="24"/>
                <w:szCs w:val="24"/>
              </w:rPr>
            </w:pPr>
            <w:r>
              <w:rPr>
                <w:rFonts w:eastAsia="Times New Roman" w:cs="Times New Roman"/>
                <w:b/>
                <w:bCs/>
                <w:kern w:val="0"/>
                <w:sz w:val="24"/>
                <w:szCs w:val="24"/>
                <w:lang w:val="ru-RU" w:eastAsia="ru-RU" w:bidi="ar-SA"/>
              </w:rPr>
              <w:t>Требования к доставке,  маркировке, упаковке, транспортировке, перемещению, условиям хранения, приемке и испытаниям</w:t>
            </w:r>
          </w:p>
        </w:tc>
        <w:tc>
          <w:tcPr>
            <w:tcW w:w="2267" w:type="dxa"/>
            <w:tcBorders/>
          </w:tcPr>
          <w:p>
            <w:pPr>
              <w:pStyle w:val="Normal"/>
              <w:widowControl w:val="false"/>
              <w:suppressAutoHyphens w:val="true"/>
              <w:spacing w:before="0" w:after="0"/>
              <w:jc w:val="center"/>
              <w:rPr>
                <w:b/>
                <w:bCs/>
                <w:sz w:val="24"/>
                <w:szCs w:val="24"/>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0" w:after="0"/>
              <w:jc w:val="center"/>
              <w:rPr>
                <w:b/>
                <w:bCs/>
                <w:sz w:val="24"/>
                <w:szCs w:val="24"/>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0" w:after="0"/>
              <w:jc w:val="center"/>
              <w:rPr>
                <w:b/>
                <w:bCs/>
                <w:sz w:val="24"/>
                <w:szCs w:val="24"/>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2255" w:type="dxa"/>
            <w:tcBorders>
              <w:right w:val="nil"/>
            </w:tcBorders>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Адрес доставки:</w:t>
            </w:r>
          </w:p>
        </w:tc>
        <w:tc>
          <w:tcPr>
            <w:tcW w:w="5116" w:type="dxa"/>
            <w:gridSpan w:val="2"/>
            <w:tcBorders/>
          </w:tcPr>
          <w:p>
            <w:pPr>
              <w:pStyle w:val="Normal"/>
              <w:widowControl w:val="false"/>
              <w:spacing w:before="0" w:after="0"/>
              <w:ind w:hanging="0"/>
              <w:contextualSpacing/>
              <w:jc w:val="both"/>
              <w:rPr>
                <w:sz w:val="22"/>
                <w:szCs w:val="22"/>
              </w:rPr>
            </w:pPr>
            <w:r>
              <w:rPr>
                <w:sz w:val="22"/>
                <w:szCs w:val="22"/>
              </w:rPr>
              <w:t>- Аппарат управления</w:t>
            </w:r>
            <w:r>
              <w:rPr>
                <w:rFonts w:eastAsia="Times New Roman" w:cs="Times New Roman"/>
                <w:color w:val="auto"/>
                <w:kern w:val="0"/>
                <w:sz w:val="22"/>
                <w:szCs w:val="22"/>
                <w:lang w:val="ru-RU" w:eastAsia="ru-RU" w:bidi="ar-SA"/>
              </w:rPr>
              <w:t>, Хабаровский край,  г. Хабаровск, ул. Ленинградская, д. 46, 9 этаж;</w:t>
            </w:r>
          </w:p>
          <w:p>
            <w:pPr>
              <w:pStyle w:val="Normal"/>
              <w:widowControl w:val="false"/>
              <w:spacing w:before="0" w:after="0"/>
              <w:ind w:hanging="0"/>
              <w:contextualSpacing/>
              <w:jc w:val="both"/>
              <w:rPr>
                <w:sz w:val="22"/>
                <w:szCs w:val="22"/>
              </w:rPr>
            </w:pPr>
            <w:r>
              <w:rPr>
                <w:sz w:val="22"/>
                <w:szCs w:val="22"/>
              </w:rPr>
              <w:t xml:space="preserve">- Хабаровский </w:t>
            </w:r>
            <w:r>
              <w:rPr>
                <w:rFonts w:eastAsia="Times New Roman" w:cs="Times New Roman"/>
                <w:color w:val="auto"/>
                <w:kern w:val="0"/>
                <w:sz w:val="22"/>
                <w:szCs w:val="22"/>
                <w:lang w:val="ru-RU" w:eastAsia="ru-RU" w:bidi="ar-SA"/>
              </w:rPr>
              <w:t xml:space="preserve">транспортный участок и </w:t>
            </w:r>
            <w:r>
              <w:rPr>
                <w:sz w:val="22"/>
                <w:szCs w:val="22"/>
              </w:rPr>
              <w:t xml:space="preserve"> строительный участок, Хабаровский край, г. Хабаровск, ул. Автономная, д. 5;</w:t>
            </w:r>
          </w:p>
          <w:p>
            <w:pPr>
              <w:pStyle w:val="Normal"/>
              <w:widowControl w:val="false"/>
              <w:spacing w:before="0" w:after="0"/>
              <w:ind w:hanging="0"/>
              <w:contextualSpacing/>
              <w:jc w:val="both"/>
              <w:rPr>
                <w:sz w:val="22"/>
                <w:szCs w:val="22"/>
              </w:rPr>
            </w:pPr>
            <w:r>
              <w:rPr>
                <w:rFonts w:eastAsia="Times New Roman" w:cs="Times New Roman"/>
                <w:color w:val="auto"/>
                <w:kern w:val="0"/>
                <w:sz w:val="22"/>
                <w:szCs w:val="22"/>
                <w:lang w:val="ru-RU" w:eastAsia="ru-RU" w:bidi="ar-SA"/>
              </w:rPr>
              <w:t>- Хабаровский участок расчистки просек, Хабаровский край, г. Хабаровск, ул. Автономная, д. 5;</w:t>
            </w:r>
          </w:p>
          <w:p>
            <w:pPr>
              <w:pStyle w:val="Normal"/>
              <w:widowControl w:val="false"/>
              <w:spacing w:before="0" w:after="0"/>
              <w:ind w:hanging="0"/>
              <w:contextualSpacing/>
              <w:jc w:val="both"/>
              <w:rPr>
                <w:sz w:val="22"/>
                <w:szCs w:val="22"/>
              </w:rPr>
            </w:pPr>
            <w:r>
              <w:rPr>
                <w:rFonts w:eastAsia="Times New Roman" w:cs="Times New Roman"/>
                <w:bCs/>
                <w:color w:val="auto"/>
                <w:kern w:val="0"/>
                <w:sz w:val="22"/>
                <w:szCs w:val="22"/>
                <w:lang w:val="ru-RU" w:eastAsia="ru-RU" w:bidi="ar-SA"/>
              </w:rPr>
              <w:t>- Южно-Сахалинский участок расчистки просек, Сахалинская область, г. Южно-Сахалинск ул. Шлакоблочная, д. 28;</w:t>
            </w:r>
          </w:p>
          <w:p>
            <w:pPr>
              <w:pStyle w:val="Normal"/>
              <w:widowControl w:val="false"/>
              <w:spacing w:before="0" w:after="0"/>
              <w:ind w:hanging="0"/>
              <w:contextualSpacing/>
              <w:jc w:val="both"/>
              <w:rPr>
                <w:sz w:val="22"/>
                <w:szCs w:val="22"/>
              </w:rPr>
            </w:pPr>
            <w:r>
              <w:rPr>
                <w:sz w:val="22"/>
                <w:szCs w:val="22"/>
              </w:rPr>
              <w:t>- Бурейский транспортный участок, Амурская область, п. Талакан, база флота Бурейской ГЭС;</w:t>
            </w:r>
          </w:p>
          <w:p>
            <w:pPr>
              <w:pStyle w:val="Normal"/>
              <w:widowControl w:val="false"/>
              <w:spacing w:before="0" w:after="0"/>
              <w:ind w:hanging="0"/>
              <w:contextualSpacing/>
              <w:jc w:val="both"/>
              <w:rPr>
                <w:sz w:val="22"/>
                <w:szCs w:val="22"/>
              </w:rPr>
            </w:pPr>
            <w:r>
              <w:rPr>
                <w:sz w:val="22"/>
                <w:szCs w:val="22"/>
              </w:rPr>
              <w:t xml:space="preserve">- </w:t>
            </w:r>
            <w:r>
              <w:rPr>
                <w:rFonts w:eastAsia="Times New Roman" w:cs="Times New Roman"/>
                <w:color w:val="auto"/>
                <w:kern w:val="0"/>
                <w:sz w:val="22"/>
                <w:szCs w:val="22"/>
                <w:lang w:val="ru-RU" w:eastAsia="ru-RU" w:bidi="ar-SA"/>
              </w:rPr>
              <w:t>Участок Нижне-Бурейский, Амурская область, Бурейский р-н, п. Николаевка, мкр. Гидростроителей;</w:t>
            </w:r>
          </w:p>
          <w:p>
            <w:pPr>
              <w:pStyle w:val="Normal"/>
              <w:widowControl w:val="false"/>
              <w:spacing w:before="0" w:after="0"/>
              <w:ind w:hanging="0"/>
              <w:contextualSpacing/>
              <w:jc w:val="both"/>
              <w:rPr>
                <w:sz w:val="22"/>
                <w:szCs w:val="22"/>
              </w:rPr>
            </w:pPr>
            <w:r>
              <w:rPr>
                <w:sz w:val="22"/>
                <w:szCs w:val="22"/>
              </w:rPr>
              <w:t>- Зейский транспортный участок, Амурская область, г. Зея (терминал транспортной компании);</w:t>
            </w:r>
          </w:p>
          <w:p>
            <w:pPr>
              <w:pStyle w:val="Normal"/>
              <w:widowControl w:val="false"/>
              <w:spacing w:before="0" w:after="0"/>
              <w:ind w:hanging="0"/>
              <w:contextualSpacing/>
              <w:jc w:val="both"/>
              <w:rPr>
                <w:sz w:val="22"/>
                <w:szCs w:val="22"/>
              </w:rPr>
            </w:pPr>
            <w:r>
              <w:rPr>
                <w:sz w:val="22"/>
                <w:szCs w:val="22"/>
              </w:rPr>
              <w:t>-</w:t>
            </w:r>
            <w:r>
              <w:rPr>
                <w:rFonts w:eastAsia="Times New Roman" w:cs="Times New Roman"/>
                <w:color w:val="auto"/>
                <w:kern w:val="0"/>
                <w:sz w:val="22"/>
                <w:szCs w:val="22"/>
                <w:lang w:val="ru-RU" w:eastAsia="ru-RU" w:bidi="ar-SA"/>
              </w:rPr>
              <w:t xml:space="preserve"> Якутский транспортный участок, Республика Саха (Якутия), г. Якутск , пр. им. Михаила Николаева, д. 36;</w:t>
            </w:r>
          </w:p>
          <w:p>
            <w:pPr>
              <w:pStyle w:val="Normal"/>
              <w:widowControl w:val="false"/>
              <w:spacing w:before="0" w:after="0"/>
              <w:ind w:hanging="0"/>
              <w:contextualSpacing/>
              <w:jc w:val="both"/>
              <w:rPr>
                <w:sz w:val="22"/>
                <w:szCs w:val="22"/>
              </w:rPr>
            </w:pPr>
            <w:r>
              <w:rPr>
                <w:rFonts w:eastAsia="Times New Roman" w:cs="Times New Roman"/>
                <w:color w:val="auto"/>
                <w:kern w:val="0"/>
                <w:sz w:val="22"/>
                <w:szCs w:val="22"/>
                <w:lang w:val="ru-RU" w:eastAsia="ru-RU" w:bidi="ar-SA"/>
              </w:rPr>
              <w:t>- Транспортный участок Нерюнгри, Республика Саха (Якутия), г Нерюнгри, ул. Донецкая, д. 34;</w:t>
            </w:r>
          </w:p>
          <w:p>
            <w:pPr>
              <w:pStyle w:val="Normal"/>
              <w:widowControl w:val="false"/>
              <w:spacing w:before="0" w:after="0"/>
              <w:ind w:hanging="0"/>
              <w:contextualSpacing/>
              <w:jc w:val="both"/>
              <w:rPr>
                <w:sz w:val="22"/>
                <w:szCs w:val="22"/>
              </w:rPr>
            </w:pPr>
            <w:r>
              <w:rPr>
                <w:rFonts w:eastAsia="Times New Roman" w:cs="Times New Roman"/>
                <w:color w:val="auto"/>
                <w:kern w:val="0"/>
                <w:sz w:val="22"/>
                <w:szCs w:val="22"/>
                <w:lang w:val="ru-RU" w:eastAsia="ru-RU" w:bidi="ar-SA"/>
              </w:rPr>
              <w:t>- Строительный участок Нерюнгри, Республика Саха (Якутия), Нерюнгринский район, п. Серебряный Бор;</w:t>
            </w:r>
          </w:p>
          <w:p>
            <w:pPr>
              <w:pStyle w:val="Normal"/>
              <w:widowControl w:val="false"/>
              <w:spacing w:before="0" w:after="0"/>
              <w:ind w:hanging="0"/>
              <w:contextualSpacing/>
              <w:jc w:val="both"/>
              <w:rPr>
                <w:sz w:val="22"/>
                <w:szCs w:val="22"/>
              </w:rPr>
            </w:pPr>
            <w:r>
              <w:rPr>
                <w:sz w:val="22"/>
                <w:szCs w:val="22"/>
              </w:rPr>
              <w:t>- Владивостокский строительный участок, Приморский край, г. Владивосток, ул. Фадеева 47а.;</w:t>
            </w:r>
          </w:p>
          <w:p>
            <w:pPr>
              <w:pStyle w:val="Normal"/>
              <w:widowControl w:val="false"/>
              <w:spacing w:before="0" w:after="0"/>
              <w:ind w:hanging="0"/>
              <w:contextualSpacing/>
              <w:jc w:val="both"/>
              <w:rPr>
                <w:sz w:val="22"/>
                <w:szCs w:val="22"/>
              </w:rPr>
            </w:pPr>
            <w:r>
              <w:rPr>
                <w:sz w:val="22"/>
                <w:szCs w:val="22"/>
              </w:rPr>
              <w:t>- Партизанский строительный участок, Приморский край, г. Партизанск, ул. Свердлова, д 2;</w:t>
            </w:r>
          </w:p>
          <w:p>
            <w:pPr>
              <w:pStyle w:val="Normal"/>
              <w:widowControl w:val="false"/>
              <w:spacing w:before="0" w:after="0"/>
              <w:ind w:hanging="0"/>
              <w:contextualSpacing/>
              <w:jc w:val="both"/>
              <w:rPr>
                <w:sz w:val="22"/>
                <w:szCs w:val="22"/>
              </w:rPr>
            </w:pPr>
            <w:r>
              <w:rPr>
                <w:sz w:val="22"/>
                <w:szCs w:val="22"/>
              </w:rPr>
              <w:t xml:space="preserve">- Колымский строительный участок и </w:t>
            </w:r>
            <w:r>
              <w:rPr>
                <w:rFonts w:eastAsia="Times New Roman" w:cs="Times New Roman"/>
                <w:color w:val="auto"/>
                <w:kern w:val="0"/>
                <w:sz w:val="22"/>
                <w:szCs w:val="22"/>
                <w:lang w:val="ru-RU" w:eastAsia="ru-RU" w:bidi="ar-SA"/>
              </w:rPr>
              <w:t>транспортный участок</w:t>
            </w:r>
            <w:r>
              <w:rPr>
                <w:sz w:val="22"/>
                <w:szCs w:val="22"/>
              </w:rPr>
              <w:t xml:space="preserve"> Магаданская область, г. Магадан (терминал транспортной компании);</w:t>
            </w:r>
          </w:p>
          <w:p>
            <w:pPr>
              <w:pStyle w:val="Normal"/>
              <w:widowControl w:val="false"/>
              <w:spacing w:before="0" w:after="0"/>
              <w:ind w:hanging="0"/>
              <w:contextualSpacing/>
              <w:jc w:val="both"/>
              <w:rPr>
                <w:sz w:val="22"/>
                <w:szCs w:val="22"/>
              </w:rPr>
            </w:pPr>
            <w:r>
              <w:rPr>
                <w:rFonts w:eastAsia="Times New Roman" w:cs="Times New Roman"/>
                <w:bCs/>
                <w:color w:val="auto"/>
                <w:kern w:val="0"/>
                <w:sz w:val="22"/>
                <w:szCs w:val="22"/>
                <w:lang w:val="ru-RU" w:eastAsia="ru-RU" w:bidi="ar-SA"/>
              </w:rPr>
              <w:t>- Усть-Среднеканский транспортный участок, Магаданская область, г. Магадан (терминал транспортной компании).</w:t>
            </w:r>
          </w:p>
        </w:tc>
        <w:tc>
          <w:tcPr>
            <w:tcW w:w="2267" w:type="dxa"/>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Style28"/>
              <w:keepNext w:val="false"/>
              <w:widowControl w:val="false"/>
              <w:numPr>
                <w:ilvl w:val="0"/>
                <w:numId w:val="0"/>
              </w:numPr>
              <w:suppressAutoHyphens w:val="true"/>
              <w:spacing w:before="0" w:after="60"/>
              <w:ind w:left="0" w:hanging="0"/>
              <w:jc w:val="left"/>
              <w:outlineLvl w:val="2"/>
              <w:rPr>
                <w:rFonts w:eastAsia="Times New Roman"/>
                <w:b w:val="false"/>
                <w:lang w:val="ru-RU" w:eastAsia="ru-RU"/>
              </w:rPr>
            </w:pPr>
            <w:r>
              <w:rPr>
                <w:rFonts w:eastAsia="Times New Roman" w:cs="Times New Roman"/>
                <w:b w:val="false"/>
                <w:kern w:val="0"/>
                <w:sz w:val="20"/>
                <w:szCs w:val="20"/>
                <w:lang w:val="ru-RU" w:eastAsia="ru-RU" w:bidi="ar-SA"/>
              </w:rPr>
            </w:r>
          </w:p>
        </w:tc>
        <w:tc>
          <w:tcPr>
            <w:tcW w:w="2129" w:type="dxa"/>
            <w:tcBorders/>
          </w:tcPr>
          <w:p>
            <w:pPr>
              <w:pStyle w:val="Normal"/>
              <w:widowControl w:val="false"/>
              <w:suppressAutoHyphens w:val="true"/>
              <w:spacing w:before="0" w:after="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Отгрузка, доставка товара и выполнение погрузочно-разгрузочных работ выполняется силами Поставщика и за его счет.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tc>
        <w:tc>
          <w:tcPr>
            <w:tcW w:w="2267" w:type="dxa"/>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tabs>
                <w:tab w:val="clear" w:pos="708"/>
                <w:tab w:val="left" w:pos="426" w:leader="none"/>
              </w:tabs>
              <w:suppressAutoHyphens w:val="true"/>
              <w:spacing w:before="60" w:after="0"/>
              <w:jc w:val="left"/>
              <w:rPr>
                <w:sz w:val="24"/>
                <w:szCs w:val="24"/>
              </w:rPr>
            </w:pPr>
            <w:r>
              <w:rPr>
                <w:sz w:val="24"/>
                <w:szCs w:val="24"/>
              </w:rPr>
            </w:r>
          </w:p>
        </w:tc>
        <w:tc>
          <w:tcPr>
            <w:tcW w:w="2129" w:type="dxa"/>
            <w:tcBorders/>
          </w:tcPr>
          <w:p>
            <w:pPr>
              <w:pStyle w:val="Normal"/>
              <w:widowControl w:val="false"/>
              <w:tabs>
                <w:tab w:val="clear" w:pos="708"/>
                <w:tab w:val="left" w:pos="426" w:leader="none"/>
              </w:tabs>
              <w:suppressAutoHyphens w:val="true"/>
              <w:spacing w:before="60" w:after="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r>
          </w:p>
        </w:tc>
      </w:tr>
      <w:tr>
        <w:trPr/>
        <w:tc>
          <w:tcPr>
            <w:tcW w:w="851" w:type="dxa"/>
            <w:tcBorders>
              <w:top w:val="nil"/>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op w:val="nil"/>
            </w:tcBorders>
          </w:tcPr>
          <w:p>
            <w:pPr>
              <w:pStyle w:val="Normal"/>
              <w:widowControl w:val="false"/>
              <w:tabs>
                <w:tab w:val="clear" w:pos="708"/>
                <w:tab w:val="left" w:pos="432" w:leader="none"/>
                <w:tab w:val="left" w:pos="459" w:leader="none"/>
              </w:tabs>
              <w:suppressAutoHyphens w:val="true"/>
              <w:spacing w:before="0" w:after="0"/>
              <w:jc w:val="left"/>
              <w:rPr>
                <w:sz w:val="24"/>
                <w:szCs w:val="24"/>
              </w:rPr>
            </w:pPr>
            <w:r>
              <w:rPr>
                <w:rFonts w:eastAsia="Times New Roman" w:cs="Times New Roman"/>
                <w:kern w:val="0"/>
                <w:sz w:val="24"/>
                <w:szCs w:val="24"/>
                <w:lang w:val="ru-RU" w:eastAsia="ru-RU" w:bidi="ar-SA"/>
              </w:rPr>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Товар должен быть поставлен в упаковке производителя, не имеющей повреждений, с сохранением всех защитных знаков производителя. Наименование товара, его размерные характеристики должны быть представлены на упаковке и четко видны, а также указаны на самом товаре и соответствовать размерным характеристикам товара.</w:t>
            </w:r>
          </w:p>
        </w:tc>
        <w:tc>
          <w:tcPr>
            <w:tcW w:w="2267" w:type="dxa"/>
            <w:tcBorders>
              <w:top w:val="nil"/>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op w:val="nil"/>
            </w:tcBorders>
          </w:tcPr>
          <w:p>
            <w:pPr>
              <w:pStyle w:val="Normal"/>
              <w:widowControl w:val="false"/>
              <w:tabs>
                <w:tab w:val="clear" w:pos="708"/>
                <w:tab w:val="left" w:pos="426" w:leader="none"/>
              </w:tabs>
              <w:suppressAutoHyphens w:val="true"/>
              <w:spacing w:before="60" w:after="0"/>
              <w:jc w:val="left"/>
              <w:rPr>
                <w:sz w:val="24"/>
                <w:szCs w:val="24"/>
              </w:rPr>
            </w:pPr>
            <w:r>
              <w:rPr>
                <w:sz w:val="24"/>
                <w:szCs w:val="24"/>
              </w:rPr>
            </w:r>
          </w:p>
        </w:tc>
        <w:tc>
          <w:tcPr>
            <w:tcW w:w="2129" w:type="dxa"/>
            <w:tcBorders>
              <w:top w:val="nil"/>
            </w:tcBorders>
          </w:tcPr>
          <w:p>
            <w:pPr>
              <w:pStyle w:val="Normal"/>
              <w:widowControl w:val="false"/>
              <w:tabs>
                <w:tab w:val="clear" w:pos="708"/>
                <w:tab w:val="left" w:pos="426" w:leader="none"/>
              </w:tabs>
              <w:suppressAutoHyphens w:val="true"/>
              <w:spacing w:before="60" w:after="0"/>
              <w:jc w:val="left"/>
              <w:rPr>
                <w:rFonts w:ascii="Times New Roman" w:hAnsi="Times New Roman" w:eastAsia="Times New Roman" w:cs="Times New Roman"/>
                <w:kern w:val="0"/>
                <w:lang w:val="ru-RU" w:eastAsia="ru-RU" w:bidi="ar-SA"/>
              </w:rPr>
            </w:pPr>
            <w:r>
              <w:rPr>
                <w:rFonts w:eastAsia="Times New Roman" w:cs="Times New Roman"/>
                <w:kern w:val="0"/>
                <w:lang w:val="ru-RU" w:eastAsia="ru-RU" w:bidi="ar-SA"/>
              </w:rPr>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60" w:after="0"/>
              <w:jc w:val="left"/>
              <w:rPr>
                <w:b/>
                <w:sz w:val="24"/>
                <w:szCs w:val="24"/>
              </w:rPr>
            </w:pPr>
            <w:r>
              <w:rPr>
                <w:rFonts w:eastAsia="Times New Roman" w:cs="Times New Roman"/>
                <w:b/>
                <w:kern w:val="0"/>
                <w:sz w:val="24"/>
                <w:szCs w:val="24"/>
                <w:lang w:val="ru-RU" w:eastAsia="ru-RU" w:bidi="ar-SA"/>
              </w:rPr>
              <w:t>Требования к гарантиям, гарантийному и послегарантийному обслуживанию</w:t>
            </w:r>
          </w:p>
        </w:tc>
        <w:tc>
          <w:tcPr>
            <w:tcW w:w="2267" w:type="dxa"/>
            <w:tcBorders/>
          </w:tcPr>
          <w:p>
            <w:pPr>
              <w:pStyle w:val="Normal"/>
              <w:widowControl w:val="false"/>
              <w:suppressAutoHyphens w:val="true"/>
              <w:spacing w:before="20" w:after="0"/>
              <w:jc w:val="center"/>
              <w:rPr>
                <w:b/>
                <w:sz w:val="24"/>
                <w:szCs w:val="24"/>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20" w:after="0"/>
              <w:jc w:val="center"/>
              <w:rPr>
                <w:b/>
                <w:sz w:val="24"/>
                <w:szCs w:val="24"/>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20" w:after="0"/>
              <w:jc w:val="center"/>
              <w:rPr>
                <w:b/>
                <w:sz w:val="24"/>
                <w:szCs w:val="24"/>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В период исполнения договора Поставщик обязан за свой счет проводить необходимую замену некачественного товара.</w:t>
            </w:r>
          </w:p>
        </w:tc>
        <w:tc>
          <w:tcPr>
            <w:tcW w:w="2267" w:type="dxa"/>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tabs>
                <w:tab w:val="clear" w:pos="708"/>
                <w:tab w:val="left" w:pos="426" w:leader="none"/>
              </w:tabs>
              <w:suppressAutoHyphens w:val="true"/>
              <w:spacing w:before="40" w:after="0"/>
              <w:jc w:val="left"/>
              <w:rPr>
                <w:sz w:val="24"/>
                <w:szCs w:val="24"/>
              </w:rPr>
            </w:pPr>
            <w:r>
              <w:rPr>
                <w:sz w:val="24"/>
                <w:szCs w:val="24"/>
              </w:rPr>
            </w:r>
          </w:p>
        </w:tc>
        <w:tc>
          <w:tcPr>
            <w:tcW w:w="2129" w:type="dxa"/>
            <w:tcBorders/>
          </w:tcPr>
          <w:p>
            <w:pPr>
              <w:pStyle w:val="Style28"/>
              <w:keepNext w:val="false"/>
              <w:widowControl w:val="false"/>
              <w:numPr>
                <w:ilvl w:val="0"/>
                <w:numId w:val="0"/>
              </w:numPr>
              <w:suppressAutoHyphens w:val="true"/>
              <w:spacing w:before="0" w:after="60"/>
              <w:ind w:left="0" w:hanging="0"/>
              <w:jc w:val="left"/>
              <w:outlineLvl w:val="2"/>
              <w:rPr>
                <w:rFonts w:eastAsia="Times New Roman"/>
                <w:b w:val="false"/>
                <w:lang w:val="ru-RU" w:eastAsia="ru-RU"/>
              </w:rPr>
            </w:pPr>
            <w:r>
              <w:rPr>
                <w:rFonts w:eastAsia="Times New Roman" w:cs="Times New Roman"/>
                <w:b w:val="false"/>
                <w:kern w:val="0"/>
                <w:sz w:val="20"/>
                <w:szCs w:val="20"/>
                <w:lang w:val="ru-RU" w:eastAsia="ru-RU" w:bidi="ar-SA"/>
              </w:rPr>
            </w:r>
          </w:p>
        </w:tc>
      </w:tr>
      <w:tr>
        <w:trPr/>
        <w:tc>
          <w:tcPr>
            <w:tcW w:w="851" w:type="dxa"/>
            <w:tcBorders>
              <w:top w:val="nil"/>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top w:val="nil"/>
            </w:tcBorders>
          </w:tcPr>
          <w:p>
            <w:pPr>
              <w:pStyle w:val="ListParagraph"/>
              <w:widowControl w:val="false"/>
              <w:tabs>
                <w:tab w:val="clear" w:pos="708"/>
                <w:tab w:val="left" w:pos="709" w:leader="none"/>
                <w:tab w:val="left" w:pos="1134" w:leader="none"/>
              </w:tabs>
              <w:ind w:left="0" w:hanging="0"/>
              <w:jc w:val="both"/>
              <w:rPr>
                <w:sz w:val="24"/>
                <w:szCs w:val="24"/>
              </w:rPr>
            </w:pPr>
            <w:r>
              <w:rPr>
                <w:rFonts w:eastAsia="Times New Roman" w:cs="Times New Roman"/>
                <w:kern w:val="0"/>
                <w:sz w:val="24"/>
                <w:szCs w:val="24"/>
                <w:lang w:val="ru-RU" w:eastAsia="ru-RU" w:bidi="ar-SA"/>
              </w:rPr>
              <w:t>Гарантийный срок на Товар, поставленный по Договору, равен гарантийному сроку завода-производителя, но не менее 12 месяцев с даты подписания Сторонами Накладной ТОРГ-12/УПД.</w:t>
            </w:r>
          </w:p>
          <w:p>
            <w:pPr>
              <w:pStyle w:val="ListParagraph"/>
              <w:widowControl w:val="false"/>
              <w:tabs>
                <w:tab w:val="clear" w:pos="708"/>
                <w:tab w:val="left" w:pos="1134" w:leader="none"/>
                <w:tab w:val="left" w:pos="1851" w:leader="none"/>
              </w:tabs>
              <w:ind w:left="0" w:hanging="0"/>
              <w:jc w:val="both"/>
              <w:rPr>
                <w:sz w:val="24"/>
                <w:szCs w:val="24"/>
              </w:rPr>
            </w:pPr>
            <w:r>
              <w:rPr>
                <w:rFonts w:eastAsia="Times New Roman" w:cs="Times New Roman"/>
                <w:kern w:val="0"/>
                <w:sz w:val="24"/>
                <w:szCs w:val="24"/>
                <w:lang w:val="ru-RU" w:eastAsia="ru-RU" w:bidi="ar-SA"/>
              </w:rPr>
              <w:t>Установленный в отношении Товара гарантийный срок распространяется на все составные части и комплектующие Товара</w:t>
            </w:r>
          </w:p>
        </w:tc>
        <w:tc>
          <w:tcPr>
            <w:tcW w:w="2267" w:type="dxa"/>
            <w:tcBorders>
              <w:top w:val="nil"/>
            </w:tcBorders>
          </w:tcPr>
          <w:p>
            <w:pPr>
              <w:pStyle w:val="Style28"/>
              <w:keepNext w:val="false"/>
              <w:widowControl w:val="false"/>
              <w:numPr>
                <w:ilvl w:val="0"/>
                <w:numId w:val="0"/>
              </w:numPr>
              <w:suppressAutoHyphens w:val="true"/>
              <w:spacing w:before="0" w:after="60"/>
              <w:ind w:left="0" w:hanging="0"/>
              <w:jc w:val="center"/>
              <w:outlineLvl w:val="2"/>
              <w:rPr>
                <w:rFonts w:ascii="Times New Roman" w:hAnsi="Times New Roman" w:eastAsia="Times New Roman" w:cs="Times New Roman"/>
                <w:b w:val="false"/>
                <w:bCs w:val="false"/>
                <w:color w:val="auto"/>
                <w:kern w:val="0"/>
                <w:sz w:val="24"/>
                <w:szCs w:val="24"/>
                <w:lang w:val="ru-RU" w:eastAsia="ru-RU" w:bidi="ar-SA"/>
              </w:rPr>
            </w:pPr>
            <w:bookmarkStart w:id="25" w:name="_Toc162698186"/>
            <w:r>
              <w:rPr>
                <w:rFonts w:eastAsia="Times New Roman" w:cs="Times New Roman"/>
                <w:b w:val="false"/>
                <w:bCs w:val="false"/>
                <w:color w:val="auto"/>
                <w:kern w:val="0"/>
                <w:sz w:val="24"/>
                <w:szCs w:val="24"/>
                <w:lang w:val="ru-RU" w:eastAsia="ru-RU" w:bidi="ar-SA"/>
              </w:rPr>
              <w:t>Согласие с требованием</w:t>
            </w:r>
            <w:bookmarkEnd w:id="25"/>
          </w:p>
        </w:tc>
        <w:tc>
          <w:tcPr>
            <w:tcW w:w="2692" w:type="dxa"/>
            <w:tcBorders>
              <w:top w:val="nil"/>
            </w:tcBorders>
          </w:tcPr>
          <w:p>
            <w:pPr>
              <w:pStyle w:val="Normal"/>
              <w:widowControl w:val="false"/>
              <w:tabs>
                <w:tab w:val="clear" w:pos="708"/>
                <w:tab w:val="left" w:pos="426" w:leader="none"/>
              </w:tabs>
              <w:suppressAutoHyphens w:val="true"/>
              <w:spacing w:before="40" w:after="0"/>
              <w:jc w:val="left"/>
              <w:rPr>
                <w:sz w:val="24"/>
                <w:szCs w:val="24"/>
              </w:rPr>
            </w:pPr>
            <w:r>
              <w:rPr>
                <w:sz w:val="24"/>
                <w:szCs w:val="24"/>
              </w:rPr>
            </w:r>
          </w:p>
        </w:tc>
        <w:tc>
          <w:tcPr>
            <w:tcW w:w="2129" w:type="dxa"/>
            <w:tcBorders>
              <w:top w:val="nil"/>
            </w:tcBorders>
          </w:tcPr>
          <w:p>
            <w:pPr>
              <w:pStyle w:val="Style28"/>
              <w:keepNext w:val="false"/>
              <w:widowControl w:val="false"/>
              <w:numPr>
                <w:ilvl w:val="0"/>
                <w:numId w:val="0"/>
              </w:numPr>
              <w:suppressAutoHyphens w:val="true"/>
              <w:spacing w:before="0" w:after="60"/>
              <w:ind w:left="0" w:hanging="0"/>
              <w:jc w:val="left"/>
              <w:outlineLvl w:val="2"/>
              <w:rPr>
                <w:b w:val="false"/>
                <w:lang w:val="ru-RU"/>
              </w:rPr>
            </w:pPr>
            <w:r>
              <w:rPr>
                <w:rFonts w:eastAsia="Times New Roman" w:cs="Times New Roman"/>
                <w:b w:val="false"/>
                <w:kern w:val="0"/>
                <w:sz w:val="20"/>
                <w:szCs w:val="20"/>
                <w:lang w:val="ru-RU" w:eastAsia="ru-RU" w:bidi="ar-SA"/>
              </w:rPr>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60" w:after="60"/>
              <w:jc w:val="left"/>
              <w:rPr>
                <w:b/>
                <w:sz w:val="24"/>
                <w:szCs w:val="24"/>
              </w:rPr>
            </w:pPr>
            <w:r>
              <w:rPr>
                <w:rFonts w:eastAsia="Times New Roman" w:cs="Times New Roman"/>
                <w:b/>
                <w:kern w:val="0"/>
                <w:sz w:val="24"/>
                <w:szCs w:val="24"/>
                <w:lang w:val="ru-RU" w:eastAsia="ru-RU" w:bidi="ar-SA"/>
              </w:rPr>
              <w:t>Требования к комплектации и документам, поставляемым вместе с продукцией</w:t>
            </w:r>
          </w:p>
        </w:tc>
        <w:tc>
          <w:tcPr>
            <w:tcW w:w="2267" w:type="dxa"/>
            <w:tcBorders/>
          </w:tcPr>
          <w:p>
            <w:pPr>
              <w:pStyle w:val="Normal"/>
              <w:widowControl w:val="false"/>
              <w:suppressAutoHyphens w:val="true"/>
              <w:spacing w:before="60" w:after="60"/>
              <w:jc w:val="center"/>
              <w:rPr>
                <w:b/>
                <w:sz w:val="24"/>
                <w:szCs w:val="24"/>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60" w:after="60"/>
              <w:jc w:val="center"/>
              <w:rPr>
                <w:b/>
                <w:sz w:val="24"/>
                <w:szCs w:val="24"/>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60" w:after="60"/>
              <w:jc w:val="center"/>
              <w:rPr>
                <w:b/>
                <w:sz w:val="24"/>
                <w:szCs w:val="24"/>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Поставщик на этапе исполнения договора обязан предоставить к каждому комплекту товара копии сертификатов соответствия (деклараций соответствия), инструкцию по эксплуатации (руководство), которая должна содержать информацию об условиях эксплуатации, сроках эксплуатации, гарантийном сроке или дате производства, при этом вышеуказанные документы не предоставляются на этапе закупки)</w:t>
            </w:r>
          </w:p>
        </w:tc>
        <w:tc>
          <w:tcPr>
            <w:tcW w:w="2267" w:type="dxa"/>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suppressAutoHyphens w:val="true"/>
              <w:spacing w:before="0" w:after="0"/>
              <w:jc w:val="left"/>
              <w:rPr>
                <w:sz w:val="24"/>
                <w:szCs w:val="24"/>
              </w:rPr>
            </w:pPr>
            <w:r>
              <w:rPr>
                <w:sz w:val="24"/>
                <w:szCs w:val="24"/>
              </w:rPr>
            </w:r>
          </w:p>
        </w:tc>
        <w:tc>
          <w:tcPr>
            <w:tcW w:w="2129" w:type="dxa"/>
            <w:tcBorders/>
          </w:tcPr>
          <w:p>
            <w:pPr>
              <w:pStyle w:val="Normal"/>
              <w:widowControl w:val="false"/>
              <w:suppressAutoHyphens w:val="true"/>
              <w:spacing w:before="0" w:after="0"/>
              <w:jc w:val="left"/>
              <w:rPr>
                <w:sz w:val="24"/>
                <w:szCs w:val="24"/>
              </w:rPr>
            </w:pPr>
            <w:r>
              <w:rPr>
                <w:sz w:val="24"/>
                <w:szCs w:val="24"/>
              </w:rPr>
            </w:r>
          </w:p>
        </w:tc>
      </w:tr>
      <w:tr>
        <w:trPr/>
        <w:tc>
          <w:tcPr>
            <w:tcW w:w="851" w:type="dxa"/>
            <w:tcBorders/>
            <w:vAlign w:val="center"/>
          </w:tcPr>
          <w:p>
            <w:pPr>
              <w:pStyle w:val="ListParagraph"/>
              <w:widowControl w:val="false"/>
              <w:numPr>
                <w:ilvl w:val="0"/>
                <w:numId w:val="5"/>
              </w:numPr>
              <w:suppressAutoHyphens w:val="true"/>
              <w:spacing w:before="60" w:after="60"/>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60" w:after="60"/>
              <w:jc w:val="left"/>
              <w:rPr>
                <w:rFonts w:ascii="Times New Roman" w:hAnsi="Times New Roman" w:eastAsia="Times New Roman" w:cs="Times New Roman"/>
                <w:kern w:val="0"/>
                <w:lang w:val="ru-RU" w:eastAsia="ru-RU" w:bidi="ar-SA"/>
              </w:rPr>
            </w:pPr>
            <w:r>
              <w:rPr>
                <w:rFonts w:eastAsia="Times New Roman" w:cs="Times New Roman"/>
                <w:b/>
                <w:kern w:val="0"/>
                <w:sz w:val="24"/>
                <w:szCs w:val="24"/>
                <w:lang w:val="ru-RU" w:eastAsia="ru-RU" w:bidi="ar-SA"/>
              </w:rPr>
              <w:t>Прочие (дополнительные) требования к продукции</w:t>
            </w:r>
          </w:p>
        </w:tc>
        <w:tc>
          <w:tcPr>
            <w:tcW w:w="2267" w:type="dxa"/>
            <w:tcBorders/>
          </w:tcPr>
          <w:p>
            <w:pPr>
              <w:pStyle w:val="Normal"/>
              <w:widowControl w:val="false"/>
              <w:suppressAutoHyphens w:val="true"/>
              <w:spacing w:before="60" w:after="60"/>
              <w:jc w:val="center"/>
              <w:rPr>
                <w:rFonts w:ascii="Times New Roman" w:hAnsi="Times New Roman" w:eastAsia="Times New Roman" w:cs="Times New Roman"/>
                <w:kern w:val="0"/>
                <w:lang w:val="ru-RU" w:eastAsia="ru-RU" w:bidi="ar-SA"/>
              </w:rPr>
            </w:pPr>
            <w:r>
              <w:rPr>
                <w:rFonts w:eastAsia="Times New Roman" w:cs="Times New Roman"/>
                <w:b/>
                <w:kern w:val="0"/>
                <w:sz w:val="24"/>
                <w:szCs w:val="24"/>
                <w:lang w:val="ru-RU" w:eastAsia="ru-RU" w:bidi="ar-SA"/>
              </w:rPr>
              <w:t>-//-</w:t>
            </w:r>
          </w:p>
        </w:tc>
        <w:tc>
          <w:tcPr>
            <w:tcW w:w="2692" w:type="dxa"/>
            <w:tcBorders/>
          </w:tcPr>
          <w:p>
            <w:pPr>
              <w:pStyle w:val="Normal"/>
              <w:widowControl w:val="false"/>
              <w:suppressAutoHyphens w:val="true"/>
              <w:spacing w:before="60" w:after="60"/>
              <w:jc w:val="center"/>
              <w:rPr>
                <w:rFonts w:ascii="Times New Roman" w:hAnsi="Times New Roman" w:eastAsia="Times New Roman" w:cs="Times New Roman"/>
                <w:kern w:val="0"/>
                <w:lang w:val="ru-RU" w:eastAsia="ru-RU" w:bidi="ar-SA"/>
              </w:rPr>
            </w:pPr>
            <w:r>
              <w:rPr>
                <w:rFonts w:eastAsia="Times New Roman" w:cs="Times New Roman"/>
                <w:b/>
                <w:kern w:val="0"/>
                <w:sz w:val="24"/>
                <w:szCs w:val="24"/>
                <w:lang w:val="ru-RU" w:eastAsia="ru-RU" w:bidi="ar-SA"/>
              </w:rPr>
              <w:t>-//-</w:t>
            </w:r>
          </w:p>
        </w:tc>
        <w:tc>
          <w:tcPr>
            <w:tcW w:w="2129" w:type="dxa"/>
            <w:tcBorders/>
          </w:tcPr>
          <w:p>
            <w:pPr>
              <w:pStyle w:val="Normal"/>
              <w:widowControl w:val="false"/>
              <w:suppressAutoHyphens w:val="true"/>
              <w:spacing w:before="60" w:after="60"/>
              <w:jc w:val="center"/>
              <w:rPr>
                <w:rFonts w:ascii="Times New Roman" w:hAnsi="Times New Roman" w:eastAsia="Times New Roman" w:cs="Times New Roman"/>
                <w:kern w:val="0"/>
                <w:lang w:val="ru-RU" w:eastAsia="ru-RU" w:bidi="ar-SA"/>
              </w:rPr>
            </w:pPr>
            <w:r>
              <w:rPr>
                <w:rFonts w:eastAsia="Times New Roman" w:cs="Times New Roman"/>
                <w:b/>
                <w:kern w:val="0"/>
                <w:sz w:val="24"/>
                <w:szCs w:val="24"/>
                <w:lang w:val="ru-RU" w:eastAsia="ru-RU" w:bidi="ar-SA"/>
              </w:rPr>
              <w:t>-//-</w:t>
            </w:r>
          </w:p>
        </w:tc>
      </w:tr>
      <w:tr>
        <w:trPr/>
        <w:tc>
          <w:tcPr>
            <w:tcW w:w="851" w:type="dxa"/>
            <w:tcBorders/>
            <w:vAlign w:val="center"/>
          </w:tcPr>
          <w:p>
            <w:pPr>
              <w:pStyle w:val="ListParagraph"/>
              <w:widowControl w:val="false"/>
              <w:numPr>
                <w:ilvl w:val="1"/>
                <w:numId w:val="5"/>
              </w:numPr>
              <w:suppressAutoHyphens w:val="true"/>
              <w:spacing w:before="60" w:after="60"/>
              <w:ind w:left="-117" w:firstLine="142"/>
              <w:contextualSpacing/>
              <w:jc w:val="center"/>
              <w:rPr>
                <w:rFonts w:ascii="Times New Roman" w:hAnsi="Times New Roman" w:cs="Times New Roman"/>
                <w:kern w:val="0"/>
                <w:lang w:val="ru-RU" w:eastAsia="ru-RU" w:bidi="ar-SA"/>
              </w:rPr>
            </w:pPr>
            <w:r>
              <w:rPr>
                <w:rFonts w:cs="Times New Roman"/>
                <w:kern w:val="0"/>
                <w:lang w:val="ru-RU" w:eastAsia="ru-RU" w:bidi="ar-SA"/>
              </w:rPr>
            </w:r>
          </w:p>
        </w:tc>
        <w:tc>
          <w:tcPr>
            <w:tcW w:w="7371" w:type="dxa"/>
            <w:gridSpan w:val="3"/>
            <w:tcBorders/>
            <w:vAlign w:val="center"/>
          </w:tcPr>
          <w:p>
            <w:pPr>
              <w:pStyle w:val="Normal"/>
              <w:widowControl w:val="false"/>
              <w:suppressAutoHyphens w:val="true"/>
              <w:spacing w:before="0" w:after="0"/>
              <w:jc w:val="left"/>
              <w:rPr>
                <w:sz w:val="24"/>
                <w:szCs w:val="24"/>
              </w:rPr>
            </w:pPr>
            <w:r>
              <w:rPr>
                <w:rFonts w:eastAsia="Times New Roman" w:cs="Times New Roman"/>
                <w:kern w:val="0"/>
                <w:sz w:val="24"/>
                <w:szCs w:val="24"/>
                <w:lang w:val="ru-RU" w:eastAsia="ru-RU" w:bidi="ar-SA"/>
              </w:rPr>
              <w:t>Все сертификаты, декларации, обязательные для данного вида товара, оформленные в соответствии с законодательством Российской Федерации и предоставляемые Поставщиком должны однозначно идентифицировать продукцию (тип, марка, модель, артикул продукции и др.), предложенную Поставщиком.</w:t>
            </w:r>
          </w:p>
        </w:tc>
        <w:tc>
          <w:tcPr>
            <w:tcW w:w="2267" w:type="dxa"/>
            <w:tcBorders/>
          </w:tcPr>
          <w:p>
            <w:pPr>
              <w:pStyle w:val="Normal"/>
              <w:widowControl w:val="false"/>
              <w:suppressAutoHyphens w:val="true"/>
              <w:spacing w:before="0" w:after="0"/>
              <w:jc w:val="center"/>
              <w:rPr>
                <w:sz w:val="24"/>
                <w:szCs w:val="24"/>
              </w:rPr>
            </w:pPr>
            <w:r>
              <w:rPr>
                <w:rFonts w:eastAsia="Times New Roman" w:cs="Times New Roman"/>
                <w:kern w:val="0"/>
                <w:sz w:val="24"/>
                <w:szCs w:val="24"/>
                <w:lang w:val="ru-RU" w:eastAsia="ru-RU" w:bidi="ar-SA"/>
              </w:rPr>
              <w:t>Согласие с требованием</w:t>
            </w:r>
          </w:p>
        </w:tc>
        <w:tc>
          <w:tcPr>
            <w:tcW w:w="2692" w:type="dxa"/>
            <w:tcBorders/>
          </w:tcPr>
          <w:p>
            <w:pPr>
              <w:pStyle w:val="Normal"/>
              <w:widowControl w:val="false"/>
              <w:suppressAutoHyphens w:val="true"/>
              <w:spacing w:before="0" w:after="0"/>
              <w:jc w:val="left"/>
              <w:rPr>
                <w:sz w:val="24"/>
                <w:szCs w:val="24"/>
              </w:rPr>
            </w:pPr>
            <w:r>
              <w:rPr>
                <w:sz w:val="24"/>
                <w:szCs w:val="24"/>
              </w:rPr>
            </w:r>
          </w:p>
        </w:tc>
        <w:tc>
          <w:tcPr>
            <w:tcW w:w="2129" w:type="dxa"/>
            <w:tcBorders/>
          </w:tcPr>
          <w:p>
            <w:pPr>
              <w:pStyle w:val="Normal"/>
              <w:widowControl w:val="false"/>
              <w:suppressAutoHyphens w:val="true"/>
              <w:spacing w:before="0" w:after="0"/>
              <w:jc w:val="left"/>
              <w:rPr>
                <w:sz w:val="24"/>
                <w:szCs w:val="24"/>
              </w:rPr>
            </w:pPr>
            <w:r>
              <w:rPr>
                <w:sz w:val="24"/>
                <w:szCs w:val="24"/>
              </w:rPr>
            </w:r>
            <w:bookmarkStart w:id="26" w:name="_GoBack_Копия_1"/>
            <w:bookmarkStart w:id="27" w:name="_GoBack_Копия_1"/>
            <w:bookmarkEnd w:id="27"/>
          </w:p>
        </w:tc>
      </w:tr>
    </w:tbl>
    <w:p>
      <w:pPr>
        <w:sectPr>
          <w:headerReference w:type="default" r:id="rId5"/>
          <w:headerReference w:type="first" r:id="rId6"/>
          <w:type w:val="nextPage"/>
          <w:pgSz w:orient="landscape" w:w="16838" w:h="11906"/>
          <w:pgMar w:left="1276" w:right="567" w:gutter="0" w:header="680" w:top="851" w:footer="0" w:bottom="851"/>
          <w:pgNumType w:fmt="decimal"/>
          <w:formProt w:val="false"/>
          <w:titlePg/>
          <w:textDirection w:val="lrTb"/>
          <w:docGrid w:type="default" w:linePitch="381" w:charSpace="0"/>
        </w:sectPr>
      </w:pPr>
    </w:p>
    <w:p>
      <w:pPr>
        <w:pStyle w:val="ListParagraph"/>
        <w:numPr>
          <w:ilvl w:val="0"/>
          <w:numId w:val="0"/>
        </w:numPr>
        <w:ind w:left="360" w:right="-2" w:hanging="0"/>
        <w:jc w:val="both"/>
        <w:outlineLvl w:val="0"/>
        <w:rPr>
          <w:highlight w:val="none"/>
          <w:shd w:fill="auto" w:val="clear"/>
        </w:rPr>
      </w:pPr>
      <w:bookmarkStart w:id="28" w:name="_Toc162698187"/>
      <w:bookmarkStart w:id="29" w:name="_Toc51339699"/>
      <w:bookmarkStart w:id="30" w:name="_Toc46743519"/>
      <w:bookmarkEnd w:id="29"/>
      <w:bookmarkEnd w:id="30"/>
      <w:r>
        <w:rPr>
          <w:b/>
          <w:color w:val="000000" w:themeColor="text1"/>
          <w:sz w:val="28"/>
          <w:szCs w:val="28"/>
          <w:shd w:fill="auto" w:val="clear"/>
        </w:rPr>
        <w:t>3.Требования к документации по ценообразования на этапе закупки</w:t>
      </w:r>
      <w:bookmarkEnd w:id="28"/>
    </w:p>
    <w:p>
      <w:pPr>
        <w:pStyle w:val="Normal"/>
        <w:widowControl w:val="false"/>
        <w:tabs>
          <w:tab w:val="clear" w:pos="708"/>
          <w:tab w:val="left" w:pos="426" w:leader="none"/>
        </w:tabs>
        <w:suppressAutoHyphens w:val="true"/>
        <w:bidi w:val="0"/>
        <w:spacing w:before="120" w:after="120"/>
        <w:ind w:left="0" w:right="0" w:firstLine="510"/>
        <w:jc w:val="both"/>
        <w:rPr>
          <w:sz w:val="24"/>
          <w:szCs w:val="24"/>
          <w:highlight w:val="none"/>
          <w:shd w:fill="auto" w:val="clear"/>
        </w:rPr>
      </w:pPr>
      <w:r>
        <w:rPr>
          <w:b w:val="false"/>
          <w:bCs/>
          <w:iCs/>
          <w:sz w:val="24"/>
          <w:szCs w:val="24"/>
          <w:shd w:fill="auto" w:val="clear"/>
        </w:rPr>
        <w:t>3.1. В обоснование стоимости своей заявки Участник предоставляет Коммерческое предложение по форме (с учетом прилагаемой к ней инструкции по заполнению), приведенной в Документации о закупке.</w:t>
      </w:r>
    </w:p>
    <w:p>
      <w:pPr>
        <w:pStyle w:val="Normal"/>
        <w:widowControl w:val="false"/>
        <w:tabs>
          <w:tab w:val="clear" w:pos="708"/>
          <w:tab w:val="left" w:pos="426" w:leader="none"/>
        </w:tabs>
        <w:suppressAutoHyphens w:val="true"/>
        <w:bidi w:val="0"/>
        <w:spacing w:before="120" w:after="120"/>
        <w:ind w:left="0" w:right="0" w:firstLine="510"/>
        <w:jc w:val="both"/>
        <w:rPr>
          <w:b w:val="false"/>
          <w:bCs/>
          <w:iCs/>
          <w:sz w:val="24"/>
          <w:szCs w:val="24"/>
          <w:highlight w:val="none"/>
          <w:shd w:fill="auto" w:val="clear"/>
        </w:rPr>
      </w:pPr>
      <w:r>
        <w:rPr>
          <w:b w:val="false"/>
          <w:bCs/>
          <w:iCs/>
          <w:sz w:val="24"/>
          <w:szCs w:val="24"/>
          <w:shd w:fill="auto" w:val="clear"/>
        </w:rPr>
        <w:t>3.2. Дополнительные документы по ценообразованию в состав заявки не включаются.</w:t>
      </w:r>
    </w:p>
    <w:p>
      <w:pPr>
        <w:pStyle w:val="Normal"/>
        <w:numPr>
          <w:ilvl w:val="0"/>
          <w:numId w:val="8"/>
        </w:numPr>
        <w:tabs>
          <w:tab w:val="clear" w:pos="708"/>
          <w:tab w:val="right" w:pos="9769" w:leader="dot"/>
        </w:tabs>
        <w:jc w:val="center"/>
        <w:rPr/>
      </w:pPr>
      <w:r>
        <w:rPr>
          <w:rFonts w:eastAsia="Times New Roman" w:cs="Calibri Light (Заголовки)"/>
          <w:b/>
          <w:bCs/>
          <w:vanish w:val="false"/>
          <w:color w:val="000000"/>
          <w:kern w:val="0"/>
          <w:sz w:val="24"/>
          <w:szCs w:val="24"/>
          <w:shd w:fill="auto" w:val="clear"/>
          <w:lang w:val="ru-RU" w:eastAsia="ru-RU" w:bidi="ar-SA"/>
        </w:rPr>
        <w:t>Приложения</w:t>
      </w:r>
    </w:p>
    <w:p>
      <w:pPr>
        <w:pStyle w:val="Normal"/>
        <w:numPr>
          <w:ilvl w:val="0"/>
          <w:numId w:val="0"/>
        </w:numPr>
        <w:tabs>
          <w:tab w:val="clear" w:pos="708"/>
          <w:tab w:val="right" w:pos="9769" w:leader="dot"/>
        </w:tabs>
        <w:ind w:left="1080" w:hanging="0"/>
        <w:jc w:val="center"/>
        <w:rPr>
          <w:rFonts w:eastAsia="Times New Roman" w:cs="Calibri Light (Заголовки)"/>
          <w:b/>
          <w:bCs/>
          <w:vanish w:val="false"/>
          <w:color w:val="000000"/>
          <w:kern w:val="0"/>
          <w:sz w:val="24"/>
          <w:szCs w:val="24"/>
          <w:shd w:fill="auto" w:val="clear"/>
          <w:lang w:val="ru-RU" w:eastAsia="ru-RU" w:bidi="ar-SA"/>
        </w:rPr>
      </w:pPr>
      <w:r>
        <w:rPr/>
      </w:r>
    </w:p>
    <w:p>
      <w:pPr>
        <w:pStyle w:val="Normal"/>
        <w:widowControl/>
        <w:numPr>
          <w:ilvl w:val="0"/>
          <w:numId w:val="0"/>
        </w:numPr>
        <w:tabs>
          <w:tab w:val="clear" w:pos="708"/>
          <w:tab w:val="right" w:pos="9769" w:leader="dot"/>
        </w:tabs>
        <w:suppressAutoHyphens w:val="true"/>
        <w:bidi w:val="0"/>
        <w:spacing w:before="0" w:after="0"/>
        <w:ind w:left="0" w:right="0" w:hanging="0"/>
        <w:jc w:val="left"/>
        <w:rPr>
          <w:rFonts w:ascii="Times New Roman" w:hAnsi="Times New Roman" w:eastAsia="Times New Roman" w:cs="Calibri Light (Заголовки)"/>
          <w:b/>
          <w:bCs/>
          <w:vanish w:val="false"/>
          <w:color w:val="auto"/>
          <w:kern w:val="0"/>
          <w:sz w:val="24"/>
          <w:szCs w:val="24"/>
          <w:shd w:fill="auto" w:val="clear"/>
          <w:lang w:val="ru-RU" w:eastAsia="ru-RU" w:bidi="ar-SA"/>
        </w:rPr>
      </w:pPr>
      <w:r>
        <w:rPr>
          <w:rFonts w:eastAsia="Times New Roman" w:cs="Calibri Light (Заголовки)"/>
          <w:b/>
          <w:bCs/>
          <w:vanish w:val="false"/>
          <w:color w:val="000000"/>
          <w:kern w:val="0"/>
          <w:sz w:val="24"/>
          <w:szCs w:val="24"/>
          <w:shd w:fill="auto" w:val="clear"/>
          <w:lang w:val="ru-RU" w:eastAsia="ru-RU" w:bidi="ar-SA"/>
        </w:rPr>
        <w:t>Приложение № 1 Распределение потребности по адресам поставки товара (ассортиментный перечень)</w:t>
      </w:r>
    </w:p>
    <w:sectPr>
      <w:headerReference w:type="default" r:id="rId7"/>
      <w:headerReference w:type="first" r:id="rId8"/>
      <w:type w:val="nextPage"/>
      <w:pgSz w:w="11906" w:h="16838"/>
      <w:pgMar w:left="1134" w:right="851" w:gutter="0" w:header="680" w:top="1134" w:footer="0" w:bottom="992"/>
      <w:pgNumType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mbria">
    <w:charset w:val="01"/>
    <w:family w:val="roman"/>
    <w:pitch w:val="variable"/>
  </w:font>
  <w:font w:name="Arial">
    <w:charset w:val="01"/>
    <w:family w:val="roman"/>
    <w:pitch w:val="variable"/>
  </w:font>
  <w:font w:name="Calibri">
    <w:charset w:val="01"/>
    <w:family w:val="roman"/>
    <w:pitch w:val="variable"/>
  </w:font>
  <w:font w:name="Liberation Sans">
    <w:altName w:val="Arial"/>
    <w:charset w:val="01"/>
    <w:family w:val="roman"/>
    <w:pitch w:val="variable"/>
  </w:font>
  <w:font w:name="Tahoma">
    <w:charset w:val="01"/>
    <w:family w:val="roman"/>
    <w:pitch w:val="variable"/>
  </w:font>
  <w:font w:name="Arial Unicode MS">
    <w:charset w:val="01"/>
    <w:family w:val="roman"/>
    <w:pitch w:val="variable"/>
  </w:font>
  <w:font w:name="Verdana">
    <w:charset w:val="01"/>
    <w:family w:val="roman"/>
    <w:pitch w:val="variable"/>
  </w:font>
  <w:font w:name="Garamond">
    <w:charset w:val="01"/>
    <w:family w:val="roman"/>
    <w:pitch w:val="variable"/>
  </w:font>
  <w:font w:name="Liberation Mono">
    <w:altName w:val="Courier New"/>
    <w:charset w:val="01"/>
    <w:family w:val="roman"/>
    <w:pitch w:val="variable"/>
  </w:font>
  <w:font w:name="Courier New">
    <w:charset w:val="01"/>
    <w:family w:val="modern"/>
    <w:pitch w:val="fixed"/>
  </w:font>
  <w:font w:name="Wingdings">
    <w:charset w:val="02"/>
    <w:family w:val="auto"/>
    <w:pitch w:val="default"/>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4</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sz w:val="22"/>
        <w:szCs w:val="22"/>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8</w:t>
    </w:r>
    <w:r>
      <w:rPr/>
      <w:fldChar w:fldCharType="end"/>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5</w:t>
    </w:r>
    <w:r>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75444405"/>
    </w:sdtPr>
    <w:sdtContent>
      <w:p>
        <w:pPr>
          <w:pStyle w:val="Header"/>
          <w:jc w:val="center"/>
          <w:rPr>
            <w:sz w:val="20"/>
          </w:rPr>
        </w:pPr>
        <w:r>
          <w:rPr/>
          <w:fldChar w:fldCharType="begin"/>
        </w:r>
        <w:r>
          <w:rPr/>
          <w:instrText xml:space="preserve"> PAGE </w:instrText>
        </w:r>
        <w:r>
          <w:rPr/>
          <w:fldChar w:fldCharType="separate"/>
        </w:r>
        <w:r>
          <w:rPr/>
          <w:t>12</w:t>
        </w:r>
        <w:r>
          <w:rPr/>
          <w:fldChar w:fldCharType="end"/>
        </w:r>
      </w:p>
    </w:sdtContent>
  </w:sdt>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fldChar w:fldCharType="begin"/>
    </w:r>
    <w:r>
      <w:rPr/>
      <w:instrText xml:space="preserve"> PAGE </w:instrText>
    </w:r>
    <w:r>
      <w:rPr/>
      <w:fldChar w:fldCharType="separate"/>
    </w:r>
    <w:r>
      <w:rPr/>
      <w:t>11</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lvl>
    <w:lvl w:ilvl="1">
      <w:start w:val="1"/>
      <w:numFmt w:val="decimal"/>
      <w:lvlText w:val="%1.%2."/>
      <w:lvlJc w:val="left"/>
      <w:pPr>
        <w:tabs>
          <w:tab w:val="num" w:pos="357"/>
        </w:tabs>
        <w:ind w:left="0" w:hanging="0"/>
      </w:pPr>
      <w:rPr/>
    </w:lvl>
    <w:lvl w:ilvl="2">
      <w:start w:val="1"/>
      <w:numFmt w:val="decimal"/>
      <w:lvlText w:val="%1.%2.%3."/>
      <w:lvlJc w:val="left"/>
      <w:pPr>
        <w:tabs>
          <w:tab w:val="num" w:pos="357"/>
        </w:tabs>
        <w:ind w:left="0" w:hanging="0"/>
      </w:pPr>
      <w:rPr/>
    </w:lvl>
    <w:lvl w:ilvl="3">
      <w:start w:val="1"/>
      <w:numFmt w:val="decimal"/>
      <w:lvlText w:val="%1.%2.%3.%4."/>
      <w:lvlJc w:val="left"/>
      <w:pPr>
        <w:tabs>
          <w:tab w:val="num" w:pos="357"/>
        </w:tabs>
        <w:ind w:left="0" w:hanging="0"/>
      </w:pPr>
      <w:rPr/>
    </w:lvl>
    <w:lvl w:ilvl="4">
      <w:start w:val="1"/>
      <w:numFmt w:val="decimal"/>
      <w:lvlText w:val="%1.%2.%3.%4.%5."/>
      <w:lvlJc w:val="left"/>
      <w:pPr>
        <w:tabs>
          <w:tab w:val="num" w:pos="2520"/>
        </w:tabs>
        <w:ind w:left="0" w:hanging="0"/>
      </w:pPr>
      <w:rPr/>
    </w:lvl>
    <w:lvl w:ilvl="5">
      <w:start w:val="1"/>
      <w:numFmt w:val="decimal"/>
      <w:lvlText w:val="%1.%2.%3.%4.%5.%6."/>
      <w:lvlJc w:val="left"/>
      <w:pPr>
        <w:tabs>
          <w:tab w:val="num" w:pos="357"/>
        </w:tabs>
        <w:ind w:left="0" w:hanging="0"/>
      </w:pPr>
      <w:rPr/>
    </w:lvl>
    <w:lvl w:ilvl="6">
      <w:start w:val="1"/>
      <w:numFmt w:val="decimal"/>
      <w:lvlText w:val="%1.%2.%3.%4.%5.%6.%7."/>
      <w:lvlJc w:val="left"/>
      <w:pPr>
        <w:tabs>
          <w:tab w:val="num" w:pos="357"/>
        </w:tabs>
        <w:ind w:left="0" w:hanging="0"/>
      </w:pPr>
      <w:rPr/>
    </w:lvl>
    <w:lvl w:ilvl="7">
      <w:start w:val="1"/>
      <w:numFmt w:val="decimal"/>
      <w:lvlText w:val="%1.%2.%3.%4.%5.%6.%7.%8."/>
      <w:lvlJc w:val="left"/>
      <w:pPr>
        <w:tabs>
          <w:tab w:val="num" w:pos="357"/>
        </w:tabs>
        <w:ind w:left="0" w:hanging="0"/>
      </w:pPr>
      <w:rPr/>
    </w:lvl>
    <w:lvl w:ilvl="8">
      <w:start w:val="1"/>
      <w:numFmt w:val="decimal"/>
      <w:lvlText w:val="%1.%2.%3.%4.%5.%6.%7.%8.%9."/>
      <w:lvlJc w:val="left"/>
      <w:pPr>
        <w:tabs>
          <w:tab w:val="num" w:pos="357"/>
        </w:tabs>
        <w:ind w:left="0" w:hanging="0"/>
      </w:pPr>
      <w:rPr/>
    </w:lvl>
  </w:abstractNum>
  <w:abstractNum w:abstractNumId="2">
    <w:lvl w:ilvl="0">
      <w:start w:val="4"/>
      <w:numFmt w:val="bullet"/>
      <w:lvlText w:val="-"/>
      <w:lvlJc w:val="left"/>
      <w:pPr>
        <w:tabs>
          <w:tab w:val="num" w:pos="0"/>
        </w:tabs>
        <w:ind w:left="-207" w:hanging="360"/>
      </w:pPr>
      <w:rPr>
        <w:rFonts w:ascii="Times New Roman" w:hAnsi="Times New Roman" w:cs="Times New Roman" w:hint="default"/>
      </w:rPr>
    </w:lvl>
    <w:lvl w:ilvl="1">
      <w:start w:val="1"/>
      <w:numFmt w:val="bullet"/>
      <w:lvlText w:val="o"/>
      <w:lvlJc w:val="left"/>
      <w:pPr>
        <w:tabs>
          <w:tab w:val="num" w:pos="513"/>
        </w:tabs>
        <w:ind w:left="513" w:hanging="360"/>
      </w:pPr>
      <w:rPr>
        <w:rFonts w:ascii="Courier New" w:hAnsi="Courier New" w:cs="Courier New" w:hint="default"/>
      </w:rPr>
    </w:lvl>
    <w:lvl w:ilvl="2">
      <w:start w:val="1"/>
      <w:numFmt w:val="bullet"/>
      <w:lvlText w:val=""/>
      <w:lvlJc w:val="left"/>
      <w:pPr>
        <w:tabs>
          <w:tab w:val="num" w:pos="1233"/>
        </w:tabs>
        <w:ind w:left="1233" w:hanging="360"/>
      </w:pPr>
      <w:rPr>
        <w:rFonts w:ascii="Wingdings" w:hAnsi="Wingdings" w:cs="Wingdings" w:hint="default"/>
      </w:rPr>
    </w:lvl>
    <w:lvl w:ilvl="3">
      <w:start w:val="1"/>
      <w:numFmt w:val="bullet"/>
      <w:lvlText w:val=""/>
      <w:lvlJc w:val="left"/>
      <w:pPr>
        <w:tabs>
          <w:tab w:val="num" w:pos="1953"/>
        </w:tabs>
        <w:ind w:left="1953" w:hanging="360"/>
      </w:pPr>
      <w:rPr>
        <w:rFonts w:ascii="Symbol" w:hAnsi="Symbol" w:cs="Symbol" w:hint="default"/>
      </w:rPr>
    </w:lvl>
    <w:lvl w:ilvl="4">
      <w:start w:val="1"/>
      <w:numFmt w:val="bullet"/>
      <w:lvlText w:val="o"/>
      <w:lvlJc w:val="left"/>
      <w:pPr>
        <w:tabs>
          <w:tab w:val="num" w:pos="2673"/>
        </w:tabs>
        <w:ind w:left="2673" w:hanging="360"/>
      </w:pPr>
      <w:rPr>
        <w:rFonts w:ascii="Courier New" w:hAnsi="Courier New" w:cs="Courier New" w:hint="default"/>
      </w:rPr>
    </w:lvl>
    <w:lvl w:ilvl="5">
      <w:start w:val="1"/>
      <w:numFmt w:val="bullet"/>
      <w:lvlText w:val=""/>
      <w:lvlJc w:val="left"/>
      <w:pPr>
        <w:tabs>
          <w:tab w:val="num" w:pos="3393"/>
        </w:tabs>
        <w:ind w:left="3393" w:hanging="360"/>
      </w:pPr>
      <w:rPr>
        <w:rFonts w:ascii="Wingdings" w:hAnsi="Wingdings" w:cs="Wingdings" w:hint="default"/>
      </w:rPr>
    </w:lvl>
    <w:lvl w:ilvl="6">
      <w:start w:val="1"/>
      <w:numFmt w:val="bullet"/>
      <w:lvlText w:val=""/>
      <w:lvlJc w:val="left"/>
      <w:pPr>
        <w:tabs>
          <w:tab w:val="num" w:pos="4113"/>
        </w:tabs>
        <w:ind w:left="4113" w:hanging="360"/>
      </w:pPr>
      <w:rPr>
        <w:rFonts w:ascii="Symbol" w:hAnsi="Symbol" w:cs="Symbol" w:hint="default"/>
      </w:rPr>
    </w:lvl>
    <w:lvl w:ilvl="7">
      <w:start w:val="1"/>
      <w:numFmt w:val="bullet"/>
      <w:lvlText w:val="o"/>
      <w:lvlJc w:val="left"/>
      <w:pPr>
        <w:tabs>
          <w:tab w:val="num" w:pos="4833"/>
        </w:tabs>
        <w:ind w:left="4833" w:hanging="360"/>
      </w:pPr>
      <w:rPr>
        <w:rFonts w:ascii="Courier New" w:hAnsi="Courier New" w:cs="Courier New" w:hint="default"/>
      </w:rPr>
    </w:lvl>
    <w:lvl w:ilvl="8">
      <w:start w:val="1"/>
      <w:numFmt w:val="bullet"/>
      <w:lvlText w:val=""/>
      <w:lvlJc w:val="left"/>
      <w:pPr>
        <w:tabs>
          <w:tab w:val="num" w:pos="5553"/>
        </w:tabs>
        <w:ind w:left="5553" w:hanging="360"/>
      </w:pPr>
      <w:rPr>
        <w:rFonts w:ascii="Wingdings" w:hAnsi="Wingdings" w:cs="Wingdings" w:hint="default"/>
      </w:rPr>
    </w:lvl>
  </w:abstractNum>
  <w:abstractNum w:abstractNumId="3">
    <w:lvl w:ilvl="0">
      <w:start w:val="1"/>
      <w:numFmt w:val="decimal"/>
      <w:lvlText w:val="%1."/>
      <w:lvlJc w:val="left"/>
      <w:pPr>
        <w:tabs>
          <w:tab w:val="num" w:pos="0"/>
        </w:tabs>
        <w:ind w:left="1134" w:hanging="1134"/>
      </w:pPr>
      <w:rPr/>
    </w:lvl>
    <w:lvl w:ilvl="1">
      <w:start w:val="1"/>
      <w:numFmt w:val="decimal"/>
      <w:lvlText w:val="%1.%2."/>
      <w:lvlJc w:val="left"/>
      <w:pPr>
        <w:tabs>
          <w:tab w:val="num" w:pos="0"/>
        </w:tabs>
        <w:ind w:left="1134" w:hanging="1134"/>
      </w:pPr>
      <w:rPr/>
    </w:lvl>
    <w:lvl w:ilvl="2">
      <w:start w:val="1"/>
      <w:numFmt w:val="decimal"/>
      <w:lvlText w:val="%1.%2.%3."/>
      <w:lvlJc w:val="left"/>
      <w:pPr>
        <w:tabs>
          <w:tab w:val="num" w:pos="0"/>
        </w:tabs>
        <w:ind w:left="1134" w:hanging="1134"/>
      </w:pPr>
      <w:rPr/>
    </w:lvl>
    <w:lvl w:ilvl="3">
      <w:start w:val="1"/>
      <w:numFmt w:val="russianLower"/>
      <w:lvlText w:val="(%4)"/>
      <w:lvlJc w:val="left"/>
      <w:pPr>
        <w:tabs>
          <w:tab w:val="num" w:pos="0"/>
        </w:tabs>
        <w:ind w:left="1985" w:hanging="567"/>
      </w:pPr>
      <w:rPr/>
    </w:lvl>
    <w:lvl w:ilvl="4">
      <w:start w:val="1"/>
      <w:numFmt w:val="bullet"/>
      <w:lvlText w:val="–"/>
      <w:lvlJc w:val="left"/>
      <w:pPr>
        <w:tabs>
          <w:tab w:val="num" w:pos="0"/>
        </w:tabs>
        <w:ind w:left="2268" w:hanging="567"/>
      </w:pPr>
      <w:rPr>
        <w:rFonts w:ascii="Times New Roman" w:hAnsi="Times New Roman" w:cs="Times New Roman" w:hint="default"/>
      </w:rPr>
    </w:lvl>
    <w:lvl w:ilvl="5">
      <w:start w:val="1"/>
      <w:numFmt w:val="none"/>
      <w:suff w:val="nothing"/>
      <w:lvlText w:val=""/>
      <w:lvlJc w:val="left"/>
      <w:pPr>
        <w:tabs>
          <w:tab w:val="num" w:pos="0"/>
        </w:tabs>
        <w:ind w:left="1134" w:hanging="0"/>
      </w:pPr>
      <w:rPr/>
    </w:lvl>
    <w:lvl w:ilvl="6">
      <w:start w:val="1"/>
      <w:numFmt w:val="none"/>
      <w:suff w:val="nothing"/>
      <w:lvlText w:val=""/>
      <w:lvlJc w:val="left"/>
      <w:pPr>
        <w:tabs>
          <w:tab w:val="num" w:pos="0"/>
        </w:tabs>
        <w:ind w:left="1701"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1134" w:hanging="0"/>
      </w:pPr>
      <w:rPr/>
    </w:lvl>
  </w:abstractNum>
  <w:abstractNum w:abstractNumId="4">
    <w:lvl w:ilvl="0">
      <w:start w:val="1"/>
      <w:numFmt w:val="decimal"/>
      <w:lvlText w:val="1.%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5">
    <w:lvl w:ilvl="0">
      <w:start w:val="1"/>
      <w:numFmt w:val="decimal"/>
      <w:lvlText w:val="%1."/>
      <w:lvlJc w:val="left"/>
      <w:pPr>
        <w:tabs>
          <w:tab w:val="num" w:pos="0"/>
        </w:tabs>
        <w:ind w:left="360" w:hanging="360"/>
      </w:pPr>
      <w:rPr>
        <w:sz w:val="24"/>
        <w:b/>
        <w:szCs w:val="24"/>
        <w:bCs w:val="false"/>
      </w:rPr>
    </w:lvl>
    <w:lvl w:ilvl="1">
      <w:start w:val="1"/>
      <w:numFmt w:val="decimal"/>
      <w:lvlText w:val="%1.%2."/>
      <w:lvlJc w:val="left"/>
      <w:pPr>
        <w:tabs>
          <w:tab w:val="num" w:pos="0"/>
        </w:tabs>
        <w:ind w:left="792" w:hanging="432"/>
      </w:pPr>
      <w:rPr>
        <w:sz w:val="24"/>
        <w:b w:val="false"/>
        <w:szCs w:val="24"/>
        <w:bCs/>
      </w:rPr>
    </w:lvl>
    <w:lvl w:ilvl="2">
      <w:start w:val="1"/>
      <w:numFmt w:val="decimal"/>
      <w:lvlText w:val="%1.%2.%3."/>
      <w:lvlJc w:val="left"/>
      <w:pPr>
        <w:tabs>
          <w:tab w:val="num" w:pos="0"/>
        </w:tabs>
        <w:ind w:left="1224" w:hanging="504"/>
      </w:pPr>
      <w:rPr>
        <w:sz w:val="24"/>
        <w:szCs w:val="24"/>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3054" w:hanging="360"/>
      </w:pPr>
      <w:rPr/>
    </w:lvl>
    <w:lvl w:ilvl="1">
      <w:start w:val="1"/>
      <w:numFmt w:val="decimal"/>
      <w:lvlText w:val="%1.%2."/>
      <w:lvlJc w:val="left"/>
      <w:pPr>
        <w:tabs>
          <w:tab w:val="num" w:pos="0"/>
        </w:tabs>
        <w:ind w:left="3414" w:hanging="720"/>
      </w:pPr>
      <w:rPr/>
    </w:lvl>
    <w:lvl w:ilvl="2">
      <w:start w:val="1"/>
      <w:numFmt w:val="decimal"/>
      <w:lvlText w:val="%1.%2.%3."/>
      <w:lvlJc w:val="left"/>
      <w:pPr>
        <w:tabs>
          <w:tab w:val="num" w:pos="0"/>
        </w:tabs>
        <w:ind w:left="3414" w:hanging="720"/>
      </w:pPr>
      <w:rPr/>
    </w:lvl>
    <w:lvl w:ilvl="3">
      <w:start w:val="1"/>
      <w:numFmt w:val="decimal"/>
      <w:lvlText w:val="%1.%2.%3.%4."/>
      <w:lvlJc w:val="left"/>
      <w:pPr>
        <w:tabs>
          <w:tab w:val="num" w:pos="0"/>
        </w:tabs>
        <w:ind w:left="3774" w:hanging="1080"/>
      </w:pPr>
      <w:rPr/>
    </w:lvl>
    <w:lvl w:ilvl="4">
      <w:start w:val="1"/>
      <w:numFmt w:val="decimal"/>
      <w:lvlText w:val="%1.%2.%3.%4.%5."/>
      <w:lvlJc w:val="left"/>
      <w:pPr>
        <w:tabs>
          <w:tab w:val="num" w:pos="0"/>
        </w:tabs>
        <w:ind w:left="3774" w:hanging="1080"/>
      </w:pPr>
      <w:rPr/>
    </w:lvl>
    <w:lvl w:ilvl="5">
      <w:start w:val="1"/>
      <w:numFmt w:val="decimal"/>
      <w:lvlText w:val="%1.%2.%3.%4.%5.%6."/>
      <w:lvlJc w:val="left"/>
      <w:pPr>
        <w:tabs>
          <w:tab w:val="num" w:pos="0"/>
        </w:tabs>
        <w:ind w:left="4134" w:hanging="1440"/>
      </w:pPr>
      <w:rPr/>
    </w:lvl>
    <w:lvl w:ilvl="6">
      <w:start w:val="1"/>
      <w:numFmt w:val="decimal"/>
      <w:lvlText w:val="%1.%2.%3.%4.%5.%6.%7."/>
      <w:lvlJc w:val="left"/>
      <w:pPr>
        <w:tabs>
          <w:tab w:val="num" w:pos="0"/>
        </w:tabs>
        <w:ind w:left="4494" w:hanging="1800"/>
      </w:pPr>
      <w:rPr/>
    </w:lvl>
    <w:lvl w:ilvl="7">
      <w:start w:val="1"/>
      <w:numFmt w:val="decimal"/>
      <w:lvlText w:val="%1.%2.%3.%4.%5.%6.%7.%8."/>
      <w:lvlJc w:val="left"/>
      <w:pPr>
        <w:tabs>
          <w:tab w:val="num" w:pos="0"/>
        </w:tabs>
        <w:ind w:left="4494" w:hanging="1800"/>
      </w:pPr>
      <w:rPr/>
    </w:lvl>
    <w:lvl w:ilvl="8">
      <w:start w:val="1"/>
      <w:numFmt w:val="decimal"/>
      <w:lvlText w:val="%1.%2.%3.%4.%5.%6.%7.%8.%9."/>
      <w:lvlJc w:val="left"/>
      <w:pPr>
        <w:tabs>
          <w:tab w:val="num" w:pos="0"/>
        </w:tabs>
        <w:ind w:left="4854" w:hanging="2160"/>
      </w:pPr>
      <w:rPr/>
    </w:lvl>
  </w:abstractNum>
  <w:abstractNum w:abstractNumId="8">
    <w:lvl w:ilvl="0">
      <w:start w:val="4"/>
      <w:numFmt w:val="decimal"/>
      <w:lvlText w:val="%1."/>
      <w:lvlJc w:val="left"/>
      <w:pPr>
        <w:tabs>
          <w:tab w:val="num" w:pos="0"/>
        </w:tabs>
        <w:ind w:left="1080" w:hanging="360"/>
      </w:pPr>
      <w:rPr/>
    </w:lvl>
    <w:lvl w:ilvl="1">
      <w:start w:val="1"/>
      <w:numFmt w:val="decimal"/>
      <w:lvlText w:val="%1.%2."/>
      <w:lvlJc w:val="left"/>
      <w:pPr>
        <w:tabs>
          <w:tab w:val="num" w:pos="0"/>
        </w:tabs>
        <w:ind w:left="1140" w:hanging="420"/>
      </w:pPr>
      <w:rPr>
        <w:b w:val="false"/>
        <w:bCs w:val="false"/>
      </w:rPr>
    </w:lvl>
    <w:lvl w:ilvl="2">
      <w:start w:val="1"/>
      <w:numFmt w:val="decimal"/>
      <w:lvlText w:val="%1.%2.%3."/>
      <w:lvlJc w:val="left"/>
      <w:pPr>
        <w:tabs>
          <w:tab w:val="num" w:pos="0"/>
        </w:tabs>
        <w:ind w:left="1440" w:hanging="720"/>
      </w:pPr>
      <w:rPr>
        <w:b w:val="false"/>
        <w:bCs w:val="false"/>
      </w:rPr>
    </w:lvl>
    <w:lvl w:ilvl="3">
      <w:start w:val="1"/>
      <w:numFmt w:val="decimal"/>
      <w:lvlText w:val="%1.%2.%3.%4."/>
      <w:lvlJc w:val="left"/>
      <w:pPr>
        <w:tabs>
          <w:tab w:val="num" w:pos="0"/>
        </w:tabs>
        <w:ind w:left="1440" w:hanging="720"/>
      </w:pPr>
      <w:rPr/>
    </w:lvl>
    <w:lvl w:ilvl="4">
      <w:start w:val="1"/>
      <w:numFmt w:val="decimal"/>
      <w:lvlText w:val="%1.%2.%3.%4.%5."/>
      <w:lvlJc w:val="left"/>
      <w:pPr>
        <w:tabs>
          <w:tab w:val="num" w:pos="0"/>
        </w:tabs>
        <w:ind w:left="1800" w:hanging="1080"/>
      </w:pPr>
      <w:rPr/>
    </w:lvl>
    <w:lvl w:ilvl="5">
      <w:start w:val="1"/>
      <w:numFmt w:val="decimal"/>
      <w:lvlText w:val="%1.%2.%3.%4.%5.%6."/>
      <w:lvlJc w:val="left"/>
      <w:pPr>
        <w:tabs>
          <w:tab w:val="num" w:pos="0"/>
        </w:tabs>
        <w:ind w:left="1800" w:hanging="1080"/>
      </w:pPr>
      <w:rPr/>
    </w:lvl>
    <w:lvl w:ilvl="6">
      <w:start w:val="1"/>
      <w:numFmt w:val="decimal"/>
      <w:lvlText w:val="%1.%2.%3.%4.%5.%6.%7."/>
      <w:lvlJc w:val="left"/>
      <w:pPr>
        <w:tabs>
          <w:tab w:val="num" w:pos="0"/>
        </w:tabs>
        <w:ind w:left="2160" w:hanging="1440"/>
      </w:pPr>
      <w:rPr/>
    </w:lvl>
    <w:lvl w:ilvl="7">
      <w:start w:val="1"/>
      <w:numFmt w:val="decimal"/>
      <w:lvlText w:val="%1.%2.%3.%4.%5.%6.%7.%8."/>
      <w:lvlJc w:val="left"/>
      <w:pPr>
        <w:tabs>
          <w:tab w:val="num" w:pos="0"/>
        </w:tabs>
        <w:ind w:left="2160" w:hanging="1440"/>
      </w:pPr>
      <w:rPr/>
    </w:lvl>
    <w:lvl w:ilvl="8">
      <w:start w:val="1"/>
      <w:numFmt w:val="decimal"/>
      <w:lvlText w:val="%1.%2.%3.%4.%5.%6.%7.%8.%9."/>
      <w:lvlJc w:val="left"/>
      <w:pPr>
        <w:tabs>
          <w:tab w:val="num" w:pos="0"/>
        </w:tabs>
        <w:ind w:left="2520" w:hanging="180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uiPriority="99"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936e2"/>
    <w:pPr>
      <w:widowControl/>
      <w:suppressAutoHyphens w:val="true"/>
      <w:bidi w:val="0"/>
      <w:spacing w:before="0" w:after="0"/>
      <w:jc w:val="left"/>
    </w:pPr>
    <w:rPr>
      <w:rFonts w:ascii="Times New Roman" w:hAnsi="Times New Roman" w:eastAsia="Times New Roman" w:cs="Times New Roman"/>
      <w:color w:val="auto"/>
      <w:kern w:val="0"/>
      <w:sz w:val="28"/>
      <w:szCs w:val="28"/>
      <w:lang w:val="ru-RU" w:eastAsia="ru-RU" w:bidi="ar-SA"/>
    </w:rPr>
  </w:style>
  <w:style w:type="paragraph" w:styleId="Heading1">
    <w:name w:val="Heading 1"/>
    <w:basedOn w:val="Heading3"/>
    <w:next w:val="Normal"/>
    <w:link w:val="1"/>
    <w:qFormat/>
    <w:rsid w:val="00353a27"/>
    <w:pPr>
      <w:ind w:left="5038" w:hanging="0"/>
      <w:outlineLvl w:val="0"/>
    </w:pPr>
    <w:rPr/>
  </w:style>
  <w:style w:type="paragraph" w:styleId="Heading2">
    <w:name w:val="Heading 2"/>
    <w:basedOn w:val="Heading4"/>
    <w:next w:val="Normal"/>
    <w:link w:val="2"/>
    <w:qFormat/>
    <w:rsid w:val="00ea61a8"/>
    <w:pPr>
      <w:outlineLvl w:val="1"/>
    </w:pPr>
    <w:rPr/>
  </w:style>
  <w:style w:type="paragraph" w:styleId="Heading3">
    <w:name w:val="Heading 3"/>
    <w:basedOn w:val="Normal"/>
    <w:next w:val="Normal"/>
    <w:link w:val="3"/>
    <w:autoRedefine/>
    <w:qFormat/>
    <w:rsid w:val="001267d8"/>
    <w:pPr>
      <w:keepNext w:val="true"/>
      <w:jc w:val="both"/>
      <w:outlineLvl w:val="2"/>
    </w:pPr>
    <w:rPr>
      <w:rFonts w:eastAsia="Calibri"/>
      <w:b/>
      <w:lang w:eastAsia="x-none"/>
    </w:rPr>
  </w:style>
  <w:style w:type="paragraph" w:styleId="Heading4">
    <w:name w:val="Heading 4"/>
    <w:basedOn w:val="Heading3"/>
    <w:next w:val="Normal"/>
    <w:link w:val="4"/>
    <w:qFormat/>
    <w:rsid w:val="006629c9"/>
    <w:pPr>
      <w:numPr>
        <w:ilvl w:val="1"/>
      </w:numPr>
      <w:ind w:left="432" w:hanging="0"/>
      <w:outlineLvl w:val="3"/>
    </w:pPr>
    <w:rPr>
      <w:bCs/>
    </w:rPr>
  </w:style>
  <w:style w:type="paragraph" w:styleId="Heading5">
    <w:name w:val="Heading 5"/>
    <w:basedOn w:val="Normal"/>
    <w:next w:val="Normal"/>
    <w:link w:val="5"/>
    <w:uiPriority w:val="9"/>
    <w:qFormat/>
    <w:rsid w:val="0076353a"/>
    <w:pPr>
      <w:spacing w:before="240" w:after="60"/>
      <w:outlineLvl w:val="4"/>
    </w:pPr>
    <w:rPr>
      <w:b/>
      <w:bCs/>
      <w:i/>
      <w:iCs/>
      <w:sz w:val="26"/>
      <w:szCs w:val="26"/>
      <w:lang w:val="x-none" w:eastAsia="x-none"/>
    </w:rPr>
  </w:style>
  <w:style w:type="paragraph" w:styleId="Heading6">
    <w:name w:val="Heading 6"/>
    <w:basedOn w:val="Normal"/>
    <w:next w:val="Normal"/>
    <w:link w:val="6"/>
    <w:uiPriority w:val="9"/>
    <w:qFormat/>
    <w:rsid w:val="00d22f6d"/>
    <w:pPr>
      <w:keepNext w:val="true"/>
      <w:keepLines/>
      <w:spacing w:before="200" w:after="0"/>
      <w:outlineLvl w:val="5"/>
    </w:pPr>
    <w:rPr>
      <w:rFonts w:ascii="Cambria" w:hAnsi="Cambria"/>
      <w:i/>
      <w:iCs/>
      <w:color w:val="243F60"/>
      <w:sz w:val="20"/>
      <w:szCs w:val="20"/>
      <w:lang w:val="x-none" w:eastAsia="x-none"/>
    </w:rPr>
  </w:style>
  <w:style w:type="paragraph" w:styleId="Heading7">
    <w:name w:val="Heading 7"/>
    <w:basedOn w:val="Normal"/>
    <w:next w:val="Normal"/>
    <w:link w:val="7"/>
    <w:uiPriority w:val="9"/>
    <w:qFormat/>
    <w:rsid w:val="00d22f6d"/>
    <w:pPr>
      <w:keepNext w:val="true"/>
      <w:keepLines/>
      <w:spacing w:before="200" w:after="0"/>
      <w:outlineLvl w:val="6"/>
    </w:pPr>
    <w:rPr>
      <w:rFonts w:ascii="Cambria" w:hAnsi="Cambria"/>
      <w:i/>
      <w:iCs/>
      <w:color w:val="404040"/>
      <w:sz w:val="20"/>
      <w:szCs w:val="20"/>
      <w:lang w:val="x-none" w:eastAsia="x-none"/>
    </w:rPr>
  </w:style>
  <w:style w:type="paragraph" w:styleId="Heading8">
    <w:name w:val="Heading 8"/>
    <w:basedOn w:val="Normal"/>
    <w:next w:val="Normal"/>
    <w:link w:val="8"/>
    <w:uiPriority w:val="9"/>
    <w:qFormat/>
    <w:rsid w:val="00d22f6d"/>
    <w:pPr>
      <w:keepNext w:val="true"/>
      <w:keepLines/>
      <w:spacing w:before="200" w:after="0"/>
      <w:outlineLvl w:val="7"/>
    </w:pPr>
    <w:rPr>
      <w:rFonts w:ascii="Cambria" w:hAnsi="Cambria"/>
      <w:color w:val="4F81BD"/>
      <w:sz w:val="20"/>
      <w:szCs w:val="20"/>
      <w:lang w:val="x-none" w:eastAsia="x-none"/>
    </w:rPr>
  </w:style>
  <w:style w:type="paragraph" w:styleId="Heading9">
    <w:name w:val="Heading 9"/>
    <w:basedOn w:val="Normal"/>
    <w:next w:val="Normal"/>
    <w:link w:val="9"/>
    <w:uiPriority w:val="9"/>
    <w:qFormat/>
    <w:rsid w:val="0076353a"/>
    <w:pPr>
      <w:spacing w:before="240" w:after="60"/>
      <w:outlineLvl w:val="8"/>
    </w:pPr>
    <w:rPr>
      <w:rFonts w:ascii="Arial" w:hAnsi="Arial"/>
      <w:sz w:val="22"/>
      <w:szCs w:val="22"/>
      <w:lang w:val="x-none" w:eastAsia="x-none"/>
    </w:rPr>
  </w:style>
  <w:style w:type="character" w:styleId="DefaultParagraphFont" w:default="1">
    <w:name w:val="Default Paragraph Font"/>
    <w:uiPriority w:val="1"/>
    <w:unhideWhenUsed/>
    <w:qFormat/>
    <w:rPr/>
  </w:style>
  <w:style w:type="character" w:styleId="Style">
    <w:name w:val="Символ сноски"/>
    <w:qFormat/>
    <w:rsid w:val="00d561d9"/>
    <w:rPr>
      <w:vertAlign w:val="superscript"/>
    </w:rPr>
  </w:style>
  <w:style w:type="character" w:styleId="FootnoteReference">
    <w:name w:val="Footnote Reference"/>
    <w:rPr>
      <w:vertAlign w:val="superscript"/>
    </w:rPr>
  </w:style>
  <w:style w:type="character" w:styleId="Pagenumber">
    <w:name w:val="page number"/>
    <w:basedOn w:val="DefaultParagraphFont"/>
    <w:qFormat/>
    <w:rsid w:val="006c2f3f"/>
    <w:rPr/>
  </w:style>
  <w:style w:type="character" w:styleId="Hyperlink">
    <w:name w:val="Hyperlink"/>
    <w:uiPriority w:val="99"/>
    <w:rsid w:val="006c2f3f"/>
    <w:rPr>
      <w:color w:val="0000FF"/>
      <w:u w:val="single"/>
    </w:rPr>
  </w:style>
  <w:style w:type="character" w:styleId="Annotationreference">
    <w:name w:val="annotation reference"/>
    <w:uiPriority w:val="99"/>
    <w:semiHidden/>
    <w:qFormat/>
    <w:rsid w:val="00b714b0"/>
    <w:rPr>
      <w:sz w:val="16"/>
      <w:szCs w:val="16"/>
    </w:rPr>
  </w:style>
  <w:style w:type="character" w:styleId="Strong">
    <w:name w:val="Strong"/>
    <w:uiPriority w:val="22"/>
    <w:qFormat/>
    <w:rsid w:val="00165965"/>
    <w:rPr>
      <w:b/>
      <w:bCs/>
    </w:rPr>
  </w:style>
  <w:style w:type="character" w:styleId="6" w:customStyle="1">
    <w:name w:val="Заголовок 6 Знак"/>
    <w:uiPriority w:val="9"/>
    <w:qFormat/>
    <w:rsid w:val="00d22f6d"/>
    <w:rPr>
      <w:rFonts w:ascii="Cambria" w:hAnsi="Cambria"/>
      <w:i/>
      <w:iCs/>
      <w:color w:val="243F60"/>
      <w:lang w:val="x-none" w:eastAsia="x-none"/>
    </w:rPr>
  </w:style>
  <w:style w:type="character" w:styleId="7" w:customStyle="1">
    <w:name w:val="Заголовок 7 Знак"/>
    <w:uiPriority w:val="9"/>
    <w:qFormat/>
    <w:rsid w:val="00d22f6d"/>
    <w:rPr>
      <w:rFonts w:ascii="Cambria" w:hAnsi="Cambria"/>
      <w:i/>
      <w:iCs/>
      <w:color w:val="404040"/>
      <w:lang w:val="x-none" w:eastAsia="x-none"/>
    </w:rPr>
  </w:style>
  <w:style w:type="character" w:styleId="8" w:customStyle="1">
    <w:name w:val="Заголовок 8 Знак"/>
    <w:uiPriority w:val="9"/>
    <w:qFormat/>
    <w:rsid w:val="00d22f6d"/>
    <w:rPr>
      <w:rFonts w:ascii="Cambria" w:hAnsi="Cambria"/>
      <w:color w:val="4F81BD"/>
      <w:lang w:val="x-none" w:eastAsia="x-none"/>
    </w:rPr>
  </w:style>
  <w:style w:type="character" w:styleId="1" w:customStyle="1">
    <w:name w:val="Заголовок 1 Знак"/>
    <w:qFormat/>
    <w:rsid w:val="00353a27"/>
    <w:rPr>
      <w:rFonts w:eastAsia="Calibri"/>
      <w:b/>
      <w:sz w:val="28"/>
      <w:szCs w:val="28"/>
      <w:lang w:val="x-none" w:eastAsia="x-none"/>
    </w:rPr>
  </w:style>
  <w:style w:type="character" w:styleId="2" w:customStyle="1">
    <w:name w:val="Заголовок 2 Знак"/>
    <w:qFormat/>
    <w:rsid w:val="00ea61a8"/>
    <w:rPr>
      <w:rFonts w:eastAsia="Calibri"/>
      <w:b/>
      <w:bCs/>
      <w:sz w:val="24"/>
      <w:szCs w:val="24"/>
      <w:lang w:val="x-none" w:eastAsia="x-none"/>
    </w:rPr>
  </w:style>
  <w:style w:type="character" w:styleId="3" w:customStyle="1">
    <w:name w:val="Заголовок 3 Знак"/>
    <w:qFormat/>
    <w:rsid w:val="001267d8"/>
    <w:rPr>
      <w:rFonts w:eastAsia="Calibri"/>
      <w:b/>
      <w:sz w:val="28"/>
      <w:szCs w:val="28"/>
      <w:lang w:eastAsia="x-none"/>
    </w:rPr>
  </w:style>
  <w:style w:type="character" w:styleId="4" w:customStyle="1">
    <w:name w:val="Заголовок 4 Знак"/>
    <w:qFormat/>
    <w:rsid w:val="006629c9"/>
    <w:rPr>
      <w:rFonts w:eastAsia="Calibri"/>
      <w:b/>
      <w:bCs/>
      <w:sz w:val="24"/>
      <w:szCs w:val="24"/>
      <w:lang w:val="x-none" w:eastAsia="x-none"/>
    </w:rPr>
  </w:style>
  <w:style w:type="character" w:styleId="5" w:customStyle="1">
    <w:name w:val="Заголовок 5 Знак"/>
    <w:uiPriority w:val="9"/>
    <w:qFormat/>
    <w:rsid w:val="00d22f6d"/>
    <w:rPr>
      <w:b/>
      <w:bCs/>
      <w:i/>
      <w:iCs/>
      <w:sz w:val="26"/>
      <w:szCs w:val="26"/>
    </w:rPr>
  </w:style>
  <w:style w:type="character" w:styleId="9" w:customStyle="1">
    <w:name w:val="Заголовок 9 Знак"/>
    <w:uiPriority w:val="9"/>
    <w:qFormat/>
    <w:rsid w:val="00d22f6d"/>
    <w:rPr>
      <w:rFonts w:ascii="Arial" w:hAnsi="Arial" w:cs="Arial"/>
      <w:sz w:val="22"/>
      <w:szCs w:val="22"/>
    </w:rPr>
  </w:style>
  <w:style w:type="character" w:styleId="Style1" w:customStyle="1">
    <w:name w:val="Название Знак"/>
    <w:link w:val="15"/>
    <w:uiPriority w:val="10"/>
    <w:qFormat/>
    <w:rsid w:val="00d22f6d"/>
    <w:rPr>
      <w:sz w:val="28"/>
    </w:rPr>
  </w:style>
  <w:style w:type="character" w:styleId="Style2" w:customStyle="1">
    <w:name w:val="Подзаголовок Знак"/>
    <w:uiPriority w:val="11"/>
    <w:qFormat/>
    <w:rsid w:val="00d22f6d"/>
    <w:rPr>
      <w:rFonts w:ascii="Cambria" w:hAnsi="Cambria"/>
      <w:i/>
      <w:iCs/>
      <w:color w:val="4F81BD"/>
      <w:spacing w:val="15"/>
      <w:sz w:val="24"/>
      <w:szCs w:val="24"/>
      <w:lang w:val="x-none" w:eastAsia="x-none"/>
    </w:rPr>
  </w:style>
  <w:style w:type="character" w:styleId="Emphasis">
    <w:name w:val="Emphasis"/>
    <w:uiPriority w:val="20"/>
    <w:qFormat/>
    <w:rsid w:val="00d22f6d"/>
    <w:rPr>
      <w:i/>
      <w:iCs/>
    </w:rPr>
  </w:style>
  <w:style w:type="character" w:styleId="21" w:customStyle="1">
    <w:name w:val="Цитата 2 Знак"/>
    <w:link w:val="Quote"/>
    <w:uiPriority w:val="29"/>
    <w:qFormat/>
    <w:rsid w:val="00d22f6d"/>
    <w:rPr>
      <w:rFonts w:ascii="Calibri" w:hAnsi="Calibri" w:eastAsia="Calibri"/>
      <w:i/>
      <w:iCs/>
      <w:color w:val="000000"/>
      <w:lang w:val="x-none" w:eastAsia="x-none"/>
    </w:rPr>
  </w:style>
  <w:style w:type="character" w:styleId="Style3" w:customStyle="1">
    <w:name w:val="Выделенная цитата Знак"/>
    <w:link w:val="IntenseQuote"/>
    <w:uiPriority w:val="30"/>
    <w:qFormat/>
    <w:rsid w:val="00d22f6d"/>
    <w:rPr>
      <w:rFonts w:ascii="Calibri" w:hAnsi="Calibri" w:eastAsia="Calibri"/>
      <w:b/>
      <w:bCs/>
      <w:i/>
      <w:iCs/>
      <w:color w:val="4F81BD"/>
      <w:lang w:val="x-none" w:eastAsia="x-none"/>
    </w:rPr>
  </w:style>
  <w:style w:type="character" w:styleId="SubtleEmphasis">
    <w:name w:val="Subtle Emphasis"/>
    <w:uiPriority w:val="19"/>
    <w:qFormat/>
    <w:rsid w:val="00d22f6d"/>
    <w:rPr>
      <w:i/>
      <w:iCs/>
      <w:color w:val="808080"/>
    </w:rPr>
  </w:style>
  <w:style w:type="character" w:styleId="IntenseEmphasis">
    <w:name w:val="Intense Emphasis"/>
    <w:uiPriority w:val="21"/>
    <w:qFormat/>
    <w:rsid w:val="00d22f6d"/>
    <w:rPr>
      <w:b/>
      <w:bCs/>
      <w:i/>
      <w:iCs/>
      <w:color w:val="4F81BD"/>
    </w:rPr>
  </w:style>
  <w:style w:type="character" w:styleId="SubtleReference">
    <w:name w:val="Subtle Reference"/>
    <w:uiPriority w:val="31"/>
    <w:qFormat/>
    <w:rsid w:val="00d22f6d"/>
    <w:rPr>
      <w:smallCaps/>
      <w:color w:val="C0504D"/>
      <w:u w:val="single"/>
    </w:rPr>
  </w:style>
  <w:style w:type="character" w:styleId="IntenseReference">
    <w:name w:val="Intense Reference"/>
    <w:uiPriority w:val="32"/>
    <w:qFormat/>
    <w:rsid w:val="00d22f6d"/>
    <w:rPr>
      <w:b/>
      <w:bCs/>
      <w:smallCaps/>
      <w:color w:val="C0504D"/>
      <w:spacing w:val="5"/>
      <w:u w:val="single"/>
    </w:rPr>
  </w:style>
  <w:style w:type="character" w:styleId="BookTitle">
    <w:name w:val="Book Title"/>
    <w:uiPriority w:val="33"/>
    <w:qFormat/>
    <w:rsid w:val="00d22f6d"/>
    <w:rPr>
      <w:b/>
      <w:bCs/>
      <w:smallCaps/>
      <w:spacing w:val="5"/>
    </w:rPr>
  </w:style>
  <w:style w:type="character" w:styleId="Style4" w:customStyle="1">
    <w:name w:val="Электронная подпись Знак"/>
    <w:link w:val="E-mailSignature"/>
    <w:uiPriority w:val="99"/>
    <w:qFormat/>
    <w:rsid w:val="00d22f6d"/>
    <w:rPr>
      <w:rFonts w:eastAsia="Calibri"/>
      <w:sz w:val="24"/>
      <w:szCs w:val="24"/>
    </w:rPr>
  </w:style>
  <w:style w:type="character" w:styleId="11" w:customStyle="1">
    <w:name w:val="Подпункт Знак1"/>
    <w:link w:val="Style22"/>
    <w:qFormat/>
    <w:locked/>
    <w:rsid w:val="00d22f6d"/>
    <w:rPr>
      <w:sz w:val="28"/>
    </w:rPr>
  </w:style>
  <w:style w:type="character" w:styleId="Style5" w:customStyle="1">
    <w:name w:val="Текст сноски Знак"/>
    <w:uiPriority w:val="99"/>
    <w:qFormat/>
    <w:rsid w:val="00d22f6d"/>
    <w:rPr/>
  </w:style>
  <w:style w:type="character" w:styleId="Style6" w:customStyle="1">
    <w:name w:val="Основной текст Знак"/>
    <w:qFormat/>
    <w:rsid w:val="004459a5"/>
    <w:rPr>
      <w:sz w:val="28"/>
      <w:szCs w:val="28"/>
    </w:rPr>
  </w:style>
  <w:style w:type="character" w:styleId="Blk" w:customStyle="1">
    <w:name w:val="blk"/>
    <w:qFormat/>
    <w:rsid w:val="00431ace"/>
    <w:rPr/>
  </w:style>
  <w:style w:type="character" w:styleId="Style7" w:customStyle="1">
    <w:name w:val="Абзац списка Знак"/>
    <w:link w:val="ListParagraph"/>
    <w:uiPriority w:val="34"/>
    <w:qFormat/>
    <w:locked/>
    <w:rsid w:val="00310eb4"/>
    <w:rPr>
      <w:rFonts w:eastAsia="Calibri"/>
      <w:sz w:val="24"/>
      <w:szCs w:val="24"/>
    </w:rPr>
  </w:style>
  <w:style w:type="character" w:styleId="Style8" w:customStyle="1">
    <w:name w:val="комментарий"/>
    <w:qFormat/>
    <w:rsid w:val="0025139e"/>
    <w:rPr>
      <w:b/>
      <w:i/>
      <w:shd w:fill="FFFF99" w:val="clear"/>
    </w:rPr>
  </w:style>
  <w:style w:type="character" w:styleId="Style9" w:customStyle="1">
    <w:name w:val="Подподпункт Знак"/>
    <w:link w:val="Style30"/>
    <w:qFormat/>
    <w:locked/>
    <w:rsid w:val="0025139e"/>
    <w:rPr>
      <w:sz w:val="26"/>
      <w:szCs w:val="26"/>
    </w:rPr>
  </w:style>
  <w:style w:type="character" w:styleId="31" w:customStyle="1">
    <w:name w:val="УРОВЕНЬ_Абзац_тип3 Знак"/>
    <w:link w:val="36"/>
    <w:qFormat/>
    <w:rsid w:val="00b56f46"/>
    <w:rPr>
      <w:rFonts w:eastAsia="Calibri"/>
      <w:sz w:val="26"/>
      <w:szCs w:val="28"/>
      <w:lang w:eastAsia="en-US"/>
    </w:rPr>
  </w:style>
  <w:style w:type="character" w:styleId="Style10" w:customStyle="1">
    <w:name w:val="Верхний колонтитул Знак"/>
    <w:uiPriority w:val="99"/>
    <w:qFormat/>
    <w:rsid w:val="002f31af"/>
    <w:rPr>
      <w:sz w:val="24"/>
      <w:szCs w:val="24"/>
    </w:rPr>
  </w:style>
  <w:style w:type="character" w:styleId="Style11" w:customStyle="1">
    <w:name w:val="Текст примечания Знак"/>
    <w:link w:val="Annotationtext"/>
    <w:semiHidden/>
    <w:qFormat/>
    <w:rsid w:val="00dc0f7d"/>
    <w:rPr/>
  </w:style>
  <w:style w:type="character" w:styleId="Style12" w:customStyle="1">
    <w:name w:val="Текст концевой сноски Знак"/>
    <w:basedOn w:val="DefaultParagraphFont"/>
    <w:qFormat/>
    <w:rsid w:val="003879d4"/>
    <w:rPr/>
  </w:style>
  <w:style w:type="character" w:styleId="Style13">
    <w:name w:val="Символ концевой сноски"/>
    <w:qFormat/>
    <w:rsid w:val="003879d4"/>
    <w:rPr>
      <w:vertAlign w:val="superscript"/>
    </w:rPr>
  </w:style>
  <w:style w:type="character" w:styleId="EndnoteReference">
    <w:name w:val="Endnote Reference"/>
    <w:rPr>
      <w:vertAlign w:val="superscript"/>
    </w:rPr>
  </w:style>
  <w:style w:type="character" w:styleId="22" w:customStyle="1">
    <w:name w:val="Пункт2 Знак"/>
    <w:link w:val="24"/>
    <w:qFormat/>
    <w:rsid w:val="00de52bc"/>
    <w:rPr>
      <w:b/>
      <w:sz w:val="28"/>
    </w:rPr>
  </w:style>
  <w:style w:type="character" w:styleId="12" w:customStyle="1">
    <w:name w:val="УРОВЕНЬ_1. Знак"/>
    <w:link w:val="19"/>
    <w:qFormat/>
    <w:rsid w:val="004a17ae"/>
    <w:rPr>
      <w:rFonts w:eastAsia="Calibri"/>
      <w:caps/>
      <w:sz w:val="28"/>
      <w:szCs w:val="28"/>
      <w:lang w:eastAsia="en-US"/>
    </w:rPr>
  </w:style>
  <w:style w:type="character" w:styleId="13" w:customStyle="1">
    <w:name w:val="Неразрешенное упоминание1"/>
    <w:basedOn w:val="DefaultParagraphFont"/>
    <w:uiPriority w:val="99"/>
    <w:semiHidden/>
    <w:unhideWhenUsed/>
    <w:qFormat/>
    <w:rsid w:val="00c36f30"/>
    <w:rPr>
      <w:color w:val="605E5C"/>
      <w:shd w:fill="E1DFDD" w:val="clear"/>
    </w:rPr>
  </w:style>
  <w:style w:type="character" w:styleId="32" w:customStyle="1">
    <w:name w:val="Основной текст с отступом 3 Знак"/>
    <w:link w:val="BodyTextIndent3"/>
    <w:qFormat/>
    <w:rsid w:val="00c36f30"/>
    <w:rPr>
      <w:sz w:val="16"/>
      <w:szCs w:val="16"/>
    </w:rPr>
  </w:style>
  <w:style w:type="character" w:styleId="Style14" w:customStyle="1">
    <w:name w:val="основной для подзаголовков Знак"/>
    <w:link w:val="Style34"/>
    <w:qFormat/>
    <w:locked/>
    <w:rsid w:val="0037114f"/>
    <w:rPr>
      <w:b/>
      <w:sz w:val="28"/>
      <w:szCs w:val="28"/>
    </w:rPr>
  </w:style>
  <w:style w:type="character" w:styleId="Tipsy-tooltip" w:customStyle="1">
    <w:name w:val="tipsy-tooltip"/>
    <w:basedOn w:val="DefaultParagraphFont"/>
    <w:qFormat/>
    <w:rsid w:val="00a27b18"/>
    <w:rPr/>
  </w:style>
  <w:style w:type="character" w:styleId="Style15">
    <w:name w:val="Ссылка указателя"/>
    <w:qFormat/>
    <w:rPr/>
  </w:style>
  <w:style w:type="character" w:styleId="Strong1">
    <w:name w:val="Strong1"/>
    <w:qFormat/>
    <w:rPr>
      <w:b/>
      <w:bCs/>
    </w:rPr>
  </w:style>
  <w:style w:type="paragraph" w:styleId="Style16">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link w:val="Style6"/>
    <w:rsid w:val="0076353a"/>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17">
    <w:name w:val="Указатель"/>
    <w:basedOn w:val="Normal"/>
    <w:qFormat/>
    <w:pPr>
      <w:suppressLineNumbers/>
    </w:pPr>
    <w:rPr/>
  </w:style>
  <w:style w:type="paragraph" w:styleId="Style18" w:customStyle="1">
    <w:name w:val="Название раздела инструкции"/>
    <w:basedOn w:val="Normal"/>
    <w:autoRedefine/>
    <w:qFormat/>
    <w:rsid w:val="00275328"/>
    <w:pPr>
      <w:jc w:val="center"/>
    </w:pPr>
    <w:rPr>
      <w:b/>
    </w:rPr>
  </w:style>
  <w:style w:type="paragraph" w:styleId="Style19" w:customStyle="1">
    <w:name w:val="Раздел положения"/>
    <w:basedOn w:val="Normal"/>
    <w:autoRedefine/>
    <w:qFormat/>
    <w:rsid w:val="007475ee"/>
    <w:pPr>
      <w:numPr>
        <w:ilvl w:val="0"/>
        <w:numId w:val="1"/>
      </w:numPr>
      <w:spacing w:before="80" w:after="80"/>
      <w:jc w:val="center"/>
    </w:pPr>
    <w:rPr>
      <w:b/>
      <w:sz w:val="32"/>
      <w:szCs w:val="32"/>
    </w:rPr>
  </w:style>
  <w:style w:type="paragraph" w:styleId="Style20" w:customStyle="1">
    <w:name w:val="Подраздел раздела положения"/>
    <w:basedOn w:val="Normal"/>
    <w:autoRedefine/>
    <w:qFormat/>
    <w:rsid w:val="007475ee"/>
    <w:pPr>
      <w:numPr>
        <w:ilvl w:val="1"/>
        <w:numId w:val="1"/>
      </w:numPr>
      <w:spacing w:before="80" w:after="80"/>
      <w:jc w:val="both"/>
    </w:pPr>
    <w:rPr/>
  </w:style>
  <w:style w:type="paragraph" w:styleId="FootnoteText">
    <w:name w:val="Footnote Text"/>
    <w:basedOn w:val="Normal"/>
    <w:link w:val="Style5"/>
    <w:uiPriority w:val="99"/>
    <w:rsid w:val="00d561d9"/>
    <w:pPr/>
    <w:rPr>
      <w:sz w:val="20"/>
      <w:szCs w:val="20"/>
    </w:rPr>
  </w:style>
  <w:style w:type="paragraph" w:styleId="14" w:customStyle="1">
    <w:name w:val="Шапка 1"/>
    <w:basedOn w:val="Normal"/>
    <w:qFormat/>
    <w:rsid w:val="00d561d9"/>
    <w:pPr>
      <w:pBdr>
        <w:bottom w:val="thickThinSmallGap" w:sz="24" w:space="1" w:color="000000"/>
      </w:pBdr>
      <w:spacing w:before="0" w:after="240"/>
      <w:jc w:val="center"/>
    </w:pPr>
    <w:rPr>
      <w:sz w:val="22"/>
      <w:szCs w:val="22"/>
    </w:rPr>
  </w:style>
  <w:style w:type="paragraph" w:styleId="23" w:customStyle="1">
    <w:name w:val="Шапка 2"/>
    <w:basedOn w:val="Normal"/>
    <w:qFormat/>
    <w:rsid w:val="00d561d9"/>
    <w:pPr>
      <w:pBdr>
        <w:bottom w:val="thickThinSmallGap" w:sz="24" w:space="1" w:color="000000"/>
      </w:pBdr>
      <w:spacing w:before="0" w:after="120"/>
      <w:jc w:val="center"/>
    </w:pPr>
    <w:rPr>
      <w:b/>
      <w:sz w:val="22"/>
      <w:szCs w:val="22"/>
    </w:rPr>
  </w:style>
  <w:style w:type="paragraph" w:styleId="33" w:customStyle="1">
    <w:name w:val="Шапка 3"/>
    <w:basedOn w:val="Normal"/>
    <w:qFormat/>
    <w:rsid w:val="00d561d9"/>
    <w:pPr>
      <w:pBdr>
        <w:bottom w:val="thickThinSmallGap" w:sz="24" w:space="1" w:color="000000"/>
      </w:pBdr>
      <w:spacing w:before="240" w:after="360"/>
      <w:jc w:val="center"/>
    </w:pPr>
    <w:rPr>
      <w:b/>
      <w:sz w:val="24"/>
      <w:szCs w:val="24"/>
    </w:rPr>
  </w:style>
  <w:style w:type="paragraph" w:styleId="15" w:customStyle="1">
    <w:name w:val="Название1"/>
    <w:basedOn w:val="Normal"/>
    <w:link w:val="Style1"/>
    <w:uiPriority w:val="10"/>
    <w:qFormat/>
    <w:rsid w:val="00bd4014"/>
    <w:pPr>
      <w:jc w:val="center"/>
    </w:pPr>
    <w:rPr>
      <w:szCs w:val="20"/>
      <w:lang w:val="x-none" w:eastAsia="x-none"/>
    </w:rPr>
  </w:style>
  <w:style w:type="paragraph" w:styleId="Style21">
    <w:name w:val="Колонтитул"/>
    <w:basedOn w:val="Normal"/>
    <w:qFormat/>
    <w:pPr/>
    <w:rPr/>
  </w:style>
  <w:style w:type="paragraph" w:styleId="Header">
    <w:name w:val="Header"/>
    <w:basedOn w:val="Normal"/>
    <w:link w:val="Style10"/>
    <w:uiPriority w:val="99"/>
    <w:rsid w:val="0076353a"/>
    <w:pPr>
      <w:tabs>
        <w:tab w:val="clear" w:pos="708"/>
        <w:tab w:val="center" w:pos="4677" w:leader="none"/>
        <w:tab w:val="right" w:pos="9355" w:leader="none"/>
      </w:tabs>
    </w:pPr>
    <w:rPr>
      <w:sz w:val="24"/>
      <w:szCs w:val="24"/>
    </w:rPr>
  </w:style>
  <w:style w:type="paragraph" w:styleId="BodyTextIndent">
    <w:name w:val="Body Text Indent"/>
    <w:basedOn w:val="Normal"/>
    <w:rsid w:val="0076353a"/>
    <w:pPr>
      <w:ind w:left="360" w:hanging="0"/>
    </w:pPr>
    <w:rPr>
      <w:sz w:val="24"/>
      <w:szCs w:val="24"/>
    </w:rPr>
  </w:style>
  <w:style w:type="paragraph" w:styleId="Footer">
    <w:name w:val="Footer"/>
    <w:basedOn w:val="Normal"/>
    <w:rsid w:val="0076353a"/>
    <w:pPr>
      <w:tabs>
        <w:tab w:val="clear" w:pos="708"/>
        <w:tab w:val="center" w:pos="4677" w:leader="none"/>
        <w:tab w:val="right" w:pos="9355" w:leader="none"/>
      </w:tabs>
    </w:pPr>
    <w:rPr/>
  </w:style>
  <w:style w:type="paragraph" w:styleId="BodyTextIndent2">
    <w:name w:val="Body Text Indent 2"/>
    <w:basedOn w:val="Normal"/>
    <w:qFormat/>
    <w:rsid w:val="0076353a"/>
    <w:pPr>
      <w:spacing w:lineRule="auto" w:line="480" w:before="0" w:after="120"/>
      <w:ind w:left="283" w:hanging="0"/>
    </w:pPr>
    <w:rPr/>
  </w:style>
  <w:style w:type="paragraph" w:styleId="BodyText3">
    <w:name w:val="Body Text 3"/>
    <w:basedOn w:val="Normal"/>
    <w:qFormat/>
    <w:rsid w:val="0076353a"/>
    <w:pPr>
      <w:spacing w:before="0" w:after="120"/>
    </w:pPr>
    <w:rPr>
      <w:sz w:val="16"/>
      <w:szCs w:val="16"/>
    </w:rPr>
  </w:style>
  <w:style w:type="paragraph" w:styleId="BodyTextIndent3">
    <w:name w:val="Body Text Indent 3"/>
    <w:basedOn w:val="Normal"/>
    <w:link w:val="32"/>
    <w:qFormat/>
    <w:rsid w:val="0076353a"/>
    <w:pPr>
      <w:spacing w:before="0" w:after="120"/>
      <w:ind w:left="283" w:hanging="0"/>
    </w:pPr>
    <w:rPr>
      <w:sz w:val="16"/>
      <w:szCs w:val="16"/>
    </w:rPr>
  </w:style>
  <w:style w:type="paragraph" w:styleId="BodyText2">
    <w:name w:val="Body Text 2"/>
    <w:basedOn w:val="Normal"/>
    <w:qFormat/>
    <w:rsid w:val="0076353a"/>
    <w:pPr>
      <w:spacing w:lineRule="auto" w:line="480" w:before="0" w:after="120"/>
    </w:pPr>
    <w:rPr/>
  </w:style>
  <w:style w:type="paragraph" w:styleId="BlockText">
    <w:name w:val="Block Text"/>
    <w:basedOn w:val="Normal"/>
    <w:qFormat/>
    <w:rsid w:val="0076353a"/>
    <w:pPr>
      <w:ind w:left="-567" w:right="-766" w:hanging="0"/>
      <w:jc w:val="center"/>
    </w:pPr>
    <w:rPr>
      <w:b/>
      <w:bCs/>
      <w:sz w:val="24"/>
      <w:szCs w:val="20"/>
    </w:rPr>
  </w:style>
  <w:style w:type="paragraph" w:styleId="Style22" w:customStyle="1">
    <w:name w:val="Подпункт"/>
    <w:basedOn w:val="Normal"/>
    <w:link w:val="11"/>
    <w:qFormat/>
    <w:rsid w:val="0076353a"/>
    <w:pPr>
      <w:tabs>
        <w:tab w:val="clear" w:pos="708"/>
        <w:tab w:val="left" w:pos="1134" w:leader="none"/>
      </w:tabs>
      <w:snapToGrid w:val="false"/>
      <w:spacing w:lineRule="auto" w:line="360"/>
      <w:ind w:left="1134" w:hanging="1134"/>
      <w:jc w:val="both"/>
    </w:pPr>
    <w:rPr>
      <w:szCs w:val="20"/>
      <w:lang w:val="x-none" w:eastAsia="x-none"/>
    </w:rPr>
  </w:style>
  <w:style w:type="paragraph" w:styleId="24" w:customStyle="1">
    <w:name w:val="Пункт2"/>
    <w:basedOn w:val="Normal"/>
    <w:link w:val="22"/>
    <w:qFormat/>
    <w:rsid w:val="0076353a"/>
    <w:pPr>
      <w:keepNext w:val="true"/>
      <w:tabs>
        <w:tab w:val="clear" w:pos="708"/>
        <w:tab w:val="left" w:pos="1134" w:leader="none"/>
      </w:tabs>
      <w:suppressAutoHyphens w:val="true"/>
      <w:snapToGrid w:val="false"/>
      <w:spacing w:before="240" w:after="120"/>
      <w:ind w:left="1134" w:hanging="1134"/>
      <w:outlineLvl w:val="2"/>
    </w:pPr>
    <w:rPr>
      <w:b/>
      <w:szCs w:val="20"/>
    </w:rPr>
  </w:style>
  <w:style w:type="paragraph" w:styleId="TOC1">
    <w:name w:val="TOC 1"/>
    <w:basedOn w:val="Normal"/>
    <w:next w:val="Normal"/>
    <w:autoRedefine/>
    <w:uiPriority w:val="39"/>
    <w:rsid w:val="00421b6b"/>
    <w:pPr>
      <w:spacing w:before="120" w:after="0"/>
    </w:pPr>
    <w:rPr>
      <w:rFonts w:cs="Calibri Light (Заголовки)"/>
      <w:b/>
      <w:bCs/>
      <w:sz w:val="24"/>
      <w:szCs w:val="24"/>
    </w:rPr>
  </w:style>
  <w:style w:type="paragraph" w:styleId="TOC3">
    <w:name w:val="TOC 3"/>
    <w:basedOn w:val="Normal"/>
    <w:next w:val="Normal"/>
    <w:autoRedefine/>
    <w:uiPriority w:val="39"/>
    <w:rsid w:val="00c01756"/>
    <w:pPr>
      <w:ind w:left="280" w:hanging="0"/>
    </w:pPr>
    <w:rPr>
      <w:rFonts w:cs="Calibri" w:cstheme="minorHAnsi"/>
      <w:sz w:val="20"/>
      <w:szCs w:val="20"/>
    </w:rPr>
  </w:style>
  <w:style w:type="paragraph" w:styleId="Style23" w:customStyle="1">
    <w:name w:val="Раздел регламента"/>
    <w:basedOn w:val="Normal"/>
    <w:qFormat/>
    <w:rsid w:val="00e228fa"/>
    <w:pPr/>
    <w:rPr/>
  </w:style>
  <w:style w:type="paragraph" w:styleId="Style24" w:customStyle="1">
    <w:name w:val="Приложение к регламенту"/>
    <w:basedOn w:val="Normal"/>
    <w:qFormat/>
    <w:rsid w:val="00e228fa"/>
    <w:pPr>
      <w:jc w:val="right"/>
    </w:pPr>
    <w:rPr/>
  </w:style>
  <w:style w:type="paragraph" w:styleId="TOC2">
    <w:name w:val="TOC 2"/>
    <w:basedOn w:val="Normal"/>
    <w:next w:val="Normal"/>
    <w:autoRedefine/>
    <w:uiPriority w:val="39"/>
    <w:rsid w:val="000017f9"/>
    <w:pPr>
      <w:tabs>
        <w:tab w:val="clear" w:pos="708"/>
        <w:tab w:val="right" w:pos="9911" w:leader="dot"/>
      </w:tabs>
    </w:pPr>
    <w:rPr>
      <w:rFonts w:cs="Calibri" w:cstheme="minorHAnsi"/>
      <w:b/>
      <w:bCs/>
      <w:sz w:val="20"/>
      <w:szCs w:val="20"/>
    </w:rPr>
  </w:style>
  <w:style w:type="paragraph" w:styleId="BalloonText">
    <w:name w:val="Balloon Text"/>
    <w:basedOn w:val="Normal"/>
    <w:semiHidden/>
    <w:qFormat/>
    <w:rsid w:val="00197c91"/>
    <w:pPr/>
    <w:rPr>
      <w:rFonts w:ascii="Tahoma" w:hAnsi="Tahoma" w:cs="Tahoma"/>
      <w:sz w:val="16"/>
      <w:szCs w:val="16"/>
    </w:rPr>
  </w:style>
  <w:style w:type="paragraph" w:styleId="Annotationtext">
    <w:name w:val="annotation text"/>
    <w:basedOn w:val="Normal"/>
    <w:link w:val="Style11"/>
    <w:semiHidden/>
    <w:qFormat/>
    <w:rsid w:val="00b714b0"/>
    <w:pPr/>
    <w:rPr>
      <w:sz w:val="20"/>
      <w:szCs w:val="20"/>
    </w:rPr>
  </w:style>
  <w:style w:type="paragraph" w:styleId="Annotationsubject">
    <w:name w:val="annotation subject"/>
    <w:basedOn w:val="Annotationtext"/>
    <w:next w:val="Annotationtext"/>
    <w:semiHidden/>
    <w:qFormat/>
    <w:rsid w:val="00b714b0"/>
    <w:pPr/>
    <w:rPr>
      <w:b/>
      <w:bCs/>
    </w:rPr>
  </w:style>
  <w:style w:type="paragraph" w:styleId="16" w:customStyle="1">
    <w:name w:val="Обычный (веб)1"/>
    <w:basedOn w:val="Normal"/>
    <w:uiPriority w:val="99"/>
    <w:qFormat/>
    <w:rsid w:val="002f559a"/>
    <w:pPr>
      <w:spacing w:beforeAutospacing="1" w:afterAutospacing="1"/>
    </w:pPr>
    <w:rPr>
      <w:rFonts w:ascii="Arial Unicode MS" w:hAnsi="Arial Unicode MS" w:eastAsia="Arial Unicode MS" w:cs="Arial Unicode MS"/>
      <w:sz w:val="24"/>
      <w:szCs w:val="24"/>
    </w:rPr>
  </w:style>
  <w:style w:type="paragraph" w:styleId="TOC9">
    <w:name w:val="TOC 9"/>
    <w:basedOn w:val="Normal"/>
    <w:next w:val="Normal"/>
    <w:autoRedefine/>
    <w:semiHidden/>
    <w:rsid w:val="00f57628"/>
    <w:pPr>
      <w:ind w:left="1960" w:hanging="0"/>
    </w:pPr>
    <w:rPr>
      <w:rFonts w:ascii="Calibri" w:hAnsi="Calibri" w:cs="Calibri" w:asciiTheme="minorHAnsi" w:cstheme="minorHAnsi" w:hAnsiTheme="minorHAnsi"/>
      <w:sz w:val="20"/>
      <w:szCs w:val="20"/>
    </w:rPr>
  </w:style>
  <w:style w:type="paragraph" w:styleId="TOC5">
    <w:name w:val="TOC 5"/>
    <w:basedOn w:val="Normal"/>
    <w:next w:val="Normal"/>
    <w:autoRedefine/>
    <w:semiHidden/>
    <w:rsid w:val="00f57628"/>
    <w:pPr>
      <w:ind w:left="840" w:hanging="0"/>
    </w:pPr>
    <w:rPr>
      <w:rFonts w:ascii="Calibri" w:hAnsi="Calibri" w:cs="Calibri" w:asciiTheme="minorHAnsi" w:cstheme="minorHAnsi" w:hAnsiTheme="minorHAnsi"/>
      <w:sz w:val="20"/>
      <w:szCs w:val="20"/>
    </w:rPr>
  </w:style>
  <w:style w:type="paragraph" w:styleId="TOC4">
    <w:name w:val="TOC 4"/>
    <w:basedOn w:val="Normal"/>
    <w:next w:val="Normal"/>
    <w:autoRedefine/>
    <w:uiPriority w:val="39"/>
    <w:rsid w:val="00c01756"/>
    <w:pPr>
      <w:ind w:left="560" w:hanging="0"/>
    </w:pPr>
    <w:rPr>
      <w:rFonts w:cs="Calibri" w:cstheme="minorHAnsi"/>
      <w:sz w:val="20"/>
      <w:szCs w:val="20"/>
    </w:rPr>
  </w:style>
  <w:style w:type="paragraph" w:styleId="25" w:customStyle="1">
    <w:name w:val="Раздел положения 2"/>
    <w:basedOn w:val="Normal"/>
    <w:qFormat/>
    <w:rsid w:val="002c1e0e"/>
    <w:pPr>
      <w:pageBreakBefore/>
      <w:jc w:val="both"/>
      <w:outlineLvl w:val="0"/>
    </w:pPr>
    <w:rPr>
      <w:b/>
    </w:rPr>
  </w:style>
  <w:style w:type="paragraph" w:styleId="Style25" w:customStyle="1">
    <w:name w:val="Знак Знак Знак Знак Знак Знак Знак Знак Знак"/>
    <w:basedOn w:val="Normal"/>
    <w:qFormat/>
    <w:rsid w:val="00d22f6d"/>
    <w:pPr>
      <w:spacing w:lineRule="exact" w:line="240" w:before="0" w:after="160"/>
      <w:jc w:val="both"/>
    </w:pPr>
    <w:rPr>
      <w:rFonts w:ascii="Verdana" w:hAnsi="Verdana" w:cs="Verdana"/>
      <w:sz w:val="22"/>
      <w:szCs w:val="22"/>
      <w:lang w:val="en-US" w:eastAsia="en-US"/>
    </w:rPr>
  </w:style>
  <w:style w:type="paragraph" w:styleId="NoSpacing">
    <w:name w:val="No Spacing"/>
    <w:basedOn w:val="Normal"/>
    <w:uiPriority w:val="1"/>
    <w:qFormat/>
    <w:rsid w:val="00d22f6d"/>
    <w:pPr>
      <w:spacing w:lineRule="auto" w:line="360"/>
    </w:pPr>
    <w:rPr>
      <w:rFonts w:eastAsia="Calibri"/>
      <w:sz w:val="24"/>
      <w:szCs w:val="24"/>
    </w:rPr>
  </w:style>
  <w:style w:type="paragraph" w:styleId="Caption1">
    <w:name w:val="caption1"/>
    <w:basedOn w:val="Normal"/>
    <w:next w:val="Normal"/>
    <w:uiPriority w:val="35"/>
    <w:qFormat/>
    <w:rsid w:val="00d22f6d"/>
    <w:pPr/>
    <w:rPr>
      <w:rFonts w:eastAsia="Calibri"/>
      <w:b/>
      <w:bCs/>
      <w:color w:val="4F81BD"/>
      <w:sz w:val="18"/>
      <w:szCs w:val="18"/>
    </w:rPr>
  </w:style>
  <w:style w:type="paragraph" w:styleId="Subtitle">
    <w:name w:val="Subtitle"/>
    <w:basedOn w:val="Normal"/>
    <w:next w:val="Normal"/>
    <w:link w:val="Style2"/>
    <w:uiPriority w:val="11"/>
    <w:qFormat/>
    <w:rsid w:val="00d22f6d"/>
    <w:pPr>
      <w:numPr>
        <w:ilvl w:val="1"/>
      </w:numPr>
      <w:ind w:left="1066" w:firstLine="709"/>
    </w:pPr>
    <w:rPr>
      <w:rFonts w:ascii="Cambria" w:hAnsi="Cambria"/>
      <w:i/>
      <w:iCs/>
      <w:color w:val="4F81BD"/>
      <w:spacing w:val="15"/>
      <w:sz w:val="24"/>
      <w:szCs w:val="24"/>
      <w:lang w:val="x-none" w:eastAsia="x-none"/>
    </w:rPr>
  </w:style>
  <w:style w:type="paragraph" w:styleId="ListParagraph">
    <w:name w:val="List Paragraph"/>
    <w:basedOn w:val="Normal"/>
    <w:link w:val="Style7"/>
    <w:uiPriority w:val="34"/>
    <w:qFormat/>
    <w:rsid w:val="00d22f6d"/>
    <w:pPr>
      <w:spacing w:before="0" w:after="0"/>
      <w:ind w:left="720" w:hanging="0"/>
      <w:contextualSpacing/>
    </w:pPr>
    <w:rPr>
      <w:rFonts w:eastAsia="Calibri"/>
      <w:sz w:val="24"/>
      <w:szCs w:val="24"/>
    </w:rPr>
  </w:style>
  <w:style w:type="paragraph" w:styleId="Quote">
    <w:name w:val="Quote"/>
    <w:basedOn w:val="Normal"/>
    <w:next w:val="Normal"/>
    <w:link w:val="21"/>
    <w:uiPriority w:val="29"/>
    <w:qFormat/>
    <w:rsid w:val="00d22f6d"/>
    <w:pPr/>
    <w:rPr>
      <w:rFonts w:ascii="Calibri" w:hAnsi="Calibri" w:eastAsia="Calibri"/>
      <w:i/>
      <w:iCs/>
      <w:color w:val="000000"/>
      <w:sz w:val="20"/>
      <w:szCs w:val="20"/>
      <w:lang w:val="x-none" w:eastAsia="x-none"/>
    </w:rPr>
  </w:style>
  <w:style w:type="paragraph" w:styleId="IntenseQuote">
    <w:name w:val="Intense Quote"/>
    <w:basedOn w:val="Normal"/>
    <w:next w:val="Normal"/>
    <w:link w:val="Style3"/>
    <w:uiPriority w:val="30"/>
    <w:qFormat/>
    <w:rsid w:val="00d22f6d"/>
    <w:pPr>
      <w:pBdr>
        <w:bottom w:val="single" w:sz="4" w:space="4" w:color="4F81BD"/>
      </w:pBdr>
      <w:spacing w:before="200" w:after="280"/>
      <w:ind w:left="936" w:right="936" w:hanging="0"/>
    </w:pPr>
    <w:rPr>
      <w:rFonts w:ascii="Calibri" w:hAnsi="Calibri" w:eastAsia="Calibri"/>
      <w:b/>
      <w:bCs/>
      <w:i/>
      <w:iCs/>
      <w:color w:val="4F81BD"/>
      <w:sz w:val="20"/>
      <w:szCs w:val="20"/>
      <w:lang w:val="x-none" w:eastAsia="x-none"/>
    </w:rPr>
  </w:style>
  <w:style w:type="paragraph" w:styleId="IndexHeading">
    <w:name w:val="Index Heading"/>
    <w:basedOn w:val="Style16"/>
    <w:pPr/>
    <w:rPr/>
  </w:style>
  <w:style w:type="paragraph" w:styleId="TOCHeading">
    <w:name w:val="TOC Heading"/>
    <w:basedOn w:val="Heading1"/>
    <w:next w:val="Normal"/>
    <w:uiPriority w:val="39"/>
    <w:qFormat/>
    <w:rsid w:val="00d22f6d"/>
    <w:pPr>
      <w:keepLines/>
      <w:spacing w:before="480" w:after="0"/>
      <w:outlineLvl w:val="9"/>
    </w:pPr>
    <w:rPr>
      <w:rFonts w:ascii="Cambria" w:hAnsi="Cambria"/>
      <w:bCs/>
      <w:color w:val="365F91"/>
    </w:rPr>
  </w:style>
  <w:style w:type="paragraph" w:styleId="E-mailSignature">
    <w:name w:val="E-mail Signature"/>
    <w:basedOn w:val="Normal"/>
    <w:link w:val="Style4"/>
    <w:uiPriority w:val="99"/>
    <w:unhideWhenUsed/>
    <w:qFormat/>
    <w:rsid w:val="00d22f6d"/>
    <w:pPr/>
    <w:rPr>
      <w:rFonts w:eastAsia="Calibri"/>
      <w:sz w:val="24"/>
      <w:szCs w:val="24"/>
      <w:lang w:val="x-none" w:eastAsia="x-none"/>
    </w:rPr>
  </w:style>
  <w:style w:type="paragraph" w:styleId="Style26" w:customStyle="1">
    <w:name w:val="Знак"/>
    <w:basedOn w:val="Normal"/>
    <w:qFormat/>
    <w:rsid w:val="00d22f6d"/>
    <w:pPr>
      <w:spacing w:lineRule="exact" w:line="240" w:before="0" w:after="160"/>
    </w:pPr>
    <w:rPr>
      <w:rFonts w:ascii="Verdana" w:hAnsi="Verdana" w:cs="Verdana"/>
      <w:sz w:val="20"/>
      <w:szCs w:val="20"/>
      <w:lang w:val="en-US" w:eastAsia="en-US"/>
    </w:rPr>
  </w:style>
  <w:style w:type="paragraph" w:styleId="34" w:customStyle="1">
    <w:name w:val="Нумерованный список ур3"/>
    <w:basedOn w:val="Normal"/>
    <w:qFormat/>
    <w:rsid w:val="00d22f6d"/>
    <w:pPr>
      <w:numPr>
        <w:ilvl w:val="2"/>
        <w:numId w:val="2"/>
      </w:numPr>
      <w:jc w:val="both"/>
    </w:pPr>
    <w:rPr>
      <w:rFonts w:ascii="Garamond" w:hAnsi="Garamond"/>
      <w:sz w:val="24"/>
      <w:szCs w:val="20"/>
    </w:rPr>
  </w:style>
  <w:style w:type="paragraph" w:styleId="ListBullet4" w:customStyle="1">
    <w:name w:val="List Bullet 4"/>
    <w:basedOn w:val="Normal"/>
    <w:qFormat/>
    <w:rsid w:val="00d22f6d"/>
    <w:pPr>
      <w:numPr>
        <w:ilvl w:val="0"/>
        <w:numId w:val="2"/>
      </w:numPr>
      <w:spacing w:before="120" w:after="0"/>
      <w:jc w:val="both"/>
    </w:pPr>
    <w:rPr>
      <w:rFonts w:ascii="Garamond" w:hAnsi="Garamond"/>
      <w:sz w:val="24"/>
      <w:szCs w:val="20"/>
    </w:rPr>
  </w:style>
  <w:style w:type="paragraph" w:styleId="26" w:customStyle="1">
    <w:name w:val="Нумерованный список ур2"/>
    <w:basedOn w:val="Normal"/>
    <w:qFormat/>
    <w:rsid w:val="00d22f6d"/>
    <w:pPr>
      <w:numPr>
        <w:ilvl w:val="1"/>
        <w:numId w:val="2"/>
      </w:numPr>
      <w:spacing w:before="120" w:after="0"/>
      <w:jc w:val="both"/>
    </w:pPr>
    <w:rPr>
      <w:rFonts w:ascii="Garamond" w:hAnsi="Garamond"/>
      <w:sz w:val="24"/>
      <w:szCs w:val="20"/>
    </w:rPr>
  </w:style>
  <w:style w:type="paragraph" w:styleId="Revision">
    <w:name w:val="Revision"/>
    <w:uiPriority w:val="99"/>
    <w:semiHidden/>
    <w:qFormat/>
    <w:rsid w:val="00d22f6d"/>
    <w:pPr>
      <w:widowControl/>
      <w:suppressAutoHyphens w:val="true"/>
      <w:bidi w:val="0"/>
      <w:spacing w:before="0" w:after="0"/>
      <w:jc w:val="left"/>
    </w:pPr>
    <w:rPr>
      <w:rFonts w:ascii="Times New Roman" w:hAnsi="Times New Roman" w:eastAsia="Calibri" w:cs="Times New Roman"/>
      <w:color w:val="auto"/>
      <w:kern w:val="0"/>
      <w:sz w:val="24"/>
      <w:szCs w:val="24"/>
      <w:lang w:val="ru-RU" w:eastAsia="ru-RU" w:bidi="ar-SA"/>
    </w:rPr>
  </w:style>
  <w:style w:type="paragraph" w:styleId="ConsPlusNormal" w:customStyle="1">
    <w:name w:val="ConsPlusNormal"/>
    <w:qFormat/>
    <w:rsid w:val="00d22f6d"/>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35" w:customStyle="1">
    <w:name w:val="Знак Знак3 Знак Знак"/>
    <w:basedOn w:val="Normal"/>
    <w:qFormat/>
    <w:rsid w:val="00d22f6d"/>
    <w:pPr>
      <w:spacing w:lineRule="exact" w:line="240" w:before="0" w:after="160"/>
      <w:jc w:val="both"/>
    </w:pPr>
    <w:rPr>
      <w:rFonts w:ascii="Verdana" w:hAnsi="Verdana" w:cs="Verdana"/>
      <w:sz w:val="22"/>
      <w:szCs w:val="22"/>
      <w:lang w:val="en-US" w:eastAsia="en-US"/>
    </w:rPr>
  </w:style>
  <w:style w:type="paragraph" w:styleId="Style27" w:customStyle="1">
    <w:name w:val="Пункт"/>
    <w:basedOn w:val="Normal"/>
    <w:qFormat/>
    <w:rsid w:val="00d22f6d"/>
    <w:pPr>
      <w:widowControl w:val="false"/>
      <w:tabs>
        <w:tab w:val="clear" w:pos="708"/>
        <w:tab w:val="left" w:pos="1134" w:leader="none"/>
      </w:tabs>
      <w:spacing w:lineRule="auto" w:line="360" w:before="120" w:after="0"/>
      <w:ind w:left="1134" w:right="800" w:hanging="1134"/>
      <w:jc w:val="both"/>
    </w:pPr>
    <w:rPr>
      <w:rFonts w:ascii="Arial" w:hAnsi="Arial"/>
      <w:b/>
      <w:i/>
      <w:szCs w:val="20"/>
    </w:rPr>
  </w:style>
  <w:style w:type="paragraph" w:styleId="17" w:customStyle="1">
    <w:name w:val="Абзац списка1"/>
    <w:basedOn w:val="Normal"/>
    <w:qFormat/>
    <w:rsid w:val="00d22f6d"/>
    <w:pPr>
      <w:spacing w:lineRule="auto" w:line="276" w:before="0" w:after="200"/>
      <w:ind w:left="720" w:hanging="0"/>
      <w:contextualSpacing/>
    </w:pPr>
    <w:rPr>
      <w:rFonts w:ascii="Calibri" w:hAnsi="Calibri"/>
      <w:sz w:val="22"/>
      <w:szCs w:val="22"/>
      <w:lang w:eastAsia="en-US"/>
    </w:rPr>
  </w:style>
  <w:style w:type="paragraph" w:styleId="Style28" w:customStyle="1">
    <w:name w:val="Таблица"/>
    <w:basedOn w:val="Normal"/>
    <w:qFormat/>
    <w:rsid w:val="0041356c"/>
    <w:pPr>
      <w:keepNext w:val="true"/>
      <w:spacing w:before="60" w:after="60"/>
      <w:jc w:val="center"/>
    </w:pPr>
    <w:rPr>
      <w:rFonts w:eastAsia="Calibri"/>
      <w:b/>
      <w:sz w:val="24"/>
      <w:szCs w:val="24"/>
      <w:lang w:val="x-none" w:eastAsia="x-none"/>
    </w:rPr>
  </w:style>
  <w:style w:type="paragraph" w:styleId="Style29" w:customStyle="1">
    <w:name w:val="Таблица шапка"/>
    <w:basedOn w:val="Normal"/>
    <w:qFormat/>
    <w:rsid w:val="00f64089"/>
    <w:pPr>
      <w:keepNext w:val="true"/>
      <w:spacing w:before="40" w:after="40"/>
      <w:ind w:left="57" w:right="57" w:hanging="0"/>
    </w:pPr>
    <w:rPr>
      <w:sz w:val="22"/>
      <w:szCs w:val="26"/>
    </w:rPr>
  </w:style>
  <w:style w:type="paragraph" w:styleId="Style30" w:customStyle="1">
    <w:name w:val="Подподпункт"/>
    <w:basedOn w:val="Style22"/>
    <w:link w:val="Style9"/>
    <w:qFormat/>
    <w:rsid w:val="0025139e"/>
    <w:pPr>
      <w:tabs>
        <w:tab w:val="clear" w:pos="1134"/>
        <w:tab w:val="left" w:pos="5104" w:leader="none"/>
      </w:tabs>
      <w:snapToGrid w:val="true"/>
      <w:spacing w:lineRule="auto" w:line="240" w:before="120" w:after="0"/>
      <w:ind w:left="5104" w:hanging="567"/>
    </w:pPr>
    <w:rPr>
      <w:sz w:val="26"/>
      <w:szCs w:val="26"/>
      <w:lang w:val="ru-RU" w:eastAsia="ru-RU"/>
    </w:rPr>
  </w:style>
  <w:style w:type="paragraph" w:styleId="Style31" w:customStyle="1">
    <w:name w:val="УРОВЕНЬ_(а)"/>
    <w:basedOn w:val="ListParagraph"/>
    <w:qFormat/>
    <w:rsid w:val="00b56f46"/>
    <w:pPr>
      <w:numPr>
        <w:ilvl w:val="3"/>
        <w:numId w:val="3"/>
      </w:numPr>
      <w:spacing w:lineRule="exact" w:line="360" w:before="120" w:after="0"/>
      <w:contextualSpacing w:val="false"/>
      <w:jc w:val="both"/>
      <w:outlineLvl w:val="3"/>
    </w:pPr>
    <w:rPr>
      <w:sz w:val="26"/>
      <w:szCs w:val="28"/>
      <w:lang w:eastAsia="en-US"/>
    </w:rPr>
  </w:style>
  <w:style w:type="paragraph" w:styleId="-" w:customStyle="1">
    <w:name w:val="УРОВЕНЬ_-"/>
    <w:basedOn w:val="ListParagraph"/>
    <w:qFormat/>
    <w:rsid w:val="00b56f46"/>
    <w:pPr>
      <w:numPr>
        <w:ilvl w:val="4"/>
        <w:numId w:val="3"/>
      </w:numPr>
      <w:spacing w:lineRule="exact" w:line="360" w:before="120" w:after="0"/>
      <w:contextualSpacing w:val="false"/>
      <w:jc w:val="both"/>
      <w:outlineLvl w:val="4"/>
    </w:pPr>
    <w:rPr>
      <w:sz w:val="26"/>
      <w:szCs w:val="28"/>
      <w:lang w:eastAsia="en-US"/>
    </w:rPr>
  </w:style>
  <w:style w:type="paragraph" w:styleId="27" w:customStyle="1">
    <w:name w:val="УРОВЕНЬ_Абзац_тип2"/>
    <w:basedOn w:val="ListParagraph"/>
    <w:qFormat/>
    <w:rsid w:val="00b56f46"/>
    <w:pPr>
      <w:numPr>
        <w:ilvl w:val="6"/>
        <w:numId w:val="3"/>
      </w:numPr>
      <w:spacing w:lineRule="exact" w:line="360" w:before="120" w:after="0"/>
      <w:contextualSpacing w:val="false"/>
      <w:jc w:val="both"/>
    </w:pPr>
    <w:rPr>
      <w:sz w:val="26"/>
      <w:szCs w:val="28"/>
      <w:lang w:eastAsia="en-US"/>
    </w:rPr>
  </w:style>
  <w:style w:type="paragraph" w:styleId="36" w:customStyle="1">
    <w:name w:val="УРОВЕНЬ_Абзац_тип3"/>
    <w:basedOn w:val="ListParagraph"/>
    <w:link w:val="31"/>
    <w:qFormat/>
    <w:rsid w:val="00b56f46"/>
    <w:pPr>
      <w:numPr>
        <w:ilvl w:val="7"/>
        <w:numId w:val="3"/>
      </w:numPr>
      <w:spacing w:lineRule="exact" w:line="360" w:before="120" w:after="0"/>
      <w:contextualSpacing w:val="false"/>
      <w:jc w:val="both"/>
    </w:pPr>
    <w:rPr>
      <w:sz w:val="26"/>
      <w:szCs w:val="28"/>
      <w:lang w:eastAsia="en-US"/>
    </w:rPr>
  </w:style>
  <w:style w:type="paragraph" w:styleId="Style32" w:customStyle="1">
    <w:name w:val="УРОВЕНЬ_Подпись"/>
    <w:basedOn w:val="ListParagraph"/>
    <w:qFormat/>
    <w:rsid w:val="00b56f46"/>
    <w:pPr>
      <w:keepNext w:val="true"/>
      <w:numPr>
        <w:ilvl w:val="5"/>
        <w:numId w:val="3"/>
      </w:numPr>
      <w:spacing w:lineRule="exact" w:line="360" w:before="120" w:after="120"/>
      <w:contextualSpacing w:val="false"/>
      <w:jc w:val="right"/>
      <w:outlineLvl w:val="3"/>
    </w:pPr>
    <w:rPr>
      <w:sz w:val="26"/>
      <w:szCs w:val="28"/>
      <w:lang w:eastAsia="en-US"/>
    </w:rPr>
  </w:style>
  <w:style w:type="paragraph" w:styleId="18" w:customStyle="1">
    <w:name w:val="Стиль Заголовок 1 + по ширине"/>
    <w:basedOn w:val="Heading1"/>
    <w:qFormat/>
    <w:rsid w:val="005773b2"/>
    <w:pPr>
      <w:keepLines/>
      <w:tabs>
        <w:tab w:val="clear" w:pos="708"/>
        <w:tab w:val="left" w:pos="567" w:leader="none"/>
      </w:tabs>
      <w:suppressAutoHyphens w:val="true"/>
      <w:spacing w:before="480" w:after="240"/>
      <w:ind w:left="567" w:hanging="567"/>
    </w:pPr>
    <w:rPr>
      <w:rFonts w:ascii="Arial" w:hAnsi="Arial" w:eastAsia="Times New Roman"/>
      <w:bCs/>
      <w:kern w:val="2"/>
      <w:sz w:val="40"/>
      <w:szCs w:val="20"/>
      <w:lang w:eastAsia="ru-RU"/>
    </w:rPr>
  </w:style>
  <w:style w:type="paragraph" w:styleId="EndnoteText">
    <w:name w:val="Endnote Text"/>
    <w:basedOn w:val="Normal"/>
    <w:link w:val="Style12"/>
    <w:rsid w:val="003879d4"/>
    <w:pPr/>
    <w:rPr>
      <w:sz w:val="20"/>
      <w:szCs w:val="20"/>
    </w:rPr>
  </w:style>
  <w:style w:type="paragraph" w:styleId="28" w:customStyle="1">
    <w:name w:val="Заголовок 2 КВВ"/>
    <w:basedOn w:val="Normal"/>
    <w:qFormat/>
    <w:rsid w:val="00cb35e8"/>
    <w:pPr>
      <w:keepNext w:val="true"/>
      <w:numPr>
        <w:ilvl w:val="0"/>
        <w:numId w:val="4"/>
      </w:numPr>
      <w:suppressAutoHyphens w:val="true"/>
      <w:spacing w:before="120" w:after="120"/>
      <w:jc w:val="both"/>
      <w:outlineLvl w:val="0"/>
    </w:pPr>
    <w:rPr>
      <w:b/>
      <w:kern w:val="2"/>
      <w:sz w:val="24"/>
      <w:szCs w:val="20"/>
      <w:lang w:eastAsia="x-none"/>
    </w:rPr>
  </w:style>
  <w:style w:type="paragraph" w:styleId="Style33" w:customStyle="1">
    <w:name w:val="Таблица текст"/>
    <w:basedOn w:val="Normal"/>
    <w:qFormat/>
    <w:rsid w:val="00343e95"/>
    <w:pPr>
      <w:spacing w:before="40" w:after="40"/>
      <w:ind w:left="57" w:right="57" w:hanging="0"/>
    </w:pPr>
    <w:rPr>
      <w:sz w:val="24"/>
      <w:szCs w:val="26"/>
    </w:rPr>
  </w:style>
  <w:style w:type="paragraph" w:styleId="NormalWeb">
    <w:name w:val="Normal (Web)"/>
    <w:basedOn w:val="Normal"/>
    <w:uiPriority w:val="99"/>
    <w:unhideWhenUsed/>
    <w:qFormat/>
    <w:rsid w:val="00265d9f"/>
    <w:pPr>
      <w:spacing w:beforeAutospacing="1" w:afterAutospacing="1"/>
    </w:pPr>
    <w:rPr>
      <w:sz w:val="24"/>
      <w:szCs w:val="24"/>
    </w:rPr>
  </w:style>
  <w:style w:type="paragraph" w:styleId="19" w:customStyle="1">
    <w:name w:val="УРОВЕНЬ_1."/>
    <w:basedOn w:val="ListParagraph"/>
    <w:link w:val="12"/>
    <w:qFormat/>
    <w:rsid w:val="004a17ae"/>
    <w:pPr>
      <w:keepNext w:val="true"/>
      <w:keepLines/>
      <w:spacing w:lineRule="auto" w:line="276" w:before="240" w:after="120"/>
      <w:ind w:left="0" w:hanging="0"/>
      <w:contextualSpacing w:val="false"/>
      <w:jc w:val="both"/>
      <w:outlineLvl w:val="0"/>
    </w:pPr>
    <w:rPr>
      <w:caps/>
      <w:sz w:val="28"/>
      <w:szCs w:val="28"/>
      <w:lang w:eastAsia="en-US"/>
    </w:rPr>
  </w:style>
  <w:style w:type="paragraph" w:styleId="TOC6">
    <w:name w:val="TOC 6"/>
    <w:basedOn w:val="Normal"/>
    <w:next w:val="Normal"/>
    <w:autoRedefine/>
    <w:unhideWhenUsed/>
    <w:rsid w:val="00d849aa"/>
    <w:pPr>
      <w:ind w:left="1120" w:hanging="0"/>
    </w:pPr>
    <w:rPr>
      <w:rFonts w:ascii="Calibri" w:hAnsi="Calibri" w:cs="Calibri" w:asciiTheme="minorHAnsi" w:cstheme="minorHAnsi" w:hAnsiTheme="minorHAnsi"/>
      <w:sz w:val="20"/>
      <w:szCs w:val="20"/>
    </w:rPr>
  </w:style>
  <w:style w:type="paragraph" w:styleId="TOC7">
    <w:name w:val="TOC 7"/>
    <w:basedOn w:val="Normal"/>
    <w:next w:val="Normal"/>
    <w:autoRedefine/>
    <w:unhideWhenUsed/>
    <w:rsid w:val="00d849aa"/>
    <w:pPr>
      <w:ind w:left="1400" w:hanging="0"/>
    </w:pPr>
    <w:rPr>
      <w:rFonts w:ascii="Calibri" w:hAnsi="Calibri" w:cs="Calibri" w:asciiTheme="minorHAnsi" w:cstheme="minorHAnsi" w:hAnsiTheme="minorHAnsi"/>
      <w:sz w:val="20"/>
      <w:szCs w:val="20"/>
    </w:rPr>
  </w:style>
  <w:style w:type="paragraph" w:styleId="TOC8">
    <w:name w:val="TOC 8"/>
    <w:basedOn w:val="Normal"/>
    <w:next w:val="Normal"/>
    <w:autoRedefine/>
    <w:unhideWhenUsed/>
    <w:rsid w:val="00d849aa"/>
    <w:pPr>
      <w:ind w:left="1680" w:hanging="0"/>
    </w:pPr>
    <w:rPr>
      <w:rFonts w:ascii="Calibri" w:hAnsi="Calibri" w:cs="Calibri" w:asciiTheme="minorHAnsi" w:cstheme="minorHAnsi" w:hAnsiTheme="minorHAnsi"/>
      <w:sz w:val="20"/>
      <w:szCs w:val="20"/>
    </w:rPr>
  </w:style>
  <w:style w:type="paragraph" w:styleId="FORMATTEXT" w:customStyle="1">
    <w:name w:val=".FORMATTEXT"/>
    <w:uiPriority w:val="99"/>
    <w:qFormat/>
    <w:rsid w:val="00604f23"/>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Style34" w:customStyle="1">
    <w:name w:val="основной для подзаголовков"/>
    <w:basedOn w:val="Heading2"/>
    <w:link w:val="Style14"/>
    <w:qFormat/>
    <w:rsid w:val="0037114f"/>
    <w:pPr>
      <w:numPr>
        <w:ilvl w:val="0"/>
      </w:numPr>
      <w:suppressAutoHyphens w:val="true"/>
      <w:spacing w:before="0" w:after="120"/>
      <w:ind w:left="432" w:hanging="0"/>
    </w:pPr>
    <w:rPr>
      <w:rFonts w:eastAsia="Times New Roman"/>
      <w:bCs w:val="false"/>
      <w:lang w:eastAsia="ru-RU"/>
    </w:rPr>
  </w:style>
  <w:style w:type="paragraph" w:styleId="Style35" w:customStyle="1">
    <w:name w:val="[РГ] Текст"/>
    <w:basedOn w:val="Normal"/>
    <w:qFormat/>
    <w:rsid w:val="00b2049f"/>
    <w:pPr>
      <w:spacing w:before="120" w:after="0"/>
      <w:jc w:val="both"/>
    </w:pPr>
    <w:rPr>
      <w:rFonts w:cs="Times New Roman (???????? ?????"/>
      <w:color w:val="000000"/>
      <w:sz w:val="26"/>
      <w:szCs w:val="24"/>
      <w:lang w:eastAsia="en-US"/>
    </w:rPr>
  </w:style>
  <w:style w:type="paragraph" w:styleId="Style36">
    <w:name w:val="Содержимое врезки"/>
    <w:basedOn w:val="Normal"/>
    <w:qFormat/>
    <w:pPr/>
    <w:rPr/>
  </w:style>
  <w:style w:type="paragraph" w:styleId="Style37">
    <w:name w:val="Содержимое таблицы"/>
    <w:basedOn w:val="Normal"/>
    <w:qFormat/>
    <w:pPr>
      <w:widowControl w:val="false"/>
      <w:suppressLineNumbers/>
    </w:pPr>
    <w:rPr/>
  </w:style>
  <w:style w:type="paragraph" w:styleId="Style38">
    <w:name w:val="Заголовок таблицы"/>
    <w:basedOn w:val="Style37"/>
    <w:qFormat/>
    <w:pPr>
      <w:suppressLineNumbers/>
      <w:jc w:val="center"/>
    </w:pPr>
    <w:rPr>
      <w:b/>
      <w:bCs/>
    </w:rPr>
  </w:style>
  <w:style w:type="paragraph" w:styleId="Style39">
    <w:name w:val="Текст в заданном формате"/>
    <w:basedOn w:val="Normal"/>
    <w:qFormat/>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numbering" w:styleId="110" w:customStyle="1">
    <w:name w:val="Стиль1"/>
    <w:uiPriority w:val="99"/>
    <w:qFormat/>
    <w:rsid w:val="00f001e4"/>
  </w:style>
  <w:style w:type="numbering" w:styleId="29" w:customStyle="1">
    <w:name w:val="Стиль2"/>
    <w:uiPriority w:val="99"/>
    <w:qFormat/>
    <w:rsid w:val="006629c9"/>
  </w:style>
  <w:style w:type="table" w:default="1" w:styleId="a5">
    <w:name w:val="Normal Table"/>
    <w:uiPriority w:val="99"/>
    <w:semiHidden/>
    <w:unhideWhenUsed/>
    <w:tblPr>
      <w:tblCellMar>
        <w:top w:w="0" w:type="dxa"/>
        <w:left w:w="108" w:type="dxa"/>
        <w:bottom w:w="0" w:type="dxa"/>
        <w:right w:w="108" w:type="dxa"/>
      </w:tblCellMar>
    </w:tblPr>
  </w:style>
  <w:style w:type="table" w:styleId="af">
    <w:name w:val="Table Grid"/>
    <w:basedOn w:val="a5"/>
    <w:uiPriority w:val="39"/>
    <w:rsid w:val="0076353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c">
    <w:name w:val="Сетка таблицы1"/>
    <w:basedOn w:val="a5"/>
    <w:uiPriority w:val="39"/>
    <w:rsid w:val="00214b9f"/>
    <w:rPr>
      <w:rFonts w:asciiTheme="minorHAnsi" w:hAnsiTheme="minorHAnsi" w:eastAsiaTheme="minorHAnsi" w:cstheme="minorBidi"/>
      <w:lang w:eastAsia="en-US"/>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ED96B-0AA2-4608-91D5-5416EAA9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3051</TotalTime>
  <Application>AlterOffice/3.4.0.9$Linux_X86_64 LibreOffice_project/b8daf9e823b1a5463a2f48435ddc2e8696e7d4fc</Application>
  <AppVersion>15.0000</AppVersion>
  <Pages>11</Pages>
  <Words>1846</Words>
  <Characters>12132</Characters>
  <CharactersWithSpaces>13705</CharactersWithSpaces>
  <Paragraphs>291</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2023-07-24T05:18:00Z</dcterms:created>
  <dc:creator>Быстров Олег Геннадьевич</dc:creator>
  <dc:description/>
  <dc:language>ru-RU</dc:language>
  <cp:lastModifiedBy/>
  <cp:lastPrinted>2025-03-27T09:40:06Z</cp:lastPrinted>
  <dcterms:modified xsi:type="dcterms:W3CDTF">2026-09-10T14:36:04Z</dcterms:modified>
  <cp:revision>52</cp:revision>
  <dc:subject/>
  <dc:title>Российское открытое акционерное общество энергетики и электрификации</dc:title>
</cp:coreProperties>
</file>

<file path=docProps/custom.xml><?xml version="1.0" encoding="utf-8"?>
<Properties xmlns="http://schemas.openxmlformats.org/officeDocument/2006/custom-properties" xmlns:vt="http://schemas.openxmlformats.org/officeDocument/2006/docPropsVTypes"/>
</file>