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6926" w:leader="none"/>
        </w:tabs>
        <w:jc w:val="right"/>
        <w:rPr>
          <w:bCs/>
          <w:sz w:val="22"/>
          <w:szCs w:val="22"/>
        </w:rPr>
      </w:pPr>
      <w:r>
        <w:rPr/>
      </w:r>
    </w:p>
    <w:p>
      <w:pPr>
        <w:pStyle w:val="Normal"/>
        <w:tabs>
          <w:tab w:val="clear" w:pos="709"/>
          <w:tab w:val="left" w:pos="6926" w:leader="none"/>
        </w:tabs>
        <w:jc w:val="right"/>
        <w:rPr>
          <w:bCs/>
        </w:rPr>
      </w:pPr>
      <w:r>
        <w:rPr>
          <w:bCs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b/>
          <w:i/>
          <w:i/>
        </w:rPr>
      </w:pPr>
      <w:r>
        <w:rPr>
          <w:b/>
          <w:i/>
        </w:rPr>
        <w:t>ОКПД2 19.20.21.300 Поставка дизельного топлива для нужд Владивостокского строительного участка Дальневосточного филиала АО «ТК РусГидро»</w:t>
      </w:r>
    </w:p>
    <w:p>
      <w:pPr>
        <w:pStyle w:val="Normal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Heading2"/>
        <w:widowControl/>
        <w:suppressAutoHyphens w:val="true"/>
        <w:bidi w:val="0"/>
        <w:spacing w:before="0" w:after="0"/>
        <w:jc w:val="center"/>
        <w:rPr>
          <w:b/>
          <w:i/>
          <w:i/>
        </w:rPr>
      </w:pPr>
      <w:r>
        <w:rPr/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221854064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_Toc221854064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1854065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_Toc221854065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1854066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_Toc221854066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1854067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_Toc221854067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1854068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_Toc221854068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1854069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_Toc221854069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1854070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_Toc221854070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185407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_Toc221854071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1854072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_Toc221854072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185407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_Toc221854073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1854074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_Toc221854074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185407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_Toc221854075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3. Требования к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ListParagraph"/>
        <w:numPr>
          <w:ilvl w:val="0"/>
          <w:numId w:val="7"/>
        </w:numPr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</w:r>
    </w:p>
    <w:p>
      <w:pPr>
        <w:pStyle w:val="ListParagraph"/>
        <w:ind w:left="108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TOC1"/>
        <w:tabs>
          <w:tab w:val="clear" w:pos="709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spacing w:before="0" w:after="0"/>
        <w:ind w:hanging="0" w:left="0"/>
        <w:jc w:val="center"/>
        <w:rPr>
          <w:sz w:val="26"/>
          <w:szCs w:val="26"/>
        </w:rPr>
      </w:pPr>
      <w:bookmarkStart w:id="0" w:name="_Toc51339692"/>
      <w:bookmarkStart w:id="1" w:name="_Toc221854064"/>
      <w:r>
        <w:rPr>
          <w:sz w:val="26"/>
          <w:szCs w:val="26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851" w:leader="none"/>
          <w:tab w:val="left" w:pos="1134" w:leader="none"/>
        </w:tabs>
        <w:spacing w:before="0" w:after="0"/>
        <w:ind w:hanging="0" w:left="567"/>
        <w:rPr/>
      </w:pPr>
      <w:bookmarkStart w:id="2" w:name="_Toc46743506"/>
      <w:bookmarkStart w:id="3" w:name="_Toc221854065"/>
      <w:r>
        <w:rPr/>
        <w:t>Наименование закупаемой продукции</w:t>
      </w:r>
      <w:bookmarkEnd w:id="2"/>
      <w:bookmarkEnd w:id="3"/>
    </w:p>
    <w:p>
      <w:pPr>
        <w:pStyle w:val="Normal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ОКПД2 19.20.21.300 Поставка дизельного топлива для нужд Владивостокского строительного участка Дальневосточного филиала АО «ТК РусГидро»</w:t>
      </w:r>
    </w:p>
    <w:p>
      <w:pPr>
        <w:pStyle w:val="Heading4"/>
        <w:numPr>
          <w:ilvl w:val="1"/>
          <w:numId w:val="3"/>
        </w:numPr>
        <w:ind w:hanging="0" w:left="567"/>
        <w:rPr/>
      </w:pPr>
      <w:bookmarkStart w:id="4" w:name="_Toc221854066"/>
      <w:bookmarkStart w:id="5" w:name="_Toc46743507"/>
      <w:r>
        <w:rPr/>
        <w:t xml:space="preserve">Цель </w:t>
      </w:r>
      <w:bookmarkEnd w:id="5"/>
      <w:r>
        <w:rPr/>
        <w:t>использования закупаемой продукции</w:t>
      </w:r>
      <w:bookmarkEnd w:id="4"/>
      <w:r>
        <w:rPr/>
        <w:t xml:space="preserve">  </w:t>
      </w:r>
    </w:p>
    <w:p>
      <w:pPr>
        <w:pStyle w:val="Normal"/>
        <w:ind w:left="567"/>
        <w:jc w:val="both"/>
        <w:rPr>
          <w:sz w:val="24"/>
          <w:szCs w:val="24"/>
        </w:rPr>
      </w:pPr>
      <w:bookmarkStart w:id="6" w:name="_Toc50125126"/>
      <w:bookmarkEnd w:id="6"/>
      <w:r>
        <w:rPr>
          <w:sz w:val="24"/>
          <w:szCs w:val="24"/>
        </w:rPr>
        <w:t>Поставка дизельного топлива в целях снабжения топливом специальной техники Владивостокского строительного участка на территории Владивостокской ТЭЦ-2.</w:t>
      </w:r>
    </w:p>
    <w:p>
      <w:pPr>
        <w:pStyle w:val="Heading4"/>
        <w:numPr>
          <w:ilvl w:val="1"/>
          <w:numId w:val="3"/>
        </w:numPr>
        <w:ind w:hanging="0" w:left="567"/>
        <w:rPr>
          <w:b w:val="false"/>
          <w:i/>
          <w:i/>
        </w:rPr>
      </w:pPr>
      <w:bookmarkStart w:id="7" w:name="_Toc221854067"/>
      <w:r>
        <w:rPr/>
        <w:t>Существующее положение</w:t>
      </w:r>
      <w:bookmarkEnd w:id="7"/>
    </w:p>
    <w:p>
      <w:pPr>
        <w:pStyle w:val="Normal"/>
        <w:ind w:left="567"/>
        <w:jc w:val="both"/>
        <w:rPr/>
      </w:pPr>
      <w:r>
        <w:rPr>
          <w:sz w:val="24"/>
          <w:szCs w:val="24"/>
        </w:rPr>
        <w:t xml:space="preserve">Спец. техника эксплуатируется </w:t>
      </w:r>
      <w:r>
        <w:rPr>
          <w:sz w:val="24"/>
          <w:lang w:eastAsia="x-none"/>
        </w:rPr>
        <w:t xml:space="preserve">в рамках исполнения обязательств по доходному </w:t>
      </w:r>
      <w:r>
        <w:rPr>
          <w:sz w:val="24"/>
          <w:szCs w:val="24"/>
          <w:lang w:eastAsia="x-none"/>
        </w:rPr>
        <w:t xml:space="preserve">договору № </w:t>
      </w:r>
      <w:r>
        <w:rPr>
          <w:sz w:val="24"/>
          <w:szCs w:val="24"/>
        </w:rPr>
        <w:t>3.10.1.05.4.2023.1224 от 01.10.2023 г.</w:t>
      </w:r>
      <w:r>
        <w:rPr>
          <w:lang w:eastAsia="x-none"/>
        </w:rPr>
        <w:t xml:space="preserve"> </w:t>
      </w:r>
      <w:r>
        <w:rPr>
          <w:sz w:val="24"/>
          <w:lang w:eastAsia="x-none"/>
        </w:rPr>
        <w:t>на аренду специализированной техники с экипажем в рамках реализации проекта «Реконструкция энергетического производственно-технологического комплекса Владивостокской ТЭЦ-2».</w:t>
      </w:r>
    </w:p>
    <w:p>
      <w:pPr>
        <w:pStyle w:val="Heading1"/>
        <w:numPr>
          <w:ilvl w:val="0"/>
          <w:numId w:val="3"/>
        </w:numPr>
        <w:ind w:firstLine="567" w:left="0"/>
        <w:jc w:val="center"/>
        <w:rPr>
          <w:sz w:val="26"/>
          <w:szCs w:val="26"/>
        </w:rPr>
      </w:pPr>
      <w:bookmarkStart w:id="8" w:name="_Toc51339693"/>
      <w:bookmarkStart w:id="9" w:name="_Toc221854068"/>
      <w:bookmarkStart w:id="10" w:name="_Toc754465721"/>
      <w:bookmarkEnd w:id="10"/>
      <w:r>
        <w:rPr>
          <w:sz w:val="26"/>
          <w:szCs w:val="26"/>
        </w:rPr>
        <w:t>Требования к продукции</w:t>
      </w:r>
      <w:bookmarkEnd w:id="8"/>
      <w:bookmarkEnd w:id="9"/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134" w:leader="none"/>
        </w:tabs>
        <w:spacing w:before="0" w:after="0"/>
        <w:ind w:hanging="0" w:left="567"/>
        <w:rPr/>
      </w:pPr>
      <w:bookmarkStart w:id="11" w:name="_Toc221854069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1"/>
    </w:p>
    <w:p>
      <w:pPr>
        <w:pStyle w:val="Heading3"/>
        <w:numPr>
          <w:ilvl w:val="2"/>
          <w:numId w:val="3"/>
        </w:numPr>
        <w:tabs>
          <w:tab w:val="left" w:pos="0" w:leader="none"/>
          <w:tab w:val="left" w:pos="1134" w:leader="none"/>
        </w:tabs>
        <w:spacing w:before="0" w:after="0"/>
        <w:ind w:hanging="567" w:left="567"/>
        <w:rPr/>
      </w:pPr>
      <w:bookmarkStart w:id="12" w:name="_Toc221854070"/>
      <w:r>
        <w:rPr/>
        <w:t>Перечень и объем закупаемой продукции</w:t>
      </w:r>
      <w:bookmarkEnd w:id="12"/>
    </w:p>
    <w:p>
      <w:pPr>
        <w:pStyle w:val="Heading1"/>
        <w:tabs>
          <w:tab w:val="clear" w:pos="0"/>
        </w:tabs>
        <w:ind w:left="567"/>
        <w:rPr>
          <w:sz w:val="24"/>
          <w:szCs w:val="24"/>
        </w:rPr>
      </w:pPr>
      <w:bookmarkStart w:id="13" w:name="_Toc221854071"/>
      <w:bookmarkStart w:id="14" w:name="_Toc51339695"/>
      <w:r>
        <w:rPr>
          <w:sz w:val="24"/>
          <w:szCs w:val="24"/>
        </w:rPr>
        <w:t xml:space="preserve">Таблица 1.1 Перечень </w:t>
      </w:r>
      <w:bookmarkEnd w:id="14"/>
      <w:r>
        <w:rPr>
          <w:sz w:val="24"/>
          <w:szCs w:val="24"/>
        </w:rPr>
        <w:t>и объем закупаемой продукции</w:t>
      </w:r>
      <w:bookmarkEnd w:id="13"/>
    </w:p>
    <w:tbl>
      <w:tblPr>
        <w:tblW w:w="996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16"/>
        <w:gridCol w:w="6258"/>
        <w:gridCol w:w="1455"/>
        <w:gridCol w:w="1530"/>
      </w:tblGrid>
      <w:tr>
        <w:trPr>
          <w:trHeight w:val="83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Количество*</w:t>
            </w:r>
          </w:p>
        </w:tc>
      </w:tr>
      <w:tr>
        <w:trPr>
          <w:trHeight w:val="44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38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right="-421"/>
              <w:rPr/>
            </w:pPr>
            <w:r>
              <w:rPr/>
              <w:t>1.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Поставка дизельного топлива для нужд Владивостокского строительного участка Дальневосточного филиала АО «ТК РусГидро»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256 437,00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rPr>
          <w:bCs/>
          <w:sz w:val="26"/>
          <w:szCs w:val="26"/>
          <w:shd w:fill="FFFF99" w:val="clear"/>
        </w:rPr>
      </w:pPr>
      <w:r>
        <w:rPr>
          <w:bCs/>
          <w:sz w:val="26"/>
          <w:szCs w:val="26"/>
          <w:shd w:fill="FFFF99" w:val="clear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rPr>
          <w:i/>
          <w:i/>
          <w:sz w:val="24"/>
          <w:szCs w:val="26"/>
          <w:lang w:eastAsia="x-none"/>
        </w:rPr>
      </w:pPr>
      <w:r>
        <w:rPr>
          <w:i/>
          <w:sz w:val="24"/>
          <w:szCs w:val="26"/>
          <w:lang w:eastAsia="x-none"/>
        </w:rPr>
        <w:t>*Объем продукции является ориентировочным, Заказчик не несет ответственности за неполную выборку продукции на общую сумму договора.</w:t>
      </w:r>
      <w:r>
        <w:rPr/>
        <w:t xml:space="preserve"> </w:t>
      </w:r>
      <w:r>
        <w:rPr>
          <w:i/>
          <w:sz w:val="24"/>
          <w:szCs w:val="26"/>
          <w:lang w:eastAsia="x-none"/>
        </w:rPr>
        <w:t xml:space="preserve">Количество поставляемой Продукции может быть изменено с учетом потребности Заказчика в пределах цены договора. 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rPr>
          <w:bCs/>
          <w:sz w:val="26"/>
          <w:szCs w:val="26"/>
          <w:shd w:fill="FFFF99" w:val="clear"/>
        </w:rPr>
      </w:pPr>
      <w:r>
        <w:rPr>
          <w:bCs/>
          <w:sz w:val="26"/>
          <w:szCs w:val="26"/>
          <w:shd w:fill="FFFF99" w:val="clear"/>
        </w:rPr>
      </w:r>
    </w:p>
    <w:p>
      <w:pPr>
        <w:pStyle w:val="Heading3"/>
        <w:numPr>
          <w:ilvl w:val="2"/>
          <w:numId w:val="3"/>
        </w:numPr>
        <w:spacing w:before="0" w:after="0"/>
        <w:ind w:firstLine="567" w:left="0"/>
        <w:jc w:val="center"/>
        <w:rPr/>
      </w:pPr>
      <w:bookmarkStart w:id="15" w:name="_Toc75446578"/>
      <w:bookmarkStart w:id="16" w:name="_Toc221854072"/>
      <w:bookmarkStart w:id="17" w:name="_Toc51339696"/>
      <w:r>
        <w:rPr/>
        <w:t xml:space="preserve">Требования </w:t>
      </w:r>
      <w:bookmarkEnd w:id="17"/>
      <w:r>
        <w:rPr/>
        <w:t>к срокам поставки продукции и оказания сопутствующих услуг</w:t>
      </w:r>
      <w:bookmarkEnd w:id="15"/>
      <w:bookmarkEnd w:id="16"/>
    </w:p>
    <w:p>
      <w:pPr>
        <w:pStyle w:val="Heading1"/>
        <w:tabs>
          <w:tab w:val="clear" w:pos="0"/>
        </w:tabs>
        <w:ind w:left="567"/>
        <w:rPr>
          <w:sz w:val="24"/>
          <w:szCs w:val="24"/>
          <w:lang w:val="ru-RU"/>
        </w:rPr>
      </w:pPr>
      <w:bookmarkStart w:id="18" w:name="_Toc221854073"/>
      <w:bookmarkStart w:id="19" w:name="_Toc51339697"/>
      <w:bookmarkStart w:id="20" w:name="_Toc50125127"/>
      <w:bookmarkStart w:id="21" w:name="_Toc501251261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2" w:name="_Hlk50465284"/>
      <w:r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2"/>
      <w:r>
        <w:rPr>
          <w:sz w:val="24"/>
          <w:szCs w:val="24"/>
          <w:lang w:val="ru-RU"/>
        </w:rPr>
        <w:t>поставки продукции</w:t>
      </w:r>
      <w:bookmarkEnd w:id="18"/>
      <w:r>
        <w:rPr>
          <w:sz w:val="24"/>
          <w:szCs w:val="24"/>
          <w:lang w:val="ru-RU"/>
        </w:rPr>
        <w:t xml:space="preserve"> </w:t>
      </w:r>
    </w:p>
    <w:tbl>
      <w:tblPr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"/>
        <w:gridCol w:w="3099"/>
        <w:gridCol w:w="3280"/>
        <w:gridCol w:w="3114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продукции*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>
          <w:trHeight w:val="23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0" w:after="0"/>
              <w:jc w:val="center"/>
              <w:rPr>
                <w:b/>
                <w:szCs w:val="22"/>
              </w:rPr>
            </w:pPr>
            <w:bookmarkStart w:id="23" w:name="_Toc46743510"/>
            <w:r>
              <w:rPr>
                <w:b/>
                <w:szCs w:val="22"/>
              </w:rPr>
              <w:t>4</w:t>
            </w:r>
            <w:bookmarkEnd w:id="23"/>
          </w:p>
        </w:tc>
      </w:tr>
      <w:tr>
        <w:trPr>
          <w:trHeight w:val="41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2"/>
                <w:lang w:eastAsia="x-none"/>
              </w:rPr>
            </w:pPr>
            <w:r>
              <w:rPr>
                <w:sz w:val="22"/>
                <w:lang w:eastAsia="x-none"/>
              </w:rPr>
              <w:t>Поставка дизельного топлива для нужд Владивостокской строительного участка Дальневосточного филиала АО «ТК РусГидро».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 момента подачи заявки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 дня с момента подтверждения заявки.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Общий срок поставки по 31.12.2027 г.</w:t>
            </w:r>
          </w:p>
        </w:tc>
      </w:tr>
    </w:tbl>
    <w:p>
      <w:pPr>
        <w:pStyle w:val="Normal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ab/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left" w:pos="1171" w:leader="none"/>
        </w:tabs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ab/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851" w:leader="none"/>
        </w:tabs>
        <w:ind w:hanging="6" w:left="567"/>
        <w:rPr/>
      </w:pPr>
      <w:bookmarkStart w:id="24" w:name="_Toc51339698"/>
      <w:bookmarkStart w:id="25" w:name="_Toc75446581"/>
      <w:bookmarkStart w:id="26" w:name="_Toc221854074"/>
      <w:bookmarkStart w:id="27" w:name="_Toc46743511"/>
      <w:r>
        <w:rPr/>
        <w:t xml:space="preserve">Требования к </w:t>
      </w:r>
      <w:bookmarkEnd w:id="27"/>
      <w:r>
        <w:rPr/>
        <w:t>качеству продукции</w:t>
      </w:r>
      <w:bookmarkEnd w:id="25"/>
      <w:bookmarkEnd w:id="26"/>
    </w:p>
    <w:p>
      <w:pPr>
        <w:pStyle w:val="Heading1"/>
        <w:tabs>
          <w:tab w:val="clear" w:pos="0"/>
          <w:tab w:val="left" w:pos="851" w:leader="none"/>
        </w:tabs>
        <w:ind w:firstLine="284"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 </w:t>
      </w:r>
      <w:bookmarkStart w:id="28" w:name="_Toc221854075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8"/>
      <w:r>
        <w:rPr>
          <w:sz w:val="24"/>
          <w:szCs w:val="24"/>
        </w:rPr>
        <w:t xml:space="preserve"> </w:t>
      </w:r>
      <w:bookmarkEnd w:id="24"/>
    </w:p>
    <w:p>
      <w:pPr>
        <w:pStyle w:val="Normal"/>
        <w:tabs>
          <w:tab w:val="clear" w:pos="709"/>
          <w:tab w:val="left" w:pos="851" w:leader="none"/>
        </w:tabs>
        <w:ind w:hanging="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продукции: </w:t>
      </w:r>
    </w:p>
    <w:p>
      <w:pPr>
        <w:pStyle w:val="Normal"/>
        <w:tabs>
          <w:tab w:val="clear" w:pos="709"/>
          <w:tab w:val="left" w:pos="851" w:leader="none"/>
        </w:tabs>
        <w:ind w:hanging="6"/>
        <w:jc w:val="both"/>
        <w:rPr>
          <w:sz w:val="24"/>
          <w:szCs w:val="24"/>
        </w:rPr>
      </w:pPr>
      <w:r>
        <w:rPr>
          <w:sz w:val="24"/>
          <w:szCs w:val="24"/>
        </w:rPr>
        <w:t>ОКПД2 19.20.21.300 Поставка дизельного топлива для нужд Владивостокской строительного участка Дальневосточного филиала АО «ТК РусГидро».</w:t>
      </w:r>
    </w:p>
    <w:p>
      <w:pPr>
        <w:pStyle w:val="Normal"/>
        <w:tabs>
          <w:tab w:val="clear" w:pos="709"/>
          <w:tab w:val="left" w:pos="851" w:leader="none"/>
        </w:tabs>
        <w:ind w:hanging="6"/>
        <w:jc w:val="both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1d"/>
        <w:tblW w:w="153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6"/>
        <w:gridCol w:w="3117"/>
        <w:gridCol w:w="4820"/>
        <w:gridCol w:w="1699"/>
        <w:gridCol w:w="12"/>
        <w:gridCol w:w="1691"/>
        <w:gridCol w:w="3119"/>
      </w:tblGrid>
      <w:tr>
        <w:trPr>
          <w:trHeight w:val="311" w:hRule="atLeast"/>
        </w:trPr>
        <w:tc>
          <w:tcPr>
            <w:tcW w:w="8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482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заказчика</w:t>
            </w:r>
          </w:p>
        </w:tc>
        <w:tc>
          <w:tcPr>
            <w:tcW w:w="340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1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Предложения участника по характеристикам и параметрам</w:t>
            </w:r>
          </w:p>
        </w:tc>
      </w:tr>
      <w:tr>
        <w:trPr>
          <w:trHeight w:val="70" w:hRule="atLeast"/>
        </w:trPr>
        <w:tc>
          <w:tcPr>
            <w:tcW w:w="84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48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bCs/>
                <w:kern w:val="0"/>
                <w:sz w:val="22"/>
                <w:szCs w:val="22"/>
                <w:lang w:val="ru-RU" w:eastAsia="en-US" w:bidi="ar-SA"/>
              </w:rPr>
              <w:t>Согласие с требованием/ указание характеристик</w:t>
            </w:r>
          </w:p>
        </w:tc>
        <w:tc>
          <w:tcPr>
            <w:tcW w:w="17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70" w:hRule="atLeast"/>
        </w:trPr>
        <w:tc>
          <w:tcPr>
            <w:tcW w:w="8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1.</w:t>
            </w:r>
          </w:p>
        </w:tc>
        <w:tc>
          <w:tcPr>
            <w:tcW w:w="793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kern w:val="0"/>
                <w:sz w:val="22"/>
                <w:szCs w:val="22"/>
                <w:lang w:val="ru-RU" w:eastAsia="en-US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70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1.1</w:t>
            </w:r>
          </w:p>
        </w:tc>
        <w:tc>
          <w:tcPr>
            <w:tcW w:w="3117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ru-RU" w:eastAsia="en-US" w:bidi="ar-SA"/>
              </w:rPr>
              <w:t>Дизельное топливо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ЕВРО не ниже К5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7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2.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безопасности</w:t>
            </w:r>
          </w:p>
        </w:tc>
        <w:tc>
          <w:tcPr>
            <w:tcW w:w="1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2.1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Качество поставляемой Продукции должно соответствовать требованиям, определенным Техническим регламентом таможенного союза ТР ТС 013/2011 «О требованиях к автомобильному и авиационному бензину, дизельному и судовому топливу, топливу для реактивных двигателей и топочному мазуту», ГОСТ 32511-2013 (EN 590:2009) «Межгосударственный стандарт. Топливо дизельное ЕВРО. Технические условия», ГОСТ Р 52368-2005 (ЕН 590:2009) «Национальный стандарт Российской Федерации. Топливо дизельное ЕВРО. Технические условия»</w:t>
            </w:r>
          </w:p>
        </w:tc>
        <w:tc>
          <w:tcPr>
            <w:tcW w:w="1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688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2.2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Качество каждой партии Продукции должно быть подтверждено паспортом Продукции или товара, и/или декларацией/сертификатом соответствия. Партией считают любое количество топлива, однородного по показателям качества, сопровождаемое паспортом, оформленным в соответствии с требованиями технического регламента «О требованиях к автомобильному и авиационному бензину, дизельному и судовому топливу, топливу для реактивных двигателей и топочному мазуту», утвержденным Правительством Российской Федерации от 27 февраля 2008 г. N 118, и ГОСТ 1510-2022 «Межгосударственный стандарт. Нефть и нефтепродукты. Маркировка, упаковка, транспортирование и хранение».</w:t>
            </w:r>
          </w:p>
        </w:tc>
        <w:tc>
          <w:tcPr>
            <w:tcW w:w="1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688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2.3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Топливозаправщики поставщика должны соответствовать требованиям ГОСТ 33666-2015 «Межгосударственный стандарт. Автомобильные транспортные средства для транспортирования и заправки нефтепродуктов. Технические требования»</w:t>
            </w:r>
          </w:p>
        </w:tc>
        <w:tc>
          <w:tcPr>
            <w:tcW w:w="1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688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2.4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Организация и выполнение услуг должны выполняться строго в соответствии с требованиями ДОПОГ и Законодательства РФ в области ОТ, ПБ и ОСС и требованиями в области промышленной и пожарной безопасности, охраны труда и окружающей среды.</w:t>
            </w:r>
          </w:p>
        </w:tc>
        <w:tc>
          <w:tcPr>
            <w:tcW w:w="1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568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3.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1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289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3.1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Отпуск дизельного топлива должен соответствовать сезону согласно регламента о температурных нормах для ГСМ («Летнее»/«Межсезонное»/«Зимнее»)</w:t>
            </w:r>
          </w:p>
        </w:tc>
        <w:tc>
          <w:tcPr>
            <w:tcW w:w="1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688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4.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424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4.1</w:t>
            </w:r>
          </w:p>
        </w:tc>
        <w:tc>
          <w:tcPr>
            <w:tcW w:w="3117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eastAsia="Calibri" w:cs="Arial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РФ, Приморский край, г. Владивосток, ул. Фадеева д. 47/1 (территория Владивостокской ТЭЦ-2)</w:t>
            </w:r>
          </w:p>
        </w:tc>
        <w:tc>
          <w:tcPr>
            <w:tcW w:w="1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447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4.2</w:t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Требования к поставке 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Поставка </w:t>
            </w: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ru-RU" w:eastAsia="en-US" w:bidi="ar-SA"/>
              </w:rPr>
              <w:t xml:space="preserve">продукции </w:t>
            </w: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осуществляется топливозаправщиком Исполнителя.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ru-RU" w:eastAsia="en-US" w:bidi="ar-SA"/>
              </w:rPr>
              <w:t>Поставка должна осуществляться по предварительной заявке Заказчика в любое время, включая выходные и праздничные дни, в объеме разовой поставки не менее 1000 литров.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ru-RU" w:eastAsia="en-US" w:bidi="ar-SA"/>
              </w:rPr>
              <w:t>Отпуск продукции производится силами Исполнителя и осуществляется посредством заправки топливных баков транспортных средств Заказчика.</w:t>
            </w:r>
          </w:p>
        </w:tc>
        <w:tc>
          <w:tcPr>
            <w:tcW w:w="1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572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5.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Arial" w:ascii="Calibri" w:hAnsi="Calibri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84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5.1</w:t>
            </w:r>
          </w:p>
        </w:tc>
        <w:tc>
          <w:tcPr>
            <w:tcW w:w="3117" w:type="dxa"/>
            <w:vMerge w:val="restart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Arial" w:ascii="Calibri" w:hAnsi="Calibri"/>
                <w:color w:val="000000"/>
                <w:kern w:val="0"/>
                <w:sz w:val="22"/>
                <w:szCs w:val="22"/>
                <w:lang w:val="ru-RU" w:eastAsia="en-US" w:bidi="ar-SA"/>
              </w:rPr>
              <w:t>Гарантии качества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color w:val="000000" w:themeColor="text1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Поставщик гарантирует Заказчику соответствие качества поставляемой им Продукции действующим стандартам и требованиям, установленным для д</w:t>
            </w: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ru-RU" w:eastAsia="en-US" w:bidi="ar-SA"/>
              </w:rPr>
              <w:t>изельного топлива</w:t>
            </w: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.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7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688" w:hRule="atLeast"/>
        </w:trPr>
        <w:tc>
          <w:tcPr>
            <w:tcW w:w="8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117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color w:val="000000" w:themeColor="text1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При возникновении между Заказчиком и Поставщиком спора о качестве Продукции или вследствие иных причин по требованию Заказчика или Поставщика может быть назначена экспертиза качества Продукции.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7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688" w:hRule="atLeast"/>
        </w:trPr>
        <w:tc>
          <w:tcPr>
            <w:tcW w:w="8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117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color w:val="000000" w:themeColor="text1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Расходы по проведению экспертизы несет сторона, потребовавшая назначение экспертизы. Если экспертиза назначена по требованию Заказчика и экспертиза подтвердила некачественность Продукции, то расходы по экспертизе несет Поставщик.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7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688" w:hRule="atLeast"/>
        </w:trPr>
        <w:tc>
          <w:tcPr>
            <w:tcW w:w="8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117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color w:val="000000" w:themeColor="text1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В случаях выявления несоответствия качеству поставляемого топлива, Заказчик для предъявления претензий, предоставляет Поставщику следующие документы: акт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(ранее - Росстандарте России), подтверждающий факт ненадлежащего качества топлива. Экспертная организация проводит отбор арбитражных проб топлива согласно Приказа Росстандарта от 29.11.2012 № 1448-ст «ГОСТ 2517-2012. Межгосударственный стандарт. Нефть и нефтепродукты. Методы отбора проб». Поставщик в случае выявления некачественного топлива в течение 5 (пяти) дней с момента поступления претензии осуществляет его замену.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7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688" w:hRule="atLeast"/>
        </w:trPr>
        <w:tc>
          <w:tcPr>
            <w:tcW w:w="8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117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color w:val="000000" w:themeColor="text1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В случае если причиной поломки и/или порчи принадлежащих Заказчику транспортных средств явилось использование отпущенного Поставщиком топлива (определяется независимой экспертизой), Поставщик обязан компенсировать все затраты по ремонту и доставке транспортного средства с места поломки по указанному Заказчиком адресу.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7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562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6. 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Calibri" w:cs="Arial" w:ascii="Calibri" w:hAnsi="Calibri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7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6.1</w:t>
            </w:r>
          </w:p>
        </w:tc>
        <w:tc>
          <w:tcPr>
            <w:tcW w:w="3117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Поставщик ежемесячно передает Заказчику ведомость заправок, акт сверки, товарную накладную (ТОРГ-12)/УПД, счет-фактуру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7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851" w:right="851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ListParagraph"/>
        <w:ind w:left="36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3.Требования к документации по ценообразованию на этапе закупки.</w:t>
      </w:r>
    </w:p>
    <w:p>
      <w:pPr>
        <w:pStyle w:val="ListParagraph"/>
        <w:ind w:left="1080"/>
        <w:jc w:val="both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ListParagraph"/>
        <w:numPr>
          <w:ilvl w:val="1"/>
          <w:numId w:val="11"/>
        </w:numPr>
        <w:tabs>
          <w:tab w:val="clear" w:pos="709"/>
          <w:tab w:val="left" w:pos="1134" w:leader="none"/>
        </w:tabs>
        <w:ind w:firstLine="567" w:left="0"/>
        <w:jc w:val="both"/>
        <w:rPr>
          <w:iCs/>
          <w:color w:val="000000" w:themeColor="text1"/>
          <w:lang w:eastAsia="x-none"/>
        </w:rPr>
      </w:pPr>
      <w:r>
        <w:rPr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ListParagraph"/>
        <w:numPr>
          <w:ilvl w:val="1"/>
          <w:numId w:val="12"/>
        </w:numPr>
        <w:tabs>
          <w:tab w:val="clear" w:pos="709"/>
          <w:tab w:val="left" w:pos="1134" w:leader="none"/>
        </w:tabs>
        <w:ind w:firstLine="567" w:left="720"/>
        <w:jc w:val="both"/>
        <w:rPr>
          <w:iCs/>
          <w:color w:val="000000" w:themeColor="text1"/>
          <w:lang w:eastAsia="x-none"/>
        </w:rPr>
      </w:pPr>
      <w:r>
        <w:rPr>
          <w:iCs/>
          <w:color w:val="000000" w:themeColor="text1"/>
          <w:lang w:eastAsia="x-none"/>
        </w:rPr>
        <w:t>Дополнительные документы по ценообразованию в состав заявки не включаются.</w:t>
      </w:r>
    </w:p>
    <w:p>
      <w:pPr>
        <w:pStyle w:val="ListParagraph"/>
        <w:ind w:left="567"/>
        <w:jc w:val="both"/>
        <w:rPr>
          <w:iCs/>
          <w:color w:val="000000" w:themeColor="text1"/>
          <w:lang w:eastAsia="x-none"/>
        </w:rPr>
      </w:pPr>
      <w:r>
        <w:rPr>
          <w:iCs/>
          <w:color w:val="000000" w:themeColor="text1"/>
          <w:lang w:eastAsia="x-none"/>
        </w:rPr>
      </w:r>
    </w:p>
    <w:p>
      <w:pPr>
        <w:pStyle w:val="Normal"/>
        <w:ind w:firstLine="851"/>
        <w:rPr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ind w:firstLine="851"/>
        <w:rPr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ind w:firstLine="851"/>
        <w:rPr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rPr>
          <w:color w:val="1F4E79"/>
        </w:rPr>
      </w:pPr>
      <w:r>
        <w:rPr/>
        <w:t>Исполнитель:</w:t>
      </w:r>
    </w:p>
    <w:p>
      <w:pPr>
        <w:pStyle w:val="Normal"/>
        <w:rPr>
          <w:color w:val="1F4E79"/>
        </w:rPr>
      </w:pPr>
      <w:bookmarkStart w:id="29" w:name="_GoBack"/>
      <w:bookmarkEnd w:id="29"/>
      <w:r>
        <w:rPr/>
        <w:t>Ведущий инженер ГКЭиРТС</w:t>
      </w:r>
    </w:p>
    <w:p>
      <w:pPr>
        <w:pStyle w:val="Normal"/>
        <w:rPr>
          <w:color w:val="1F4E79"/>
        </w:rPr>
      </w:pPr>
      <w:r>
        <w:rPr/>
        <w:t xml:space="preserve">Дальневоссточного филиала </w:t>
        <w:tab/>
        <w:tab/>
        <w:tab/>
        <w:tab/>
        <w:tab/>
        <w:t xml:space="preserve">                         </w:t>
      </w:r>
      <w:r>
        <w:rPr>
          <w:color w:val="000000"/>
        </w:rPr>
        <w:t xml:space="preserve"> А.А.Верещак</w:t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00AA8BC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0AA8BC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u w:val="none"/>
        <w:b/>
        <w:kern w:val="0"/>
        <w:effect w:val="none"/>
        <w:szCs w:val="26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6"/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8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9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8"/>
    <w:lvlOverride w:ilvl="0">
      <w:startOverride w:val="3"/>
    </w:lvlOverride>
    <w:lvlOverride w:ilvl="1">
      <w:startOverride w:val="1"/>
    </w:lvlOverride>
  </w:num>
  <w:num w:numId="12">
    <w:abstractNumId w:val="8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81159"/>
    <w:pPr>
      <w:keepNext w:val="true"/>
      <w:tabs>
        <w:tab w:val="clear" w:pos="709"/>
        <w:tab w:val="left" w:pos="0" w:leader="none"/>
      </w:tabs>
      <w:spacing w:before="120" w:after="0"/>
      <w:ind w:left="567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481159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14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14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26b68"/>
    <w:pPr>
      <w:tabs>
        <w:tab w:val="clear" w:pos="709"/>
        <w:tab w:val="left" w:pos="1120" w:leader="none"/>
        <w:tab w:val="right" w:pos="9911" w:leader="dot"/>
      </w:tabs>
      <w:ind w:firstLine="287" w:left="28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FORMATTEXT" w:customStyle="1">
    <w:name w:val=".FORMATTEXT"/>
    <w:uiPriority w:val="99"/>
    <w:qFormat/>
    <w:rsid w:val="00604f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3" w:customStyle="1">
    <w:name w:val="[РГ] Текст"/>
    <w:basedOn w:val="Normal"/>
    <w:qFormat/>
    <w:rsid w:val="00ce338e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A6C6E-EE30-42EF-89C6-9FF06100D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Application>AlterOffice/2026.2.0.0$Linux_X86_64 LibreOffice_project/bc4ef1adf80b36c7a6365f8ed6cbf29021361edd</Application>
  <AppVersion>15.0000</AppVersion>
  <Pages>8</Pages>
  <Words>1047</Words>
  <Characters>7477</Characters>
  <CharactersWithSpaces>8390</CharactersWithSpaces>
  <Paragraphs>169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2024-02-27T23:32:00Z</dcterms:created>
  <dc:creator>Быстров Олег Геннадьевич</dc:creator>
  <dc:description/>
  <dc:language>ru-RU</dc:language>
  <cp:lastModifiedBy>vereschakaa@corp.gidroogk.com</cp:lastModifiedBy>
  <cp:lastPrinted>2026-02-13T03:04:00Z</cp:lastPrinted>
  <dcterms:modified xsi:type="dcterms:W3CDTF">2026-09-10T15:32:02Z</dcterms:modified>
  <cp:revision>46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