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5.xml" ContentType="application/vnd.openxmlformats-officedocument.wordprocessingml.header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color w:val="auto"/>
        </w:rPr>
      </w:pPr>
      <w:r>
        <w:rPr>
          <w:rFonts w:eastAsia="Calibri"/>
          <w:b/>
          <w:color w:val="auto"/>
          <w:szCs w:val="26"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  <w:color w:val="auto"/>
          <w:sz w:val="26"/>
          <w:szCs w:val="26"/>
        </w:rPr>
      </w:pPr>
      <w:r>
        <w:rPr>
          <w:rFonts w:eastAsia="Calibri"/>
          <w:b/>
          <w:color w:val="auto"/>
          <w:sz w:val="26"/>
          <w:szCs w:val="26"/>
        </w:rPr>
      </w:r>
    </w:p>
    <w:p>
      <w:pPr>
        <w:pStyle w:val="Normal"/>
        <w:jc w:val="center"/>
        <w:rPr>
          <w:color w:val="auto"/>
        </w:rPr>
      </w:pPr>
      <w:r>
        <w:rPr>
          <w:rFonts w:eastAsia="Calibri"/>
          <w:b/>
          <w:i/>
          <w:color w:val="auto"/>
        </w:rPr>
        <w:t>ОКПД2: 22.11.13.110 Поставка шин в</w:t>
      </w:r>
      <w:r>
        <w:rPr>
          <w:rFonts w:eastAsia="Calibri"/>
          <w:b/>
          <w:i/>
          <w:color w:val="auto"/>
          <w:sz w:val="28"/>
          <w:szCs w:val="28"/>
        </w:rPr>
        <w:t xml:space="preserve"> Хабаровский край, Приморский край, Амурскую область, Республику Саха (Якутия), Магаданскую область для нужд Дальневосточного филиала АО «ТК РусГидро» </w:t>
      </w:r>
    </w:p>
    <w:p>
      <w:pPr>
        <w:pStyle w:val="Normal"/>
        <w:jc w:val="center"/>
        <w:rPr>
          <w:b/>
          <w:i/>
          <w:i/>
          <w:color w:val="auto"/>
          <w:sz w:val="26"/>
          <w:szCs w:val="26"/>
        </w:rPr>
      </w:pPr>
      <w:r>
        <w:rPr>
          <w:b/>
          <w:i/>
          <w:color w:val="auto"/>
          <w:sz w:val="26"/>
          <w:szCs w:val="26"/>
        </w:rPr>
      </w:r>
    </w:p>
    <w:p>
      <w:pPr>
        <w:pStyle w:val="Normal"/>
        <w:jc w:val="center"/>
        <w:rPr>
          <w:color w:val="auto"/>
        </w:rPr>
      </w:pPr>
      <w:r>
        <w:rPr>
          <w:color w:val="auto"/>
        </w:rPr>
      </w:r>
    </w:p>
    <w:p>
      <w:pPr>
        <w:pStyle w:val="Normal"/>
        <w:jc w:val="center"/>
        <w:rPr>
          <w:color w:val="auto"/>
        </w:rPr>
      </w:pPr>
      <w:r>
        <w:rPr>
          <w:color w:val="auto"/>
        </w:rPr>
      </w:r>
      <w:r>
        <w:br w:type="page"/>
      </w:r>
    </w:p>
    <w:p>
      <w:pPr>
        <w:pStyle w:val="Normal"/>
        <w:jc w:val="center"/>
        <w:rPr>
          <w:color w:val="auto"/>
        </w:rPr>
      </w:pPr>
      <w:r>
        <w:rPr>
          <w:b/>
          <w:color w:val="auto"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9"/>
              <w:tab w:val="left" w:pos="560" w:leader="none"/>
              <w:tab w:val="right" w:pos="9911" w:leader="dot"/>
            </w:tabs>
            <w:rPr/>
          </w:pPr>
          <w:r>
            <w:fldChar w:fldCharType="begin"/>
          </w:r>
          <w:r>
            <w:rPr>
              <w:rStyle w:val="Style14"/>
              <w:sz w:val="26"/>
              <w:szCs w:val="26"/>
              <w:color w:val="auto"/>
            </w:rPr>
            <w:instrText xml:space="preserve"> TOC \o "1-4" \h</w:instrText>
          </w:r>
          <w:r>
            <w:rPr>
              <w:rStyle w:val="Style14"/>
              <w:sz w:val="26"/>
              <w:szCs w:val="26"/>
              <w:color w:val="auto"/>
            </w:rPr>
            <w:fldChar w:fldCharType="separate"/>
          </w:r>
          <w:hyperlink w:anchor="_Toc75446566">
            <w:r>
              <w:rPr>
                <w:rStyle w:val="Style14"/>
                <w:color w:val="auto"/>
                <w:sz w:val="26"/>
                <w:szCs w:val="26"/>
              </w:rPr>
              <w:t>1.</w:t>
            </w:r>
            <w:r>
              <w:rPr>
                <w:rStyle w:val="Style14"/>
                <w:rFonts w:ascii="Calibri" w:hAnsi="Calibri"/>
                <w:b w:val="false"/>
                <w:bCs w:val="false"/>
                <w:color w:val="auto"/>
                <w:sz w:val="26"/>
                <w:szCs w:val="26"/>
              </w:rPr>
              <w:tab/>
            </w:r>
            <w:r>
              <w:rPr>
                <w:rStyle w:val="Style14"/>
                <w:color w:val="auto"/>
                <w:sz w:val="26"/>
                <w:szCs w:val="26"/>
              </w:rPr>
              <w:t>Общие сведения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rPr/>
          </w:pPr>
          <w:hyperlink w:anchor="_Toc75446568">
            <w:r>
              <w:rPr>
                <w:rStyle w:val="Style14"/>
                <w:iCs/>
                <w:color w:val="auto"/>
                <w:sz w:val="26"/>
                <w:szCs w:val="26"/>
              </w:rPr>
              <w:t>1.1.</w:t>
            </w:r>
            <w:r>
              <w:rPr>
                <w:rStyle w:val="Style14"/>
                <w:rFonts w:ascii="Calibri" w:hAnsi="Calibri"/>
                <w:color w:val="auto"/>
                <w:sz w:val="26"/>
                <w:szCs w:val="26"/>
              </w:rPr>
              <w:tab/>
            </w:r>
            <w:r>
              <w:rPr>
                <w:rStyle w:val="Style14"/>
                <w:color w:val="auto"/>
                <w:sz w:val="26"/>
                <w:szCs w:val="26"/>
              </w:rPr>
              <w:t>Наименование закупаемой продукции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rPr/>
          </w:pPr>
          <w:hyperlink w:anchor="_Toc75446569">
            <w:r>
              <w:rPr>
                <w:rStyle w:val="Style14"/>
                <w:iCs/>
                <w:color w:val="auto"/>
                <w:sz w:val="26"/>
                <w:szCs w:val="26"/>
              </w:rPr>
              <w:t>1.2.</w:t>
            </w:r>
            <w:r>
              <w:rPr>
                <w:rStyle w:val="Style14"/>
                <w:rFonts w:ascii="Calibri" w:hAnsi="Calibri"/>
                <w:color w:val="auto"/>
                <w:sz w:val="26"/>
                <w:szCs w:val="26"/>
              </w:rPr>
              <w:tab/>
            </w:r>
            <w:r>
              <w:rPr>
                <w:rStyle w:val="Style14"/>
                <w:color w:val="auto"/>
                <w:sz w:val="26"/>
                <w:szCs w:val="26"/>
              </w:rPr>
              <w:t>Цель использования закупаемой продукции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_Toc75446569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rPr/>
          </w:pPr>
          <w:hyperlink w:anchor="_Toc75446572">
            <w:r>
              <w:rPr>
                <w:rStyle w:val="Style14"/>
                <w:iCs/>
                <w:color w:val="auto"/>
                <w:sz w:val="26"/>
                <w:szCs w:val="26"/>
              </w:rPr>
              <w:t>1.3.</w:t>
            </w:r>
            <w:r>
              <w:rPr>
                <w:rStyle w:val="Style14"/>
                <w:rFonts w:ascii="Calibri" w:hAnsi="Calibri"/>
                <w:color w:val="auto"/>
                <w:sz w:val="26"/>
                <w:szCs w:val="26"/>
              </w:rPr>
              <w:tab/>
            </w:r>
            <w:r>
              <w:rPr>
                <w:rStyle w:val="Style14"/>
                <w:color w:val="auto"/>
                <w:sz w:val="26"/>
                <w:szCs w:val="26"/>
              </w:rPr>
              <w:t>Иные требования и сведения общего характера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9"/>
              <w:tab w:val="left" w:pos="560" w:leader="none"/>
              <w:tab w:val="right" w:pos="9911" w:leader="dot"/>
            </w:tabs>
            <w:rPr/>
          </w:pPr>
          <w:hyperlink w:anchor="_Toc75446573">
            <w:r>
              <w:rPr>
                <w:rStyle w:val="Style14"/>
                <w:color w:val="auto"/>
                <w:sz w:val="26"/>
                <w:szCs w:val="26"/>
              </w:rPr>
              <w:t>2.</w:t>
            </w:r>
            <w:r>
              <w:rPr>
                <w:rStyle w:val="Style14"/>
                <w:rFonts w:ascii="Calibri" w:hAnsi="Calibri"/>
                <w:b w:val="false"/>
                <w:bCs w:val="false"/>
                <w:color w:val="auto"/>
                <w:sz w:val="26"/>
                <w:szCs w:val="26"/>
              </w:rPr>
              <w:tab/>
            </w:r>
            <w:r>
              <w:rPr>
                <w:rStyle w:val="Style14"/>
                <w:iCs/>
                <w:color w:val="auto"/>
                <w:sz w:val="26"/>
                <w:szCs w:val="26"/>
              </w:rPr>
              <w:t>Требования к продукции</w:t>
            </w:r>
            <w:r>
              <w:rPr>
                <w:rStyle w:val="Style14"/>
                <w:color w:val="auto"/>
                <w:sz w:val="26"/>
                <w:szCs w:val="26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9"/>
              <w:tab w:val="left" w:pos="1120" w:leader="none"/>
              <w:tab w:val="right" w:pos="9911" w:leader="dot"/>
            </w:tabs>
            <w:rPr/>
          </w:pPr>
          <w:hyperlink w:anchor="_Toc75446574">
            <w:r>
              <w:rPr>
                <w:rStyle w:val="Style14"/>
                <w:iCs/>
                <w:color w:val="auto"/>
                <w:sz w:val="26"/>
                <w:szCs w:val="26"/>
              </w:rPr>
              <w:t>2.1.</w:t>
            </w:r>
            <w:r>
              <w:rPr>
                <w:rStyle w:val="Style14"/>
                <w:rFonts w:ascii="Calibri" w:hAnsi="Calibri"/>
                <w:color w:val="auto"/>
                <w:sz w:val="26"/>
                <w:szCs w:val="26"/>
              </w:rPr>
              <w:tab/>
            </w:r>
            <w:r>
              <w:rPr>
                <w:rStyle w:val="Style14"/>
                <w:color w:val="auto"/>
                <w:sz w:val="26"/>
                <w:szCs w:val="26"/>
              </w:rPr>
              <w:t>Требования к объемам и срокам поставки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rPr/>
          </w:pPr>
          <w:hyperlink w:anchor="_Toc75446575">
            <w:r>
              <w:rPr>
                <w:rStyle w:val="Style14"/>
                <w:color w:val="auto"/>
                <w:sz w:val="26"/>
                <w:szCs w:val="26"/>
              </w:rPr>
              <w:t>2.1.1.Перечень и объем закупаемой продукции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9"/>
              <w:tab w:val="right" w:pos="9911" w:leader="dot"/>
            </w:tabs>
            <w:rPr/>
          </w:pPr>
          <w:hyperlink w:anchor="_Toc75446576">
            <w:r>
              <w:rPr>
                <w:rStyle w:val="Style14"/>
                <w:color w:val="auto"/>
                <w:sz w:val="26"/>
                <w:szCs w:val="26"/>
              </w:rPr>
              <w:t>Таблица 1.1 Перечень и объем закупаемой продукции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_Toc75446576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Heading3"/>
            <w:tabs>
              <w:tab w:val="clear" w:pos="0"/>
            </w:tabs>
            <w:jc w:val="right"/>
            <w:rPr>
              <w:color w:val="auto"/>
            </w:rPr>
          </w:pPr>
          <w:r>
            <w:rPr>
              <w:b w:val="false"/>
              <w:color w:val="auto"/>
              <w:sz w:val="26"/>
              <w:szCs w:val="26"/>
              <w:lang w:val="ru-RU"/>
            </w:rPr>
            <w:t>2.1.2</w:t>
          </w:r>
          <w:r>
            <w:rPr>
              <w:b w:val="false"/>
              <w:color w:val="auto"/>
              <w:sz w:val="26"/>
              <w:szCs w:val="26"/>
            </w:rPr>
            <w:t>Требования к срокам поставки продукции и оказания сопутствующих услуг</w:t>
          </w:r>
          <w:r>
            <w:rPr>
              <w:b w:val="false"/>
              <w:color w:val="auto"/>
              <w:sz w:val="26"/>
              <w:szCs w:val="26"/>
              <w:lang w:val="ru-RU"/>
            </w:rPr>
            <w:t>...3</w:t>
          </w:r>
        </w:p>
        <w:p>
          <w:pPr>
            <w:pStyle w:val="TOC1"/>
            <w:tabs>
              <w:tab w:val="clear" w:pos="709"/>
              <w:tab w:val="right" w:pos="9911" w:leader="dot"/>
            </w:tabs>
            <w:rPr/>
          </w:pPr>
          <w:hyperlink w:anchor="_Toc75446579">
            <w:r>
              <w:rPr>
                <w:rStyle w:val="Style14"/>
                <w:color w:val="auto"/>
                <w:sz w:val="26"/>
                <w:szCs w:val="26"/>
              </w:rPr>
              <w:t>Таблица 2.1 Требования по срокам поставки продукции………………………………</w:t>
            </w:r>
          </w:hyperlink>
          <w:r>
            <w:rPr>
              <w:color w:val="auto"/>
              <w:sz w:val="26"/>
              <w:szCs w:val="26"/>
            </w:rPr>
            <w:t>3</w:t>
          </w:r>
        </w:p>
        <w:p>
          <w:pPr>
            <w:pStyle w:val="Normal"/>
            <w:ind w:firstLine="709"/>
            <w:rPr>
              <w:color w:val="auto"/>
            </w:rPr>
          </w:pPr>
          <w:r>
            <w:rPr>
              <w:color w:val="auto"/>
              <w:sz w:val="26"/>
              <w:szCs w:val="26"/>
            </w:rPr>
            <w:t>2.2 Требования к качеству продукции………………………………………..……….3</w:t>
          </w:r>
        </w:p>
        <w:p>
          <w:pPr>
            <w:pStyle w:val="TOC1"/>
            <w:tabs>
              <w:tab w:val="clear" w:pos="709"/>
              <w:tab w:val="right" w:pos="9911" w:leader="dot"/>
            </w:tabs>
            <w:jc w:val="both"/>
            <w:rPr/>
          </w:pPr>
          <w:hyperlink w:anchor="_Toc75446582">
            <w:r>
              <w:rPr>
                <w:rStyle w:val="Style14"/>
                <w:color w:val="auto"/>
                <w:sz w:val="26"/>
                <w:szCs w:val="26"/>
              </w:rPr>
              <w:t>Таблица 3. Требования к продукции………………………………………………………</w:t>
            </w:r>
          </w:hyperlink>
          <w:r>
            <w:rPr>
              <w:color w:val="auto"/>
              <w:sz w:val="26"/>
              <w:szCs w:val="26"/>
            </w:rPr>
            <w:t>4</w:t>
          </w:r>
        </w:p>
        <w:p>
          <w:pPr>
            <w:pStyle w:val="ListParagraph"/>
            <w:numPr>
              <w:ilvl w:val="0"/>
              <w:numId w:val="7"/>
            </w:numPr>
            <w:jc w:val="both"/>
            <w:rPr>
              <w:color w:val="auto"/>
            </w:rPr>
          </w:pPr>
          <w:r>
            <w:rPr>
              <w:b/>
              <w:color w:val="auto"/>
              <w:sz w:val="26"/>
              <w:szCs w:val="26"/>
            </w:rPr>
            <w:t>Требования к документации по ценообразования на этап заключения (исполнения) договора         ………………………………………………………..…..12</w:t>
          </w:r>
          <w:r>
            <w:rPr>
              <w:sz w:val="26"/>
              <w:b/>
              <w:szCs w:val="26"/>
              <w:color w:val="auto"/>
            </w:rPr>
            <w:fldChar w:fldCharType="end"/>
          </w:r>
        </w:p>
      </w:sdtContent>
    </w:sdt>
    <w:p>
      <w:pPr>
        <w:pStyle w:val="ListParagraph"/>
        <w:ind w:hanging="0" w:left="0"/>
        <w:jc w:val="both"/>
        <w:rPr>
          <w:color w:val="auto"/>
        </w:rPr>
      </w:pPr>
      <w:r>
        <w:rPr>
          <w:color w:val="auto"/>
        </w:rPr>
      </w:r>
    </w:p>
    <w:p>
      <w:pPr>
        <w:pStyle w:val="ListParagraph"/>
        <w:ind w:hanging="0" w:left="108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</w:r>
    </w:p>
    <w:p>
      <w:pPr>
        <w:pStyle w:val="TOC1"/>
        <w:tabs>
          <w:tab w:val="clear" w:pos="709"/>
          <w:tab w:val="right" w:pos="9911" w:leader="dot"/>
        </w:tabs>
        <w:rPr>
          <w:rFonts w:ascii="Calibri" w:hAnsi="Calibri"/>
          <w:b w:val="false"/>
          <w:bCs w:val="false"/>
          <w:color w:val="auto"/>
          <w:sz w:val="22"/>
          <w:szCs w:val="22"/>
        </w:rPr>
      </w:pPr>
      <w:r>
        <w:rPr>
          <w:rFonts w:ascii="Calibri" w:hAnsi="Calibri"/>
          <w:b w:val="false"/>
          <w:bCs w:val="false"/>
          <w:color w:val="auto"/>
          <w:sz w:val="22"/>
          <w:szCs w:val="22"/>
        </w:rPr>
      </w:r>
    </w:p>
    <w:p>
      <w:pPr>
        <w:pStyle w:val="Heading2"/>
        <w:tabs>
          <w:tab w:val="clear" w:pos="0"/>
        </w:tabs>
        <w:ind w:hanging="0" w:left="0"/>
        <w:rPr>
          <w:color w:val="auto"/>
        </w:rPr>
      </w:pPr>
      <w:r>
        <w:rPr>
          <w:color w:val="auto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color w:val="auto"/>
          <w:sz w:val="24"/>
          <w:szCs w:val="24"/>
        </w:rPr>
      </w:pPr>
      <w:r>
        <w:rPr>
          <w:rFonts w:eastAsia="Calibri"/>
          <w:b/>
          <w:i/>
          <w:color w:val="auto"/>
          <w:sz w:val="24"/>
          <w:szCs w:val="24"/>
        </w:rPr>
      </w:r>
      <w:r>
        <w:br w:type="page"/>
      </w:r>
    </w:p>
    <w:p>
      <w:pPr>
        <w:pStyle w:val="Heading1"/>
        <w:numPr>
          <w:ilvl w:val="0"/>
          <w:numId w:val="3"/>
        </w:numPr>
        <w:ind w:hanging="0" w:left="0"/>
        <w:jc w:val="center"/>
        <w:rPr>
          <w:color w:val="auto"/>
        </w:rPr>
      </w:pPr>
      <w:bookmarkStart w:id="0" w:name="_Toc75446566"/>
      <w:bookmarkStart w:id="1" w:name="_Toc51339692"/>
      <w:r>
        <w:rPr>
          <w:color w:val="auto"/>
          <w:sz w:val="26"/>
          <w:szCs w:val="26"/>
        </w:rPr>
        <w:t>Общие сведения</w:t>
      </w:r>
      <w:bookmarkEnd w:id="0"/>
      <w:bookmarkEnd w:id="1"/>
    </w:p>
    <w:p>
      <w:pPr>
        <w:pStyle w:val="Heading4"/>
        <w:numPr>
          <w:ilvl w:val="1"/>
          <w:numId w:val="3"/>
        </w:numPr>
        <w:tabs>
          <w:tab w:val="left" w:pos="0" w:leader="none"/>
          <w:tab w:val="left" w:pos="851" w:leader="none"/>
          <w:tab w:val="left" w:pos="1134" w:leader="none"/>
        </w:tabs>
        <w:ind w:firstLine="567" w:left="0"/>
        <w:rPr>
          <w:color w:val="auto"/>
        </w:rPr>
      </w:pPr>
      <w:bookmarkStart w:id="2" w:name="_Toc46743506"/>
      <w:bookmarkStart w:id="3" w:name="_Toc75446568"/>
      <w:r>
        <w:rPr>
          <w:color w:val="auto"/>
        </w:rPr>
        <w:t>Наименование закупаемой продукции</w:t>
      </w:r>
      <w:bookmarkEnd w:id="2"/>
      <w:bookmarkEnd w:id="3"/>
    </w:p>
    <w:p>
      <w:pPr>
        <w:pStyle w:val="Normal"/>
        <w:widowControl w:val="false"/>
        <w:jc w:val="both"/>
        <w:rPr/>
      </w:pPr>
      <w:r>
        <w:rPr>
          <w:rStyle w:val="Blk"/>
          <w:rFonts w:eastAsia="Calibri"/>
          <w:bCs/>
          <w:color w:val="auto"/>
          <w:sz w:val="24"/>
          <w:szCs w:val="24"/>
        </w:rPr>
        <w:tab/>
        <w:t xml:space="preserve"> Хабаровский край, Приморский край, Амурскую область, Республику Саха (Якутия), Магаданскую область для нужд Дальневосточного филиала АО «ТК РусГидро»  </w:t>
      </w:r>
    </w:p>
    <w:p>
      <w:pPr>
        <w:pStyle w:val="Heading4"/>
        <w:numPr>
          <w:ilvl w:val="1"/>
          <w:numId w:val="3"/>
        </w:numPr>
        <w:tabs>
          <w:tab w:val="left" w:pos="0" w:leader="none"/>
          <w:tab w:val="left" w:pos="1134" w:leader="none"/>
        </w:tabs>
        <w:ind w:firstLine="567" w:left="0"/>
        <w:rPr>
          <w:color w:val="auto"/>
        </w:rPr>
      </w:pPr>
      <w:bookmarkStart w:id="4" w:name="_Toc75446569"/>
      <w:bookmarkStart w:id="5" w:name="_Toc46743507"/>
      <w:r>
        <w:rPr>
          <w:color w:val="auto"/>
        </w:rPr>
        <w:t xml:space="preserve">Цель </w:t>
      </w:r>
      <w:bookmarkEnd w:id="5"/>
      <w:r>
        <w:rPr>
          <w:color w:val="auto"/>
        </w:rPr>
        <w:t xml:space="preserve">использования закупаемой продукции </w:t>
      </w:r>
      <w:bookmarkEnd w:id="4"/>
      <w:r>
        <w:rPr>
          <w:color w:val="auto"/>
        </w:rPr>
        <w:t xml:space="preserve"> </w:t>
      </w:r>
    </w:p>
    <w:p>
      <w:pPr>
        <w:pStyle w:val="Heading4"/>
        <w:tabs>
          <w:tab w:val="clear" w:pos="0"/>
        </w:tabs>
        <w:ind w:firstLine="567" w:left="0"/>
        <w:jc w:val="both"/>
        <w:rPr>
          <w:color w:val="auto"/>
        </w:rPr>
      </w:pPr>
      <w:bookmarkStart w:id="6" w:name="_Toc75446572_Копия_1"/>
      <w:bookmarkStart w:id="7" w:name="_Toc50125126"/>
      <w:bookmarkEnd w:id="7"/>
      <w:r>
        <w:rPr>
          <w:b w:val="false"/>
          <w:color w:val="auto"/>
          <w:lang w:val="ru-RU" w:eastAsia="ru-RU"/>
        </w:rPr>
        <w:t>Автомобильные шины закупаются для доукомплектования транспортных средств шинами в целях обеспечения бесперебойной работы транспортных средств для нужд Дальневосточного филиала АО «ТК РусГидро».</w:t>
      </w:r>
      <w:bookmarkEnd w:id="6"/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</w:rPr>
      </w:r>
    </w:p>
    <w:p>
      <w:pPr>
        <w:pStyle w:val="Heading1"/>
        <w:numPr>
          <w:ilvl w:val="0"/>
          <w:numId w:val="3"/>
        </w:numPr>
        <w:ind w:hanging="0" w:left="0"/>
        <w:jc w:val="center"/>
        <w:rPr>
          <w:color w:val="auto"/>
        </w:rPr>
      </w:pPr>
      <w:bookmarkStart w:id="8" w:name="_Toc51339693"/>
      <w:bookmarkStart w:id="9" w:name="_Toc75446573"/>
      <w:r>
        <w:rPr>
          <w:color w:val="auto"/>
          <w:sz w:val="26"/>
          <w:szCs w:val="26"/>
        </w:rPr>
        <w:t>Требования к продукции</w:t>
      </w:r>
      <w:bookmarkEnd w:id="8"/>
      <w:bookmarkEnd w:id="9"/>
    </w:p>
    <w:p>
      <w:pPr>
        <w:pStyle w:val="Heading4"/>
        <w:numPr>
          <w:ilvl w:val="1"/>
          <w:numId w:val="3"/>
        </w:numPr>
        <w:tabs>
          <w:tab w:val="left" w:pos="0" w:leader="none"/>
          <w:tab w:val="left" w:pos="1134" w:leader="none"/>
        </w:tabs>
        <w:ind w:firstLine="135" w:left="567"/>
        <w:rPr>
          <w:color w:val="auto"/>
        </w:rPr>
      </w:pPr>
      <w:bookmarkStart w:id="10" w:name="_Toc75446574"/>
      <w:r>
        <w:rPr>
          <w:color w:val="auto"/>
          <w:sz w:val="26"/>
          <w:szCs w:val="26"/>
        </w:rPr>
        <w:t xml:space="preserve">Требования к объемам и срокам </w:t>
      </w:r>
      <w:r>
        <w:rPr>
          <w:color w:val="auto"/>
          <w:sz w:val="26"/>
          <w:szCs w:val="26"/>
          <w:lang w:val="ru-RU"/>
        </w:rPr>
        <w:t>поставки</w:t>
      </w:r>
      <w:bookmarkEnd w:id="10"/>
    </w:p>
    <w:p>
      <w:pPr>
        <w:pStyle w:val="Heading3"/>
        <w:keepNext w:val="true"/>
        <w:widowControl w:val="false"/>
        <w:numPr>
          <w:ilvl w:val="2"/>
          <w:numId w:val="3"/>
        </w:numPr>
        <w:tabs>
          <w:tab w:val="left" w:pos="0" w:leader="none"/>
          <w:tab w:val="left" w:pos="1134" w:leader="none"/>
        </w:tabs>
        <w:suppressAutoHyphens w:val="true"/>
        <w:bidi w:val="0"/>
        <w:spacing w:before="0" w:after="0"/>
        <w:ind w:hanging="0" w:left="567"/>
        <w:rPr>
          <w:color w:val="auto"/>
        </w:rPr>
      </w:pPr>
      <w:bookmarkStart w:id="11" w:name="_Toc75446575"/>
      <w:r>
        <w:rPr>
          <w:color w:val="auto"/>
          <w:sz w:val="26"/>
          <w:szCs w:val="26"/>
        </w:rPr>
        <w:t xml:space="preserve">Перечень и объем </w:t>
      </w:r>
      <w:r>
        <w:rPr>
          <w:rFonts w:eastAsia="Calibri"/>
          <w:b/>
          <w:color w:val="auto"/>
          <w:sz w:val="26"/>
          <w:szCs w:val="26"/>
          <w:lang w:val="x-none" w:eastAsia="x-none"/>
        </w:rPr>
        <w:t>закупаемой</w:t>
      </w:r>
      <w:r>
        <w:rPr>
          <w:color w:val="auto"/>
          <w:sz w:val="26"/>
          <w:szCs w:val="26"/>
        </w:rPr>
        <w:t xml:space="preserve"> продукции</w:t>
      </w:r>
      <w:bookmarkEnd w:id="11"/>
    </w:p>
    <w:p>
      <w:pPr>
        <w:pStyle w:val="Heading1"/>
        <w:tabs>
          <w:tab w:val="clear" w:pos="0"/>
        </w:tabs>
        <w:ind w:hanging="0" w:left="567"/>
        <w:rPr>
          <w:color w:val="auto"/>
        </w:rPr>
      </w:pPr>
      <w:bookmarkStart w:id="12" w:name="_Toc75446576"/>
      <w:bookmarkStart w:id="13" w:name="_Toc51339695"/>
      <w:r>
        <w:rPr>
          <w:color w:val="auto"/>
          <w:sz w:val="24"/>
          <w:szCs w:val="26"/>
        </w:rPr>
        <w:t xml:space="preserve">Таблица 1.1 Перечень </w:t>
      </w:r>
      <w:bookmarkEnd w:id="13"/>
      <w:r>
        <w:rPr>
          <w:color w:val="auto"/>
          <w:sz w:val="24"/>
          <w:szCs w:val="26"/>
        </w:rPr>
        <w:t>и объем закупаемой продукции</w:t>
      </w:r>
      <w:bookmarkEnd w:id="12"/>
    </w:p>
    <w:tbl>
      <w:tblPr>
        <w:tblW w:w="1020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40"/>
        <w:gridCol w:w="1710"/>
        <w:gridCol w:w="1920"/>
        <w:gridCol w:w="1758"/>
        <w:gridCol w:w="1811"/>
        <w:gridCol w:w="1313"/>
        <w:gridCol w:w="847"/>
      </w:tblGrid>
      <w:tr>
        <w:trPr>
          <w:trHeight w:val="51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п/п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Наименование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Размер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Тип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Сезонность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Единица измерения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Количество</w:t>
            </w:r>
          </w:p>
        </w:tc>
      </w:tr>
      <w:tr>
        <w:trPr>
          <w:trHeight w:val="256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3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4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>7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1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Бурейский ТУ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285/50R20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215/55R17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285/60R18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235/70R16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195/80R15C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225/75R16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285/50R20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215/55R17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245/70R16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235/70R16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195/80R15C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295/80R22.5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185/75R16C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225/75R16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185/75R16C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1.19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11.00R22.5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1.20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8.25R20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2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СУ Нерюнгри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275/70R22.5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315/80R22.5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55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12.00R24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23.5R25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3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Хабаровский СУ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5.50-15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315/80R22.5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142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425/85R21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16.9-28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11.2-20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440/80R24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11.00R22.5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15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26.5-25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245/70R19.5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3.10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11.00R20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3.11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20.5-25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3.12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440/80R28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3.13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295/80R22.5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3.14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385/65R22.5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4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Хабаровский ТУ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205/55R16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205/55R16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195/70R15C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215/70R16C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265/70R17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265/70R17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215/60R16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215/60R16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235/45R18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215/55R17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20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215/55R17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245/55R19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245/55R19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285/65R17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265/70R16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4.19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265/70R16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20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285/60R18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235/55R17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235/55R17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4.29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4.30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11.00R20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4.31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275/70R22.5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4.32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8.25R20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4.33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245/70R19.5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4.34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295/80R22.5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5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Якутский ТУ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5.1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195/80R15C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5.2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215/60R16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5.3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215/60R16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6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Колымский СУ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315/80R22.5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425/85R21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14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7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Колымский ТУ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295/80R22.5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11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425/85R21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20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315/80R22.5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23.5R25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8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Новобурейский ТУ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195/80R15C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9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Партизанский СУ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195/80R15C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30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235/45R18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5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235/45R18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5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315/80R22.5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9.00R20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20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315/60R22.5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235/75R17.5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11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425/85R21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9.10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385/95R25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9.11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26.5-25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9.12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295/80R22.5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9.13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12-16.5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10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Зейский ТУ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195/80R15C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185/75R16C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215/55R17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225/75R16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185/75R16C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6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265/60R18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(шипованная)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10.9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10.10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 (фрикционная)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10.11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400/70R20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11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Усть-Среднекамский ТУ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11.1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11.2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195/75R16C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12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Хабаровский участок РП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265/65R17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215/60R16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225/75R16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легковая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летняя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12.4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225/75R16C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зимняя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359" w:hRule="atLeast"/>
          <w:cantSplit w:val="true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13</w:t>
            </w:r>
          </w:p>
        </w:tc>
        <w:tc>
          <w:tcPr>
            <w:tcW w:w="93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/>
                <w:i w:val="false"/>
                <w:color w:val="auto"/>
                <w:sz w:val="22"/>
                <w:szCs w:val="22"/>
              </w:rPr>
              <w:t>Владивостокский СУ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13.1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12-16.5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8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10.00-20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7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13.3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11.00R22.5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3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13.4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23.5R25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4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6.50-10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13.6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28X9-15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13.7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315/80R22.5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грузовая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всесезонная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27</w:t>
            </w:r>
          </w:p>
        </w:tc>
      </w:tr>
      <w:tr>
        <w:trPr>
          <w:trHeight w:val="256" w:hRule="atLeast"/>
          <w:cantSplit w:val="true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13.8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Шина</w:t>
            </w: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22"/>
                <w:szCs w:val="22"/>
              </w:rPr>
              <w:t>20.5R25</w:t>
            </w:r>
          </w:p>
        </w:tc>
        <w:tc>
          <w:tcPr>
            <w:tcW w:w="17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left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специальная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шт.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Times New Roman"/>
                <w:b w:val="false"/>
                <w:i w:val="false"/>
                <w:color w:val="auto"/>
                <w:sz w:val="22"/>
                <w:szCs w:val="22"/>
              </w:rPr>
              <w:t>2</w:t>
            </w:r>
          </w:p>
        </w:tc>
      </w:tr>
    </w:tbl>
    <w:p>
      <w:pPr>
        <w:pStyle w:val="Heading3"/>
        <w:numPr>
          <w:ilvl w:val="2"/>
          <w:numId w:val="3"/>
        </w:numPr>
        <w:ind w:firstLine="567" w:left="0"/>
        <w:rPr>
          <w:color w:val="auto"/>
        </w:rPr>
      </w:pPr>
      <w:bookmarkStart w:id="14" w:name="_Toc75446578"/>
      <w:bookmarkStart w:id="15" w:name="_Toc51339696"/>
      <w:r>
        <w:rPr>
          <w:color w:val="auto"/>
          <w:sz w:val="26"/>
          <w:szCs w:val="26"/>
        </w:rPr>
        <w:t xml:space="preserve">Требования </w:t>
      </w:r>
      <w:bookmarkEnd w:id="15"/>
      <w:r>
        <w:rPr>
          <w:color w:val="auto"/>
          <w:sz w:val="26"/>
          <w:szCs w:val="26"/>
        </w:rPr>
        <w:t>к срокам поставки продукции и оказания сопутствующих услуг</w:t>
      </w:r>
      <w:bookmarkEnd w:id="14"/>
    </w:p>
    <w:p>
      <w:pPr>
        <w:pStyle w:val="Heading1"/>
        <w:tabs>
          <w:tab w:val="clear" w:pos="0"/>
        </w:tabs>
        <w:ind w:hanging="0" w:left="567"/>
        <w:rPr>
          <w:color w:val="auto"/>
        </w:rPr>
      </w:pPr>
      <w:bookmarkStart w:id="16" w:name="_Toc75446579"/>
      <w:bookmarkStart w:id="17" w:name="_Toc50125127"/>
      <w:bookmarkStart w:id="18" w:name="_Toc51339697"/>
      <w:bookmarkStart w:id="19" w:name="_Toc501251261"/>
      <w:bookmarkEnd w:id="19"/>
      <w:r>
        <w:rPr>
          <w:color w:val="auto"/>
          <w:sz w:val="26"/>
          <w:szCs w:val="26"/>
        </w:rPr>
        <w:t xml:space="preserve">Таблица </w:t>
      </w:r>
      <w:r>
        <w:rPr>
          <w:color w:val="auto"/>
          <w:sz w:val="26"/>
          <w:szCs w:val="26"/>
          <w:lang w:val="ru-RU"/>
        </w:rPr>
        <w:t>2</w:t>
      </w:r>
      <w:r>
        <w:rPr>
          <w:color w:val="auto"/>
          <w:sz w:val="26"/>
          <w:szCs w:val="26"/>
        </w:rPr>
        <w:t>.</w:t>
      </w:r>
      <w:r>
        <w:rPr>
          <w:color w:val="auto"/>
          <w:sz w:val="26"/>
          <w:szCs w:val="26"/>
          <w:lang w:val="ru-RU"/>
        </w:rPr>
        <w:t>1</w:t>
      </w:r>
      <w:r>
        <w:rPr>
          <w:color w:val="auto"/>
          <w:sz w:val="26"/>
          <w:szCs w:val="26"/>
        </w:rPr>
        <w:t xml:space="preserve"> </w:t>
      </w:r>
      <w:bookmarkStart w:id="20" w:name="_Hlk50465284"/>
      <w:r>
        <w:rPr>
          <w:color w:val="auto"/>
          <w:sz w:val="26"/>
          <w:szCs w:val="26"/>
        </w:rPr>
        <w:t xml:space="preserve">Требования по срокам </w:t>
      </w:r>
      <w:bookmarkEnd w:id="17"/>
      <w:bookmarkEnd w:id="18"/>
      <w:bookmarkEnd w:id="20"/>
      <w:r>
        <w:rPr>
          <w:color w:val="auto"/>
          <w:sz w:val="26"/>
          <w:szCs w:val="26"/>
          <w:lang w:val="ru-RU"/>
        </w:rPr>
        <w:t>поставки продукции</w:t>
      </w:r>
      <w:bookmarkEnd w:id="16"/>
      <w:r>
        <w:rPr>
          <w:color w:val="auto"/>
          <w:sz w:val="26"/>
          <w:szCs w:val="26"/>
          <w:lang w:val="ru-RU"/>
        </w:rPr>
        <w:t xml:space="preserve"> </w:t>
      </w:r>
    </w:p>
    <w:tbl>
      <w:tblPr>
        <w:tblW w:w="1006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8"/>
        <w:gridCol w:w="2955"/>
        <w:gridCol w:w="3282"/>
        <w:gridCol w:w="3114"/>
      </w:tblGrid>
      <w:tr>
        <w:trPr/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4"/>
                <w:szCs w:val="24"/>
              </w:rPr>
              <w:t xml:space="preserve">№ </w:t>
            </w:r>
            <w:r>
              <w:rPr>
                <w:color w:val="auto"/>
                <w:sz w:val="24"/>
                <w:szCs w:val="24"/>
              </w:rPr>
              <w:t>п/п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>
        <w:trPr>
          <w:trHeight w:val="236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color w:val="auto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color w:val="auto"/>
              </w:rPr>
            </w:pPr>
            <w:r>
              <w:rPr>
                <w:b/>
                <w:color w:val="auto"/>
                <w:sz w:val="24"/>
                <w:szCs w:val="24"/>
              </w:rPr>
              <w:t>3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color w:val="auto"/>
              </w:rPr>
            </w:pPr>
            <w:bookmarkStart w:id="21" w:name="_Toc46743510"/>
            <w:r>
              <w:rPr>
                <w:b/>
                <w:color w:val="auto"/>
                <w:sz w:val="24"/>
                <w:szCs w:val="24"/>
              </w:rPr>
              <w:t>4</w:t>
            </w:r>
            <w:bookmarkEnd w:id="21"/>
          </w:p>
        </w:tc>
      </w:tr>
      <w:tr>
        <w:trPr>
          <w:trHeight w:val="417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bookmarkStart w:id="22" w:name="_Toc54785622"/>
            <w:bookmarkStart w:id="23" w:name="_Toc54785622"/>
            <w:bookmarkEnd w:id="23"/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Style w:val="Blk"/>
                <w:rFonts w:eastAsia="Calibri"/>
                <w:bCs/>
                <w:color w:val="auto"/>
                <w:sz w:val="24"/>
                <w:szCs w:val="24"/>
              </w:rPr>
              <w:t>ОКПД2: 22.11.13.110 Поставка шин для нужд Дальневосточного филиала АО ТК «РусГидро»Поставка шин в Хабаровский край, Приморский край, Амурскую область, Республику Саха (Якутия), Магаданскую область для нужд Дальневосточного филиала АО «ТК РусГидро»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0" w:leader="none"/>
              </w:tabs>
              <w:jc w:val="center"/>
              <w:rPr>
                <w:color w:val="auto"/>
              </w:rPr>
            </w:pPr>
            <w:r>
              <w:rPr>
                <w:color w:val="auto"/>
                <w:sz w:val="24"/>
                <w:szCs w:val="24"/>
              </w:rPr>
              <w:t>С момента (даты) направления заявки Поставщика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color w:val="auto"/>
                <w:sz w:val="24"/>
                <w:szCs w:val="24"/>
              </w:rPr>
              <w:t>В течение 30 (тридцати) календарных дней</w:t>
            </w:r>
          </w:p>
        </w:tc>
      </w:tr>
    </w:tbl>
    <w:p>
      <w:pPr>
        <w:sectPr>
          <w:headerReference w:type="default" r:id="rId2"/>
          <w:headerReference w:type="first" r:id="rId3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tabs>
          <w:tab w:val="left" w:pos="0" w:leader="none"/>
          <w:tab w:val="left" w:pos="851" w:leader="none"/>
        </w:tabs>
        <w:ind w:hanging="6" w:left="567"/>
        <w:rPr>
          <w:color w:val="auto"/>
        </w:rPr>
      </w:pPr>
      <w:bookmarkStart w:id="24" w:name="_Toc51339698"/>
      <w:bookmarkStart w:id="25" w:name="_Toc75446581"/>
      <w:bookmarkStart w:id="26" w:name="_Toc46743511"/>
      <w:r>
        <w:rPr>
          <w:color w:val="auto"/>
          <w:sz w:val="26"/>
          <w:szCs w:val="26"/>
        </w:rPr>
        <w:t xml:space="preserve">Требования к </w:t>
      </w:r>
      <w:bookmarkEnd w:id="26"/>
      <w:r>
        <w:rPr>
          <w:color w:val="auto"/>
          <w:sz w:val="26"/>
          <w:szCs w:val="26"/>
        </w:rPr>
        <w:t>качеству продукции</w:t>
      </w:r>
      <w:bookmarkEnd w:id="25"/>
    </w:p>
    <w:p>
      <w:pPr>
        <w:pStyle w:val="Heading1"/>
        <w:tabs>
          <w:tab w:val="clear" w:pos="0"/>
          <w:tab w:val="left" w:pos="851" w:leader="none"/>
        </w:tabs>
        <w:ind w:hanging="0" w:left="0"/>
        <w:rPr>
          <w:color w:val="auto"/>
        </w:rPr>
      </w:pPr>
      <w:bookmarkStart w:id="27" w:name="_Toc75446582"/>
      <w:r>
        <w:rPr>
          <w:color w:val="auto"/>
          <w:sz w:val="26"/>
          <w:szCs w:val="26"/>
        </w:rPr>
        <w:t>Таблица </w:t>
      </w:r>
      <w:r>
        <w:rPr>
          <w:color w:val="auto"/>
          <w:sz w:val="26"/>
          <w:szCs w:val="26"/>
          <w:lang w:val="ru-RU"/>
        </w:rPr>
        <w:t>3</w:t>
      </w:r>
      <w:r>
        <w:rPr>
          <w:color w:val="auto"/>
          <w:sz w:val="26"/>
          <w:szCs w:val="26"/>
        </w:rPr>
        <w:t xml:space="preserve">. Требования к </w:t>
      </w:r>
      <w:r>
        <w:rPr>
          <w:color w:val="auto"/>
          <w:sz w:val="26"/>
          <w:szCs w:val="26"/>
          <w:lang w:val="ru-RU"/>
        </w:rPr>
        <w:t>продукции</w:t>
      </w:r>
      <w:bookmarkEnd w:id="27"/>
      <w:r>
        <w:rPr>
          <w:color w:val="auto"/>
          <w:sz w:val="26"/>
          <w:szCs w:val="26"/>
        </w:rPr>
        <w:t xml:space="preserve"> </w:t>
      </w:r>
      <w:bookmarkEnd w:id="24"/>
    </w:p>
    <w:p>
      <w:pPr>
        <w:pStyle w:val="Normal"/>
        <w:tabs>
          <w:tab w:val="clear" w:pos="709"/>
          <w:tab w:val="left" w:pos="851" w:leader="none"/>
        </w:tabs>
        <w:ind w:hanging="6" w:left="5038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</w:r>
    </w:p>
    <w:p>
      <w:pPr>
        <w:pStyle w:val="Normal"/>
        <w:tabs>
          <w:tab w:val="clear" w:pos="709"/>
          <w:tab w:val="left" w:pos="851" w:leader="none"/>
        </w:tabs>
        <w:jc w:val="both"/>
        <w:rPr>
          <w:color w:val="auto"/>
        </w:rPr>
      </w:pPr>
      <w:r>
        <w:rPr>
          <w:color w:val="auto"/>
          <w:sz w:val="24"/>
          <w:szCs w:val="26"/>
        </w:rPr>
        <w:t xml:space="preserve">Наименование: </w:t>
      </w:r>
      <w:r>
        <w:rPr>
          <w:rFonts w:eastAsia="Calibri"/>
          <w:bCs/>
          <w:color w:val="auto"/>
          <w:sz w:val="24"/>
          <w:szCs w:val="24"/>
        </w:rPr>
        <w:t>ОКПД2: 22.11.13.110 Поставка шин в Хабаровский край, Приморский край, Амурскую область, Республику Саха (Якутия), Магаданскую область для нужд Дальневосточного филиала АО «ТК РусГидро».</w:t>
      </w:r>
    </w:p>
    <w:p>
      <w:pPr>
        <w:pStyle w:val="Normal"/>
        <w:jc w:val="both"/>
        <w:rPr>
          <w:iCs/>
          <w:color w:val="auto"/>
          <w:sz w:val="24"/>
          <w:szCs w:val="24"/>
        </w:rPr>
      </w:pPr>
      <w:r>
        <w:rPr>
          <w:iCs/>
          <w:color w:val="auto"/>
          <w:sz w:val="24"/>
          <w:szCs w:val="24"/>
        </w:rPr>
      </w:r>
    </w:p>
    <w:tbl>
      <w:tblPr>
        <w:tblW w:w="1545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8"/>
        <w:gridCol w:w="12"/>
        <w:gridCol w:w="2005"/>
        <w:gridCol w:w="2947"/>
        <w:gridCol w:w="851"/>
        <w:gridCol w:w="1707"/>
        <w:gridCol w:w="1705"/>
        <w:gridCol w:w="2147"/>
        <w:gridCol w:w="1536"/>
        <w:gridCol w:w="1552"/>
      </w:tblGrid>
      <w:tr>
        <w:trPr>
          <w:trHeight w:val="311" w:hRule="atLeast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Наименование параметра</w:t>
            </w:r>
          </w:p>
        </w:tc>
        <w:tc>
          <w:tcPr>
            <w:tcW w:w="37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3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Способ подтверждения участником соответствия требованиям</w:t>
            </w:r>
          </w:p>
        </w:tc>
        <w:tc>
          <w:tcPr>
            <w:tcW w:w="523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Предложения участника по характеристикам и параметрам</w:t>
            </w:r>
          </w:p>
        </w:tc>
      </w:tr>
      <w:tr>
        <w:trPr>
          <w:trHeight w:val="70" w:hRule="atLeast"/>
        </w:trPr>
        <w:tc>
          <w:tcPr>
            <w:tcW w:w="9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017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3798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bCs/>
                <w:color w:val="auto"/>
                <w:sz w:val="20"/>
                <w:szCs w:val="20"/>
                <w:lang w:eastAsia="en-US"/>
              </w:rPr>
              <w:t>Согласие с требованием/ 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bCs/>
                <w:color w:val="auto"/>
                <w:sz w:val="20"/>
                <w:szCs w:val="20"/>
                <w:lang w:eastAsia="en-US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523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1399" w:leader="none"/>
              </w:tabs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104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Наименование продукции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b/>
                <w:iCs/>
                <w:color w:val="auto"/>
                <w:sz w:val="20"/>
                <w:szCs w:val="20"/>
                <w:lang w:eastAsia="en-US"/>
              </w:rPr>
              <w:t>Технические характеристики (параметры эквивалентности)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1399" w:leader="none"/>
              </w:tabs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b/>
                <w:iCs/>
                <w:color w:val="auto"/>
                <w:sz w:val="20"/>
                <w:szCs w:val="20"/>
                <w:lang w:eastAsia="en-US"/>
              </w:rPr>
              <w:t>Технические характеристики (параметры эквивалентности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Производитель, страна происхождения</w:t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1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Бурейский ТУ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285/50R20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285/50R20; </w:t>
              <w:br/>
              <w:t>Индекс нагрузки: не менее 112;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215/55R17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или эквивалент</w:t>
              <w:br/>
              <w:t xml:space="preserve">Типоразмер: 215/55R17; </w:t>
              <w:br/>
              <w:t>Индекс нагрузки: не менее 98; Индекс скорости: не менее H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285/60R18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285/60R18; </w:t>
              <w:br/>
              <w:t>Индекс нагрузки: не менее 116;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235/70R16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235/70R16; </w:t>
              <w:br/>
              <w:t>Индекс нагрузки: не менее 104; Индекс скорости: не менее T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195/80R15C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BluEarth-Van RY55 или эквивалент</w:t>
              <w:br/>
              <w:t>Типоразмер: 195/80R15C; Слойность / исполнение: не менее 8PR</w:t>
              <w:br/>
              <w:t>Индекс нагрузки: не менее 104/102; Индекс скорости: не менее S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Business CA-2 или эквивалент</w:t>
              <w:br/>
              <w:t>Типоразмер: 195/75R16C; Слойность / исполнение: не менее 8PR</w:t>
              <w:br/>
              <w:t>Индекс нагрузки: не менее 107/105; Индекс скорости: не менее R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225/75R16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225/75R16; </w:t>
              <w:br/>
              <w:t>Индекс нагрузки: не менее 115/112; Индекс скорости: не менее R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285/50R20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SUV G075 или эквивалент</w:t>
              <w:br/>
              <w:t xml:space="preserve">Типоразмер: 285/50R20; </w:t>
              <w:br/>
              <w:t>Индекс нагрузки: не менее 112; Индекс скорости: не менее T</w:t>
              <w:br/>
              <w:t>Рисунок протектора: зимний фрикционный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215/55R17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Winter Drive 2 или эквивалент</w:t>
              <w:br/>
              <w:t xml:space="preserve">Типоразмер: 215/55R17; </w:t>
              <w:br/>
              <w:t>Индекс нагрузки: не менее 98; Индекс скорости: не менее T</w:t>
              <w:br/>
              <w:t>Рисунок протектора: зимний фрикционный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245/70R16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SUV G075 или эквивалент</w:t>
              <w:br/>
              <w:t xml:space="preserve">Типоразмер: 245/70R16; </w:t>
              <w:br/>
              <w:t>Индекс нагрузки: не менее 107; Индекс скорости: не менее Q</w:t>
              <w:br/>
              <w:t>Рисунок протектора: зимний фрикционный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235/70R16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SUV G075 или эквивалент</w:t>
              <w:br/>
              <w:t xml:space="preserve">Типоразмер: 235/70R16; </w:t>
              <w:br/>
              <w:t>Индекс нагрузки: не менее 106; Индекс скорости: не менее Q</w:t>
              <w:br/>
              <w:t>Рисунок протектора: зимний фрикционный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265/60R18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SUV G075 или эквивалент</w:t>
              <w:br/>
              <w:t xml:space="preserve">Типоразмер: 265/60R18; </w:t>
              <w:br/>
              <w:t>Индекс нагрузки: не менее 110; Индекс скорости: не менее Q</w:t>
              <w:br/>
              <w:t>Рисунок протектора: зимний фрикционный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195/80R15C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iG91 for VAN или эквивалент</w:t>
              <w:br/>
              <w:t>Типоразмер: 195/80R15C; Слойность / исполнение: не менее 8PR</w:t>
              <w:br/>
              <w:t>Индекс нагрузки: не менее 103/101; Индекс скорости: не менее L</w:t>
              <w:br/>
              <w:t>Рисунок протектора: зимний фрикционный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195/75R16C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Snow C3 или эквивалент</w:t>
              <w:br/>
              <w:t>Типоразмер: 195/75R16C; Слойность / исполнение: не менее 8PR</w:t>
              <w:br/>
              <w:t>Индекс нагрузки: не менее 107/105; Индекс скорости: не менее R</w:t>
              <w:br/>
              <w:t>Рисунок протектора: зимний фрикционный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295/80R22.5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Goodyear Omnitrac MSS II или эквивалент</w:t>
              <w:br/>
              <w:t>Типоразмер: 295/80R22.5; Слойность / исполнение: не менее 18PR</w:t>
              <w:br/>
              <w:t>Индекс нагрузки: не менее 152/148; Индекс скорости: не менее K</w:t>
              <w:br/>
              <w:t>Рисунок протектора: рулевая ось, смешанная эксплуатация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185/75R16C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Snow C3 или эквивалент</w:t>
              <w:br/>
              <w:t>Типоразмер: 185/75R16C; Слойность / исполнение: не менее 8PR</w:t>
              <w:br/>
              <w:t>Индекс нагрузки: не менее 104/102; Индекс скорости: не менее R</w:t>
              <w:br/>
              <w:t>Рисунок протектора: зимний фрикционный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225/75R16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Viatti Bosco S/T V-526 или эквивалент</w:t>
              <w:br/>
              <w:t xml:space="preserve">Типоразмер: 225/75R16; </w:t>
              <w:br/>
              <w:t>Индекс нагрузки: не менее 104; Индекс скорости: не менее T</w:t>
              <w:br/>
              <w:t>Рисунок протектора: зимний фрикционный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185/75R16C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Business CA-2 или эквивалент</w:t>
              <w:br/>
              <w:t>Типоразмер: 185/75R16C; Слойность / исполнение: не менее 8PR</w:t>
              <w:br/>
              <w:t>Индекс нагрузки: не менее 104/102; Индекс скорости: не менее Q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1.19.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11.00R22.5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NF 701 или эквивалент</w:t>
              <w:br/>
              <w:t>Типоразмер: 11.00R22.5; Слойность / исполнение: не менее 16PR</w:t>
              <w:br/>
              <w:t>Индекс нагрузки: не менее 148/145; Индекс скорости: не менее K</w:t>
              <w:br/>
              <w:t>Рисунок протектора: рулевая/универсальная, повышенная проходимость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1.20.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8.25R20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Tyrex CRG Road O-79 или эквивалент</w:t>
              <w:br/>
              <w:t>Типоразмер: 8.25R20; Слойность / исполнение: не менее 12PR</w:t>
              <w:br/>
              <w:t>Индекс нагрузки: не менее 130/128; Индекс скорости: не менее K</w:t>
              <w:br/>
              <w:t>Рисунок протектора: универсальный грузовой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2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СУ Нерюнгри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265/60R18; </w:t>
              <w:br/>
              <w:t>Индекс нагрузки: не менее 110;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 xml:space="preserve">Типоразмер: 265/60R18; </w:t>
              <w:br/>
              <w:t>Индекс нагрузки: не менее 114;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275/70R22.5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Triangle TRD06 или эквивалент</w:t>
              <w:br/>
              <w:t>Типоразмер: 275/70R22.5; Слойность / исполнение: не менее 16PR</w:t>
              <w:br/>
              <w:t>Индекс нагрузки: не менее 148/145; Индекс скорости: не менее L</w:t>
              <w:br/>
              <w:t>Рисунок протектора: ведущая ось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315/80R22.5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RLB450 или эквивалент</w:t>
              <w:br/>
              <w:t>Типоразмер: 315/80R22.5; Слойность / исполнение: не менее 18PR</w:t>
              <w:br/>
              <w:t>Индекс нагрузки: не менее 156/150; Индекс скорости: не менее L</w:t>
              <w:br/>
              <w:t>Рисунок протектора: ведущая ось, открытое плечо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55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12.00R24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RR4 или эквивалент</w:t>
              <w:br/>
              <w:t>Типоразмер: 12.00R24; Слойность / исполнение: не менее 20PR</w:t>
              <w:br/>
              <w:t>Индекс нагрузки: не менее 160/157; Индекс скорости: не менее K</w:t>
              <w:br/>
              <w:t>Рисунок протектора: универсальный грузовой</w:t>
              <w:br/>
              <w:t>Исполнение: камерное (TTF)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23.5R25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Aeolus AE47 (E-4) или эквивалент</w:t>
              <w:br/>
              <w:t xml:space="preserve">Типоразмер: 23.5R25; </w:t>
              <w:br/>
              <w:t>Индекс нагрузки: не менее 185; Индекс скорости: не менее B</w:t>
              <w:br/>
              <w:t>Рисунок протектора: карьерный E-4/L-4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3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Хабаровский СУ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5.50-15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BKT PL-801 или эквивалент</w:t>
              <w:br/>
              <w:t>Типоразмер: 5.50-15; Слойность / исполнение: не менее 8PR</w:t>
              <w:br/>
              <w:t>Индекс нагрузки: не ниже паспортного; Индекс скорости: не менее A5</w:t>
              <w:br/>
              <w:t>Рисунок протектора: индустриальный для погрузчиков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315/80R22.5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RLB450 или эквивалент</w:t>
              <w:br/>
              <w:t>Типоразмер: 315/80R22.5; Слойность / исполнение: не менее 18PR</w:t>
              <w:br/>
              <w:t>Индекс нагрузки: не менее 156/150; Индекс скорости: не менее L</w:t>
              <w:br/>
              <w:t>Рисунок протектора: ведущая ось, открытое плечо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142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425/85R21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1260-2 или эквивалент</w:t>
              <w:br/>
              <w:t>Типоразмер: 425/85R21; Слойность / исполнение: не менее 18PR</w:t>
              <w:br/>
              <w:t>Индекс нагрузки: не менее 156; Индекс скорости: не менее G</w:t>
              <w:br/>
              <w:t>Рисунок протектора: повышенной проходимости, M+S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16.9-28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Armour L-5B 16PR или эквивалент</w:t>
              <w:br/>
              <w:t>Типоразмер: 16.9-28; Слойность / исполнение: не менее 16PR</w:t>
              <w:br/>
              <w:t>Индекс нагрузки: не ниже паспортного; Индекс скорости: не менее A8</w:t>
              <w:br/>
              <w:t>Рисунок протектора: индустриальный L-5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11.2-20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Forward Ф-35 или эквивалент</w:t>
              <w:br/>
              <w:t>Типоразмер: 11.2-20; Слойность / исполнение: не менее 8PR</w:t>
              <w:br/>
              <w:t>Индекс нагрузки: не менее 114; Индекс скорости: не менее A6</w:t>
              <w:br/>
              <w:t>Рисунок протектора: сельскохозяйственный/тяговый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440/80R24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Michelin XMCL или эквивалент</w:t>
              <w:br/>
              <w:t xml:space="preserve">Типоразмер: 440/80R24; </w:t>
              <w:br/>
              <w:t>Индекс нагрузки: не менее 161; Индекс скорости: не менее A8/B</w:t>
              <w:br/>
              <w:t>Рисунок протектора: индустриальный R-4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11.00R22.5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NF 701 или эквивалент</w:t>
              <w:br/>
              <w:t>Типоразмер: 11.00R22.5; Слойность / исполнение: не менее 16PR</w:t>
              <w:br/>
              <w:t>Индекс нагрузки: не менее 148/145; Индекс скорости: не менее K</w:t>
              <w:br/>
              <w:t>Рисунок протектора: рулевая/универсальная, повышенная проходимость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15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26.5-25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Chaoyang CL729 E3/L3 или эквивалент</w:t>
              <w:br/>
              <w:t>Типоразмер: 26.5-25; Слойность / исполнение: не менее 28PR</w:t>
              <w:br/>
              <w:t>Индекс нагрузки: не менее 209; Индекс скорости: не менее A2</w:t>
              <w:br/>
              <w:t>Рисунок протектора: индустриальный E-3/L-3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245/70R19.5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Professional VR-1 или эквивалент</w:t>
              <w:br/>
              <w:t>Типоразмер: 245/70R19.5; Слойность / исполнение: не менее 16PR</w:t>
              <w:br/>
              <w:t>Индекс нагрузки: не менее 136/134; Индекс скорости: не менее M</w:t>
              <w:br/>
              <w:t>Рисунок протектора: универсальный грузовой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3.10.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11.00R20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310 или эквивалент</w:t>
              <w:br/>
              <w:t>Типоразмер: 11.00R20; Слойность / исполнение: не менее 16PR</w:t>
              <w:br/>
              <w:t>Индекс нагрузки: не менее 150/146; Индекс скорости: не менее K</w:t>
              <w:br/>
              <w:t>Рисунок протектора: универсальный грузовой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3.11.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20.5-25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Chaoyang CL729 или эквивалент</w:t>
              <w:br/>
              <w:t>Типоразмер: 20.5-25; Слойность / исполнение: не менее 16PR</w:t>
              <w:br/>
              <w:t>Индекс нагрузки: не менее 177; Индекс скорости: не менее B</w:t>
              <w:br/>
              <w:t>Рисунок протектора: индустриальный E-3/L-3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3.12.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440/80R28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Michelin Power CL или эквивалент</w:t>
              <w:br/>
              <w:t xml:space="preserve">Типоразмер: 440/80R28; </w:t>
              <w:br/>
              <w:t>Индекс нагрузки: не менее 163; Индекс скорости: не менее A8</w:t>
              <w:br/>
              <w:t>Рисунок протектора: индустриальный R-4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3.13.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295/80R22.5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Goodyear Omnitrac MSS II или эквивалент</w:t>
              <w:br/>
              <w:t>Типоразмер: 295/80R22.5; Слойность / исполнение: не менее 18PR</w:t>
              <w:br/>
              <w:t>Индекс нагрузки: не менее 152/148; Индекс скорости: не менее K</w:t>
              <w:br/>
              <w:t>Рисунок протектора: рулевая ось, смешанная эксплуатация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3.14.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385/65R22.5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Professional FR-1 или эквивалент</w:t>
              <w:br/>
              <w:t>Типоразмер: 385/65R22.5; Слойность / исполнение: не менее 20PR</w:t>
              <w:br/>
              <w:t>Индекс нагрузки: не менее 158; Индекс скорости: не менее L</w:t>
              <w:br/>
              <w:t>Рисунок протектора: рулевая ось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4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Хабаровский ТУ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225/65R17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225/65R17; </w:t>
              <w:br/>
              <w:t>Индекс нагрузки: не менее 102;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225/65R17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 xml:space="preserve">Типоразмер: 225/65R17; </w:t>
              <w:br/>
              <w:t>Индекс нагрузки: не менее 106;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205/55R16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или эквивалент</w:t>
              <w:br/>
              <w:t xml:space="preserve">Типоразмер: 205/55R16; </w:t>
              <w:br/>
              <w:t>Индекс нагрузки: не менее 94; Индекс скорости: не менее V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205/55R16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или эквивалент</w:t>
              <w:br/>
              <w:t xml:space="preserve">Типоразмер: 205/55R16; </w:t>
              <w:br/>
              <w:t>Индекс нагрузки: не менее 94; Индекс скорости: не менее T</w:t>
              <w:br/>
              <w:t>Рисунок протектора: зимний шипованный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195/70R15C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BluEarth-Van RY55 или эквивалент</w:t>
              <w:br/>
              <w:t>Типоразмер: 195/70R15C; Слойность / исполнение: не менее 8PR</w:t>
              <w:br/>
              <w:t>Индекс нагрузки: не менее 104/102; Индекс скорости: не менее S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215/70R16C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Ice C3 или эквивалент</w:t>
              <w:br/>
              <w:t>Типоразмер: 215/70R16C; Слойность / исполнение: не менее 8PR</w:t>
              <w:br/>
              <w:t>Индекс нагрузки: не менее 108/106; Индекс скорости: не менее R</w:t>
              <w:br/>
              <w:t>Рисунок протектора: зимний шипованный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265/70R17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265/70R17; </w:t>
              <w:br/>
              <w:t>Индекс нагрузки: не менее 113; Индекс скорости: не менее T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265/70R17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Ice 10 SUV или эквивалент</w:t>
              <w:br/>
              <w:t xml:space="preserve">Типоразмер: 265/70R17; </w:t>
              <w:br/>
              <w:t>Индекс нагрузки: не менее 115;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215/60R16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или эквивалент</w:t>
              <w:br/>
              <w:t xml:space="preserve">Типоразмер: 215/60R16; </w:t>
              <w:br/>
              <w:t>Индекс нагрузки: не менее 99; Индекс скорости: не менее H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215/60R16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или эквивалент</w:t>
              <w:br/>
              <w:t xml:space="preserve">Типоразмер: 215/60R16; </w:t>
              <w:br/>
              <w:t>Индекс нагрузки: не менее 99; Индекс скорости: не менее T</w:t>
              <w:br/>
              <w:t>Рисунок протектора: зимний шипованный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235/45R18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Pirelli Powergy 2 или эквивалент</w:t>
              <w:br/>
              <w:t xml:space="preserve">Типоразмер: 235/45R18; </w:t>
              <w:br/>
              <w:t>Индекс нагрузки: не менее 98; Индекс скорости: не менее Y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215/55R17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или эквивалент</w:t>
              <w:br/>
              <w:t xml:space="preserve">Типоразмер: 215/55R17; </w:t>
              <w:br/>
              <w:t>Индекс нагрузки: не менее 98; Индекс скорости: не менее T</w:t>
              <w:br/>
              <w:t>Рисунок протектора: зимний шипованный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20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215/55R17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или эквивалент</w:t>
              <w:br/>
              <w:t xml:space="preserve">Типоразмер: 215/55R17; </w:t>
              <w:br/>
              <w:t>Индекс нагрузки: не менее 98; Индекс скорости: не менее H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245/55R19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245/55R19; </w:t>
              <w:br/>
              <w:t>Индекс нагрузки: не менее 103;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245/55R19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Ice 10 SUV или эквивалент</w:t>
              <w:br/>
              <w:t xml:space="preserve">Типоразмер: 245/55R19; </w:t>
              <w:br/>
              <w:t>Индекс нагрузки: не менее 107;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265/65R17; </w:t>
              <w:br/>
              <w:t>Индекс нагрузки: не менее 112;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285/65R17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Ice 10 SUV или эквивалент</w:t>
              <w:br/>
              <w:t xml:space="preserve">Типоразмер: 285/65R17; </w:t>
              <w:br/>
              <w:t>Индекс нагрузки: не менее 116;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265/70R16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265/70R16; </w:t>
              <w:br/>
              <w:t>Индекс нагрузки: не менее 112;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4.19.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265/70R16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Stud iG65 или эквивалент</w:t>
              <w:br/>
              <w:t xml:space="preserve">Типоразмер: 265/70R16; </w:t>
              <w:br/>
              <w:t>Индекс нагрузки: не менее 112;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265/65R17; </w:t>
              <w:br/>
              <w:t>Индекс нагрузки: не менее 112;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 xml:space="preserve">Типоразмер: 265/65R17; </w:t>
              <w:br/>
              <w:t>Индекс нагрузки: не менее 116;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 xml:space="preserve">Типоразмер: 265/65R17; </w:t>
              <w:br/>
              <w:t>Индекс нагрузки: не менее 116;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265/65R18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265/65R18; </w:t>
              <w:br/>
              <w:t>Индекс нагрузки: не менее 114;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20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265/65R18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Ice 10 SUV или эквивалент</w:t>
              <w:br/>
              <w:t xml:space="preserve">Типоразмер: 265/65R18; </w:t>
              <w:br/>
              <w:t>Индекс нагрузки: не менее 114;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285/60R18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Stud iG65 или эквивалент</w:t>
              <w:br/>
              <w:t xml:space="preserve">Типоразмер: 285/60R18; </w:t>
              <w:br/>
              <w:t>Индекс нагрузки: не менее 116;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235/55R17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SUV или эквивалент</w:t>
              <w:br/>
              <w:t>Типоразмер: 235/55R17; Слойность / исполнение: не менее XL</w:t>
              <w:br/>
              <w:t>Индекс нагрузки: не менее 103; Индекс скорости: не менее H</w:t>
              <w:br/>
              <w:t>Рисунок протектора: дорожный летний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235/55R17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 xml:space="preserve">Типоразмер: 235/55R17; </w:t>
              <w:br/>
              <w:t>Индекс нагрузки: не менее 103;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265/60R18; </w:t>
              <w:br/>
              <w:t>Индекс нагрузки: не менее 110;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4.29.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 xml:space="preserve">Типоразмер: 265/60R18; </w:t>
              <w:br/>
              <w:t>Индекс нагрузки: не менее 114; Индекс скорости: не менее T</w:t>
              <w:br/>
              <w:t>Рисунок протектора: зимний шипованный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4.30.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11.00R20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310 или эквивалент</w:t>
              <w:br/>
              <w:t>Типоразмер: 11.00R20; Слойность / исполнение: не менее 16PR</w:t>
              <w:br/>
              <w:t>Индекс нагрузки: не менее 150/146; Индекс скорости: не менее K</w:t>
              <w:br/>
              <w:t>Рисунок протектора: универсальный грузовой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4.31.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275/70R22.5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Triangle TRD06 или эквивалент</w:t>
              <w:br/>
              <w:t>Типоразмер: 275/70R22.5; Слойность / исполнение: не менее 16PR</w:t>
              <w:br/>
              <w:t>Индекс нагрузки: не менее 148/145; Индекс скорости: не менее L</w:t>
              <w:br/>
              <w:t>Рисунок протектора: ведущая ось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4.32.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8.25R20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Tyrex CRG Road O-79 или эквивалент</w:t>
              <w:br/>
              <w:t>Типоразмер: 8.25R20; Слойность / исполнение: не менее 12PR</w:t>
              <w:br/>
              <w:t>Индекс нагрузки: не менее 130/128; Индекс скорости: не менее K</w:t>
              <w:br/>
              <w:t>Рисунок протектора: универсальный грузовой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4.33.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245/70R19.5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Professional VR-1 или эквивалент</w:t>
              <w:br/>
              <w:t>Типоразмер: 245/70R19.5; Слойность / исполнение: не менее 16PR</w:t>
              <w:br/>
              <w:t>Индекс нагрузки: не менее 136/134; Индекс скорости: не менее M</w:t>
              <w:br/>
              <w:t>Рисунок протектора: универсальный грузовой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4.34.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295/80R22.5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Goodyear Omnitrac MSS II или эквивалент</w:t>
              <w:br/>
              <w:t>Типоразмер: 295/80R22.5; Слойность / исполнение: не менее 18PR</w:t>
              <w:br/>
              <w:t>Индекс нагрузки: не менее 152/148; Индекс скорости: не менее K</w:t>
              <w:br/>
              <w:t>Рисунок протектора: рулевая ось, смешанная эксплуатация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5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Якутский ТУ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5.1.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195/80R15C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BluEarth-Van RY55 или эквивалент</w:t>
              <w:br/>
              <w:t>Типоразмер: 195/80R15C; Слойность / исполнение: не менее 8PR</w:t>
              <w:br/>
              <w:t>Индекс нагрузки: не менее 104/102; Индекс скорости: не менее S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5.2.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215/60R16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или эквивалент</w:t>
              <w:br/>
              <w:t xml:space="preserve">Типоразмер: 215/60R16; </w:t>
              <w:br/>
              <w:t>Индекс нагрузки: не менее 99; Индекс скорости: не менее H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5.3.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215/60R16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Winter Drive 2 или эквивалент</w:t>
              <w:br/>
              <w:t xml:space="preserve">Типоразмер: 215/60R16; </w:t>
              <w:br/>
              <w:t>Индекс нагрузки: не менее 99; Индекс скорости: не менее T</w:t>
              <w:br/>
              <w:t>Рисунок протектора: зимний фрикционный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6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Колымский СУ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315/80R22.5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RLB450 или эквивалент</w:t>
              <w:br/>
              <w:t>Типоразмер: 315/80R22.5; Слойность / исполнение: не менее 18PR</w:t>
              <w:br/>
              <w:t>Индекс нагрузки: не менее 156/150; Индекс скорости: не менее L</w:t>
              <w:br/>
              <w:t>Рисунок протектора: ведущая ось, открытое плечо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425/85R21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1260-2 или эквивалент</w:t>
              <w:br/>
              <w:t>Типоразмер: 425/85R21; Слойность / исполнение: не менее 18PR</w:t>
              <w:br/>
              <w:t>Индекс нагрузки: не менее 156; Индекс скорости: не менее G</w:t>
              <w:br/>
              <w:t>Рисунок протектора: повышенной проходимости, M+S/POR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7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Колымский ТУ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265/65R17; </w:t>
              <w:br/>
              <w:t>Индекс нагрузки: не менее 112;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295/80R22.5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Goodyear Omnitrac MSS II или эквивалент</w:t>
              <w:br/>
              <w:t>Типоразмер: 295/80R22.5; Слойность / исполнение: не менее 18PR</w:t>
              <w:br/>
              <w:t>Индекс нагрузки: не менее 152/148; Индекс скорости: не менее K</w:t>
              <w:br/>
              <w:t>Рисунок протектора: рулевая ось, смешанная эксплуатация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11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 xml:space="preserve">Типоразмер: 265/65R17; </w:t>
              <w:br/>
              <w:t>Индекс нагрузки: не менее 116; Индекс скорости: не менее T</w:t>
              <w:br/>
              <w:t>Рисунок протектора: зимний шипованный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425/85R21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1260-2 или эквивалент</w:t>
              <w:br/>
              <w:t>Типоразмер: 425/85R21; Слойность / исполнение: не менее 18PR</w:t>
              <w:br/>
              <w:t>Индекс нагрузки: не менее 156; Индекс скорости: не менее G</w:t>
              <w:br/>
              <w:t>Рисунок протектора: повышенной проходимости, M+S/POR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20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315/80R22.5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RLB450 или эквивалент</w:t>
              <w:br/>
              <w:t xml:space="preserve">Типоразмер: 315/80R22.5; Слойность / исполнение: не менее 18PR </w:t>
              <w:br/>
              <w:t>Индекс нагрузки: не менее 156/150; Индекс скорости: не менее L</w:t>
              <w:br/>
              <w:t>Рисунок протектора: ведущая ось, открытое плечо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23.5R25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Aeolus AE47 (E-4) или эквивалент</w:t>
              <w:br/>
              <w:t xml:space="preserve">Типоразмер: 23.5R25; </w:t>
              <w:br/>
              <w:t>Индекс нагрузки: не менее 185; Индекс скорости: не менее B</w:t>
              <w:br/>
              <w:t>Рисунок протектора: карьерный E-4/L-4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8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Нижне-Бурейский ТУ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195/80R15C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BluEarth-Van RY55 или эквивалент</w:t>
              <w:br/>
              <w:t>Типоразмер: 195/80R15C; Слойность / исполнение: не менее 8PR</w:t>
              <w:br/>
              <w:t>Индекс нагрузки: не менее 104/102; Индекс скорости: не менее S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9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Партизанский СУ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195/80R15C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BluEarth-Van RY55 или эквивалент</w:t>
              <w:br/>
              <w:t>Типоразмер: 195/80R15C; Слойность / исполнение: не менее 8PR</w:t>
              <w:br/>
              <w:t>Индекс нагрузки: не менее 104/102; Индекс скорости: не менее S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30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235/45R18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Pirelli Powergy 2 или эквивалент</w:t>
              <w:br/>
              <w:t xml:space="preserve">Типоразмер: 235/45R18; </w:t>
              <w:br/>
              <w:t>Индекс нагрузки: не менее 98; Индекс скорости: не менее Y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5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225/75R16C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Business CA-2 или эквивалент</w:t>
              <w:br/>
              <w:t>Типоразмер: 225/75R16C; Слойность / исполнение: не менее 10PR</w:t>
              <w:br/>
              <w:t>Индекс нагрузки: не менее 121/120; Индекс скорости: не менее R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235/45R18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Pirelli Cinturato All Season SF 3 или эквивалент</w:t>
              <w:br/>
              <w:t xml:space="preserve">Типоразмер: 235/45R18; </w:t>
              <w:br/>
              <w:t>Индекс нагрузки: не менее 98; Индекс скорости: не менее Y</w:t>
              <w:br/>
              <w:t>Рисунок протектора: всесезонный дорожный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5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315/80R22.5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RLB450 или эквивалент</w:t>
              <w:br/>
              <w:t>Типоразмер: 315/80R22.5; Слойность / исполнение: не менее 18PR / Load Range J</w:t>
              <w:br/>
              <w:t>Индекс нагрузки: не менее 156/150; Индекс скорости: не менее L</w:t>
              <w:br/>
              <w:t>Рисунок протектора: ведущая ось, открытое плечо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9.00R20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Tyrex CRG VM-201 или эквивалент</w:t>
              <w:br/>
              <w:t>Типоразмер: 9.00R20; Слойность / исполнение: не менее 12PR</w:t>
              <w:br/>
              <w:t>Индекс нагрузки: не менее 136/133; Индекс скорости: не менее J</w:t>
              <w:br/>
              <w:t>Рисунок протектора: универсальный грузовой</w:t>
              <w:br/>
              <w:t>Исполнение: камерное (TTF)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20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315/60R22.5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NR-201 или эквивалент</w:t>
              <w:br/>
              <w:t>Типоразмер: 315/60R22.5; Слойность / исполнение: не менее 18PR</w:t>
              <w:br/>
              <w:t>Индекс нагрузки: не менее 152/149; Индекс скорости: не менее L</w:t>
              <w:br/>
              <w:t>Рисунок протектора: ведущая ось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235/75R17.5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Hilo 785 16PR или эквивалент</w:t>
              <w:br/>
              <w:t>Типоразмер: 235/75R17.5; Слойность / исполнение: не менее 16PR</w:t>
              <w:br/>
              <w:t>Индекс нагрузки: не менее 143/141; Индекс скорости: не менее J</w:t>
              <w:br/>
              <w:t>Рисунок протектора: грузовой/прицепной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11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425/85R21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1260-2 или эквивалент</w:t>
              <w:br/>
              <w:t>Типоразмер: 425/85R21; Слойность / исполнение: не менее 18PR</w:t>
              <w:br/>
              <w:t>Индекс нагрузки: не менее 156; Индекс скорости: не менее G</w:t>
              <w:br/>
              <w:t>Рисунок протектора: повышенной проходимости, M+S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9.10.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385/95R25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REM-8 или эквивалент</w:t>
              <w:br/>
              <w:t xml:space="preserve">Типоразмер: 385/95R25; </w:t>
              <w:br/>
              <w:t>Индекс нагрузки: не менее 170; Индекс скорости: не менее F</w:t>
              <w:br/>
              <w:t>Рисунок протектора: крановый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9.11.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26.5-25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Chaoyang CL729 E3/L3 или эквивалент</w:t>
              <w:br/>
              <w:t>Типоразмер: 26.5-25; Слойность / исполнение: не менее 28PR</w:t>
              <w:br/>
              <w:t>Индекс нагрузки: не менее 209; Индекс скорости: не менее A2</w:t>
              <w:br/>
              <w:t>Рисунок протектора: индустриальный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9.12.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295/80R22.5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Goodyear Omnitrac MSS II или эквивалент</w:t>
              <w:br/>
              <w:t>Типоразмер: 295/80R22.5; Слойность / исполнение: не менее 18PR</w:t>
              <w:br/>
              <w:t>Индекс нагрузки: не менее 152/148; Индекс скорости: не менее K</w:t>
              <w:br/>
              <w:t>Рисунок протектора: рулевая ось, смешанная эксплуатация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9.13.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12-16.5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Advance L-2B или эквивалент</w:t>
              <w:br/>
              <w:t>Типоразмер: 12-16.5; Слойность / исполнение: не менее 12PR</w:t>
              <w:br/>
              <w:t>Индекс нагрузки: не менее 144; Индекс скорости: не менее A2</w:t>
              <w:br/>
              <w:t>Рисунок протектора: индустриальный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10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Зейский ТУ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Business CA-2 или эквивалент</w:t>
              <w:br/>
              <w:t>Типоразмер: 195/75R16C; Слойность / исполнение: не менее 8PR</w:t>
              <w:br/>
              <w:t>Индекс нагрузки: не менее 107/105; Индекс скорости: не менее R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195/80R15C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BluEarth-Van RY55 или эквивалент</w:t>
              <w:br/>
              <w:t>Типоразмер: 195/80R15C; Слойность / исполнение: не менее 8PR</w:t>
              <w:br/>
              <w:t>Индекс нагрузки: не менее 104/102; Индекс скорости: не менее S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185/75R16C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Business CA-2 или эквивалент</w:t>
              <w:br/>
              <w:t>Типоразмер: 185/75R16C; Слойность / исполнение: не менее 8PR</w:t>
              <w:br/>
              <w:t>Индекс нагрузки: не менее 104/102; Индекс скорости: не менее Q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215/55R17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или эквивалент</w:t>
              <w:br/>
              <w:t xml:space="preserve">Типоразмер: 215/55R17; </w:t>
              <w:br/>
              <w:t>Индекс нагрузки: не менее 98; Индекс скорости: не менее H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265/60R18; </w:t>
              <w:br/>
              <w:t>Индекс нагрузки: не менее 110;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225/75R16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>Типоразмер: 225/75R16; Слойность / исполнение: не менее 10PR / Load Range E</w:t>
              <w:br/>
              <w:t>Индекс нагрузки: не менее 115/112; Индекс скорости: не менее R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185/75R16C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Snow C3 или эквивалент</w:t>
              <w:br/>
              <w:t>Типоразмер: 185/75R16C; Слойность / исполнение: не менее 8PR</w:t>
              <w:br/>
              <w:t>Индекс нагрузки: не менее 104/102; Индекс скорости: не менее R</w:t>
              <w:br/>
              <w:t>Рисунок протектора: зимний фрикционный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6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(шипованная) 265/60R18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Snow Cross 2 SUV или эквивалент</w:t>
              <w:br/>
              <w:t>Типоразмер: 265/60R18; Слойность / исполнение: не менее XL</w:t>
              <w:br/>
              <w:t>Индекс нагрузки: не менее 114; Индекс скорости: не менее T</w:t>
              <w:br/>
              <w:t>Рисунок протектора: зимний шипованный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10.9.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iceGuard SUV G075 или эквивалент</w:t>
              <w:br/>
              <w:t>Типоразмер: 265/65R17; Слойность / исполнение: не менее SL</w:t>
              <w:br/>
              <w:t>Индекс нагрузки: не менее 112; Индекс скорости: не менее Q</w:t>
              <w:br/>
              <w:t>Рисунок протектора: зимний фрикционный SUV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10.10.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(фрикционная) 195/75R16C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Snow C3 или эквивалент</w:t>
              <w:br/>
              <w:t xml:space="preserve">Типоразмер: 195/75R16C; </w:t>
              <w:br/>
              <w:t>Индекс нагрузки: не менее 107/105; Индекс скорости: не менее R</w:t>
              <w:br/>
              <w:t>Рисунок протектора: зимний фрикционный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10.11.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400/70R20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Advance R-4E или эквивалент</w:t>
              <w:br/>
              <w:t xml:space="preserve">Типоразмер: 400/70R20; </w:t>
              <w:br/>
              <w:t>Индекс нагрузки: не менее 149; Индекс скорости: не менее A8</w:t>
              <w:br/>
              <w:t>Рисунок протектора: индустриальный R-4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11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Усть-Среднекамский ТУ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11.1.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195/75R16C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Business CA-2 или эквивалент</w:t>
              <w:br/>
              <w:t>Типоразмер: 195/75R16C; Слойность / исполнение: не менее 8PR</w:t>
              <w:br/>
              <w:t>Индекс нагрузки: не менее 107/105; Индекс скорости: не менее R</w:t>
              <w:br/>
              <w:t>Рисунок протектора: летний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11.2.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195/75R16C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Business CW 2 или эквивалент</w:t>
              <w:br/>
              <w:t>Типоразмер: 195/75R16C; Слойность / исполнение: не менее 8PR</w:t>
              <w:br/>
              <w:t>Индекс нагрузки: не менее 107/105; Индекс скорости: не менее Q</w:t>
              <w:br/>
              <w:t>Рисунок протектора: зимний шипованный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12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Хабаровский участок РП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265/65R17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265/65R17; </w:t>
              <w:br/>
              <w:t>Индекс нагрузки: не менее 112; Индекс скорости: не менее H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215/60R16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Cordiant Comfort 2 или эквивалент</w:t>
              <w:br/>
              <w:t xml:space="preserve">Типоразмер: 215/60R16; </w:t>
              <w:br/>
              <w:t>Индекс нагрузки: не менее 99; Индекс скорости: не менее H</w:t>
              <w:br/>
              <w:t>Рисунок протектора: дорожный летний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летняя 225/75R16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Yokohama Geolandar A/T G015 или эквивалент</w:t>
              <w:br/>
              <w:t xml:space="preserve">Типоразмер: 225/75R16; </w:t>
              <w:br/>
              <w:t>Индекс нагрузки: не менее 115/112; Индекс скорости: не менее R</w:t>
              <w:br/>
              <w:t>Рисунок протектора: A/T, для смешанных дорог и бездорожья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12.4.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зимняя 225/75R16C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Ikon Autograph Ice C3 или эквивалент</w:t>
              <w:br/>
              <w:t>Типоразмер: 225/75R16C; Слойность / исполнение: не менее 10PR</w:t>
              <w:br/>
              <w:t>Индекс нагрузки: не менее 121/120; Индекс скорости: не менее R</w:t>
              <w:br/>
              <w:t>Рисунок протектора: зимний шипованный коммерческий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1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color w:val="auto"/>
                <w:sz w:val="22"/>
              </w:rPr>
              <w:t>13</w:t>
            </w:r>
          </w:p>
        </w:tc>
        <w:tc>
          <w:tcPr>
            <w:tcW w:w="5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i w:val="false"/>
                <w:sz w:val="22"/>
              </w:rPr>
              <w:t>Владивостокский СУ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/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13.1.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12-16.5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Advance L-2B или эквивалент</w:t>
              <w:br/>
              <w:t>Типоразмер: 12-16.5; Слойность / исполнение: не менее 12PR</w:t>
              <w:br/>
              <w:t>Индекс нагрузки: не менее 144; Индекс скорости: не менее A2</w:t>
              <w:br/>
              <w:t xml:space="preserve">Рисунок протектора: индустриальный 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8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13.2.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10.00-20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Kumho SG7 или эквивалент</w:t>
              <w:br/>
              <w:t>Типоразмер: 10.00-20; Слойность / исполнение: не менее 16PR</w:t>
              <w:br/>
              <w:t>Индекс нагрузки: не менее 145; Индекс скорости: не менее B</w:t>
              <w:br/>
              <w:t>Рисунок протектора: экскаваторный, повышенная тяга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7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13.3.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11.00R22.5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KAMA NF 701 или эквивалент</w:t>
              <w:br/>
              <w:t>Типоразмер: 11.00R22.5; Слойность / исполнение: не менее 16PR</w:t>
              <w:br/>
              <w:t>Индекс нагрузки: не менее 148/145; Индекс скорости: не менее K</w:t>
              <w:br/>
              <w:t>Рисунок протектора: рулевая/универсальная, повышенная проходимость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3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13.4.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23.5R25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REM-2S или эквивалент</w:t>
              <w:br/>
              <w:t xml:space="preserve">Типоразмер: 23.5R25; </w:t>
              <w:br/>
              <w:t>Индекс нагрузки: не менее 201; Индекс скорости: не менее A2/B</w:t>
              <w:br/>
              <w:t xml:space="preserve">Рисунок протектора: индустриальный 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4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13.5.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6.50-10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Deestone RubberMaster или эквивалент</w:t>
              <w:br/>
              <w:t>Типоразмер: 6.50-10; Слойность / исполнение: не менее 12PR</w:t>
              <w:br/>
              <w:t>Индекс нагрузки: не менее 128; Индекс скорости: не менее A5</w:t>
              <w:br/>
              <w:t>Рисунок протектора: индустриальный для погрузчиков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13.6.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28X9-15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Marcher W-9C или эквивалент</w:t>
              <w:br/>
              <w:t>Типоразмер: 28X9-15; Слойность / исполнение: не менее 12PR</w:t>
              <w:br/>
              <w:t>Индекс нагрузки: не ниже паспортного; Индекс скорости: не менее A5</w:t>
              <w:br/>
              <w:t>Рисунок протектора: индустриальный для погрузчиков</w:t>
              <w:br/>
              <w:t>Исполнение: 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13.7.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всесезонная 315/80R22.5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RLB450 или эквивалент</w:t>
              <w:br/>
              <w:t xml:space="preserve">Типоразмер: 315/80R22.5; Слойность / исполнение: не менее 18PR </w:t>
              <w:br/>
              <w:t>Индекс нагрузки: не менее 156/150; Индекс скорости: не менее L</w:t>
              <w:br/>
              <w:t>Рисунок протектора: ведущая ось, открытое плечо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27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13.8.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4"/>
              </w:rPr>
              <w:t>Шина специальная 20.5R25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color w:val="auto"/>
              </w:rPr>
            </w:pPr>
            <w:r>
              <w:rPr>
                <w:b w:val="false"/>
                <w:color w:val="auto"/>
                <w:sz w:val="13"/>
              </w:rPr>
              <w:t>Double Coin REM-2S или эквивалент</w:t>
              <w:br/>
              <w:t>Типоразмер: 20.5R25;</w:t>
              <w:br/>
              <w:t>Индекс нагрузки: не менее 177; Индекс скорости: не менее B</w:t>
              <w:br/>
              <w:t>Рисунок протектора: индустриальный</w:t>
              <w:br/>
              <w:t>Исполнение: бескамерное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 w:val="false"/>
                <w:color w:val="auto"/>
                <w:sz w:val="20"/>
              </w:rPr>
              <w:t>2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 w:val="false"/>
                <w:i/>
                <w:color w:val="auto"/>
                <w:sz w:val="18"/>
              </w:rPr>
              <w:t>указание характеристик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spacing w:lineRule="auto" w:line="240" w:before="0" w:after="0"/>
              <w:jc w:val="center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>
          <w:trHeight w:val="164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/>
                <w:b/>
                <w:bCs/>
                <w:iCs/>
                <w:color w:val="auto"/>
                <w:sz w:val="20"/>
                <w:szCs w:val="20"/>
                <w:lang w:eastAsia="en-US"/>
              </w:rPr>
              <w:t>Требования к безопасности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164" w:hRule="atLeast"/>
        </w:trPr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</w:r>
          </w:p>
        </w:tc>
        <w:tc>
          <w:tcPr>
            <w:tcW w:w="58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Calibri"/>
                <w:b/>
                <w:bCs/>
                <w:iCs/>
                <w:color w:val="auto"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bCs/>
                <w:iCs/>
                <w:color w:val="auto"/>
                <w:sz w:val="20"/>
                <w:szCs w:val="20"/>
                <w:lang w:eastAsia="en-US"/>
              </w:rPr>
            </w:r>
          </w:p>
        </w:tc>
        <w:tc>
          <w:tcPr>
            <w:tcW w:w="1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color w:val="auto"/>
              </w:rPr>
            </w:pPr>
            <w:r>
              <w:rPr>
                <w:rFonts w:ascii="Calibri" w:hAnsi="Calibri"/>
                <w:color w:val="auto"/>
              </w:rPr>
            </w:r>
          </w:p>
        </w:tc>
        <w:tc>
          <w:tcPr>
            <w:tcW w:w="1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  <w:tc>
          <w:tcPr>
            <w:tcW w:w="523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39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Безопасность продукции</w:t>
            </w:r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/>
                <w:iCs/>
                <w:color w:val="auto"/>
                <w:sz w:val="20"/>
                <w:szCs w:val="20"/>
                <w:lang w:eastAsia="en-US"/>
              </w:rPr>
              <w:t>Качество и безопасность товара должны соответствовать требованиям:</w:t>
              <w:br/>
              <w:t>ГОСТ Р 52899-2007 «Шины пневматические для грузовых механических транспортных средств и прицепов. Технические условия»;</w:t>
              <w:br/>
              <w:t>ГОСТ Р 52900-2007 «Шины пневматические для легковых автомобилей и прицепов к ним. Технические условия»;</w:t>
              <w:br/>
              <w:t>ГОСТ 5513-97 «Шины пневматические для грузовых автомобилей, прицепов к ним, автобусов и троллейбусов. Технические условия».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688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/>
                <w:b/>
                <w:bCs/>
                <w:iCs/>
                <w:color w:val="auto"/>
                <w:sz w:val="20"/>
                <w:szCs w:val="20"/>
                <w:lang w:eastAsia="en-US"/>
              </w:rPr>
              <w:t>Требования к доставке,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424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3.1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Место поставки</w:t>
            </w:r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</w:tabs>
              <w:jc w:val="left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2"/>
                <w:szCs w:val="22"/>
                <w:lang w:eastAsia="en-US"/>
              </w:rPr>
              <w:t>- Хабаровский край, г. Хабаровск;</w:t>
              <w:br/>
              <w:t>- Приморский край, г. Владивосток;</w:t>
              <w:br/>
              <w:t>- Приморский край, г. Партизанск;</w:t>
              <w:br/>
              <w:t>- Амурская область, пгт. Новобурейский;</w:t>
              <w:br/>
              <w:t>- Амурская область, г. Зея;</w:t>
              <w:br/>
              <w:t>- Республика Саха (Якутия), г. Нерюнгри;</w:t>
              <w:br/>
              <w:t>- Магаданская область, г. Магадан.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447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3.2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Требования к упаковке</w:t>
            </w:r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Продукция должна поставляться в упаковке, обеспечивающей защиту от внешних воздействующих факторов (в т.ч. климатических, механических) при транспортировании, хранении и погрузочно-разгрузочных работах.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Маркировка и (или) упаковка продукции должна обеспечивать Заказчику возможность идентифицировать продукцию.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Продукция, способная оказывать вредное воздействие на здоровье человека, окружающую среду, обладающая пожароопасными свойствами, должна иметь соответствующую предупредительную маркировку.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233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b/>
                <w:iCs/>
                <w:color w:val="auto"/>
                <w:sz w:val="20"/>
                <w:szCs w:val="20"/>
                <w:lang w:eastAsia="en-US"/>
              </w:rPr>
              <w:t>Требования к эксплуатации, обеспечению и утилизации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391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Требования к эксплуатации</w:t>
            </w:r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Поставляемая Продукция должна быть новой, не бывшая в употреблении, соответствовать нормативным значениям показателей качества. Продукция должна быть произведена не ранее 2025 г. Не допускается поставка выставочных образцов.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572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5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b/>
                <w:iCs/>
                <w:color w:val="auto"/>
                <w:sz w:val="20"/>
                <w:szCs w:val="20"/>
                <w:lang w:eastAsia="en-US"/>
              </w:rPr>
              <w:t>Требования к гарантиям, гарантийному и послегарантийному обслуживанию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688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5.1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Срок гарантии</w:t>
            </w:r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9"/>
                <w:tab w:val="left" w:pos="1134" w:leader="none"/>
              </w:tabs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На продукцию устанавливается гарантийный срок не менее 12 месяцев со дня продажи, который начинает течь с даты подписания Сторонами Накладной ТОРГ-12/УПД. Гарантийный срок может быть продлен в соответствии с условиями Договора.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9"/>
                <w:tab w:val="left" w:pos="1134" w:leader="none"/>
              </w:tabs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Установленный в отношении Товара гарантийный срок распространяется на все составные части и комплектующие Товара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  <w:tr>
        <w:trPr>
          <w:trHeight w:val="562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b/>
                <w:color w:val="auto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5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b/>
                <w:iCs/>
                <w:color w:val="auto"/>
                <w:sz w:val="20"/>
                <w:szCs w:val="20"/>
                <w:lang w:eastAsia="en-US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-//-</w:t>
            </w:r>
          </w:p>
        </w:tc>
      </w:tr>
      <w:tr>
        <w:trPr>
          <w:trHeight w:val="688" w:hRule="atLeast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6.1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rFonts w:eastAsia="Calibri" w:ascii="Calibri" w:hAnsi="Calibri"/>
                <w:color w:val="auto"/>
                <w:sz w:val="20"/>
                <w:szCs w:val="20"/>
                <w:lang w:eastAsia="en-US"/>
              </w:rPr>
              <w:t>Документы, передаваемые вместе с продукцией</w:t>
            </w:r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color w:val="auto"/>
              </w:rPr>
            </w:pPr>
            <w:r>
              <w:rPr>
                <w:rFonts w:eastAsia="Calibri" w:ascii="Calibri" w:hAnsi="Calibri"/>
                <w:iCs/>
                <w:color w:val="auto"/>
                <w:sz w:val="20"/>
                <w:szCs w:val="20"/>
                <w:lang w:eastAsia="en-US"/>
              </w:rPr>
              <w:t>Поставщик передает Заказчику товарную накладную (ТОРГ-12)/УПД, счет-фактуру, копии документов, подтверждающие качество поставляемой продукции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согласие с требованием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rFonts w:eastAsia="Calibri" w:ascii="Calibri" w:hAnsi="Calibri"/>
                <w:i/>
                <w:iCs/>
                <w:color w:val="auto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2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  <w:sz w:val="20"/>
                <w:szCs w:val="20"/>
              </w:rPr>
            </w:pPr>
            <w:r>
              <w:rPr>
                <w:i/>
                <w:iCs/>
                <w:color w:val="auto"/>
                <w:sz w:val="20"/>
                <w:szCs w:val="20"/>
              </w:rPr>
            </w:r>
          </w:p>
        </w:tc>
      </w:tr>
    </w:tbl>
    <w:p>
      <w:pPr>
        <w:sectPr>
          <w:headerReference w:type="default" r:id="rId4"/>
          <w:headerReference w:type="first" r:id="rId5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ListParagraph"/>
        <w:numPr>
          <w:ilvl w:val="0"/>
          <w:numId w:val="8"/>
        </w:numPr>
        <w:ind w:hanging="0" w:left="360" w:right="-2"/>
        <w:jc w:val="both"/>
        <w:outlineLvl w:val="0"/>
        <w:rPr>
          <w:color w:val="auto"/>
        </w:rPr>
      </w:pPr>
      <w:r>
        <w:rPr>
          <w:b/>
          <w:color w:val="auto"/>
          <w:sz w:val="28"/>
          <w:szCs w:val="28"/>
        </w:rPr>
        <w:t>Требования к документации по ценообразования на этапе закупки</w:t>
      </w:r>
    </w:p>
    <w:p>
      <w:pPr>
        <w:pStyle w:val="Normal"/>
        <w:spacing w:before="0" w:after="0"/>
        <w:ind w:hanging="0" w:left="1080"/>
        <w:contextualSpacing/>
        <w:jc w:val="both"/>
        <w:rPr>
          <w:rFonts w:eastAsia="Calibri"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</w:r>
    </w:p>
    <w:p>
      <w:pPr>
        <w:pStyle w:val="Normal"/>
        <w:jc w:val="both"/>
        <w:rPr>
          <w:color w:val="auto"/>
        </w:rPr>
      </w:pPr>
      <w:r>
        <w:rPr>
          <w:rFonts w:eastAsia="Calibri"/>
          <w:bCs/>
          <w:color w:val="auto"/>
          <w:sz w:val="24"/>
          <w:szCs w:val="24"/>
        </w:rPr>
        <w:t xml:space="preserve">3.1.  </w:t>
      </w:r>
      <w:r>
        <w:rPr>
          <w:rFonts w:eastAsia="Calibri"/>
          <w:bCs/>
          <w:iCs/>
          <w:color w:val="auto"/>
          <w:sz w:val="26"/>
          <w:szCs w:val="26"/>
          <w:lang w:eastAsia="x-none"/>
        </w:rPr>
        <w:t>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</w:p>
    <w:p>
      <w:pPr>
        <w:pStyle w:val="Normal"/>
        <w:jc w:val="both"/>
        <w:rPr>
          <w:color w:val="auto"/>
        </w:rPr>
      </w:pPr>
      <w:r>
        <w:rPr>
          <w:rFonts w:eastAsia="Calibri"/>
          <w:bCs/>
          <w:iCs/>
          <w:color w:val="auto"/>
          <w:sz w:val="26"/>
          <w:szCs w:val="26"/>
          <w:lang w:eastAsia="x-none"/>
        </w:rPr>
        <w:t>3.2. Дополнительные документы по ценообразованию не предоставляются</w:t>
      </w:r>
    </w:p>
    <w:p>
      <w:pPr>
        <w:pStyle w:val="Normal"/>
        <w:tabs>
          <w:tab w:val="clear" w:pos="709"/>
          <w:tab w:val="left" w:pos="851" w:leader="none"/>
        </w:tabs>
        <w:spacing w:before="0" w:after="120"/>
        <w:ind w:hanging="0" w:left="410"/>
        <w:jc w:val="both"/>
        <w:rPr>
          <w:iCs/>
          <w:color w:val="auto"/>
          <w:sz w:val="24"/>
          <w:szCs w:val="24"/>
          <w:lang w:eastAsia="x-none"/>
        </w:rPr>
      </w:pPr>
      <w:r>
        <w:rPr>
          <w:iCs/>
          <w:color w:val="auto"/>
          <w:sz w:val="24"/>
          <w:szCs w:val="24"/>
          <w:lang w:eastAsia="x-none"/>
        </w:rPr>
      </w:r>
    </w:p>
    <w:p>
      <w:pPr>
        <w:pStyle w:val="ListParagraph"/>
        <w:ind w:hanging="0" w:left="0"/>
        <w:rPr>
          <w:color w:val="auto"/>
          <w:lang w:eastAsia="en-US"/>
        </w:rPr>
      </w:pPr>
      <w:r>
        <w:rPr>
          <w:color w:val="auto"/>
          <w:lang w:eastAsia="en-US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</w:r>
    </w:p>
    <w:p>
      <w:pPr>
        <w:pStyle w:val="Normal"/>
        <w:spacing w:before="0" w:after="120"/>
        <w:rPr>
          <w:i/>
          <w:i/>
          <w:iCs/>
          <w:color w:val="auto"/>
          <w:sz w:val="24"/>
          <w:szCs w:val="24"/>
          <w:shd w:fill="FFFF99" w:val="clear"/>
        </w:rPr>
      </w:pPr>
      <w:r>
        <w:rPr>
          <w:i/>
          <w:iCs/>
          <w:color w:val="000000"/>
          <w:sz w:val="24"/>
          <w:szCs w:val="24"/>
          <w:shd w:fill="FFFF99" w:val="clear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ind w:firstLine="4820"/>
        <w:jc w:val="right"/>
        <w:rPr>
          <w:color w:val="auto"/>
        </w:rPr>
      </w:pPr>
      <w:r>
        <w:rPr>
          <w:color w:val="auto"/>
        </w:rPr>
      </w:r>
    </w:p>
    <w:sectPr>
      <w:headerReference w:type="default" r:id="rId6"/>
      <w:headerReference w:type="first" r:id="rId7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PT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6"/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false"/>
        <w:b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-16" w:hanging="420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/>
    </w:lvl>
  </w:abstractNum>
  <w:abstractNum w:abstractNumId="8"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-16" w:hanging="420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pPr>
      <w:ind w:hanging="0" w:left="5038"/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pPr>
      <w:keepNext w:val="true"/>
      <w:widowControl w:val="false"/>
      <w:tabs>
        <w:tab w:val="clear" w:pos="709"/>
        <w:tab w:val="left" w:pos="0" w:leader="none"/>
      </w:tabs>
      <w:ind w:hanging="0" w:left="227"/>
      <w:jc w:val="center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qFormat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qFormat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qFormat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qFormat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rPr>
      <w:color w:val="0000FF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 w:customStyle="1">
    <w:name w:val="Заголовок 6 Знак"/>
    <w:qFormat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qFormat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qFormat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qFormat/>
    <w:rPr>
      <w:b/>
      <w:bCs/>
      <w:i/>
      <w:iCs/>
      <w:sz w:val="26"/>
      <w:szCs w:val="26"/>
    </w:rPr>
  </w:style>
  <w:style w:type="character" w:styleId="9" w:customStyle="1">
    <w:name w:val="Заголовок 9 Знак"/>
    <w:qFormat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5"/>
    <w:qFormat/>
    <w:rPr>
      <w:sz w:val="28"/>
    </w:rPr>
  </w:style>
  <w:style w:type="character" w:styleId="Style2" w:customStyle="1">
    <w:name w:val="Подзаголовок Знак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21" w:customStyle="1">
    <w:name w:val="Цитата 2 Знак"/>
    <w:link w:val="Quote"/>
    <w:qFormat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qFormat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qFormat/>
    <w:rPr>
      <w:i/>
      <w:iCs/>
      <w:color w:val="808080"/>
    </w:rPr>
  </w:style>
  <w:style w:type="character" w:styleId="IntenseEmphasis">
    <w:name w:val="Intense Emphasis"/>
    <w:qFormat/>
    <w:rPr>
      <w:b/>
      <w:bCs/>
      <w:i/>
      <w:iCs/>
      <w:color w:val="4F81BD"/>
    </w:rPr>
  </w:style>
  <w:style w:type="character" w:styleId="SubtleReference">
    <w:name w:val="Subtle Reference"/>
    <w:qFormat/>
    <w:rPr>
      <w:smallCaps/>
      <w:color w:val="C0504D"/>
      <w:u w:val="single"/>
    </w:rPr>
  </w:style>
  <w:style w:type="character" w:styleId="IntenseReference">
    <w:name w:val="Intense Reference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qFormat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qFormat/>
    <w:rPr>
      <w:rFonts w:eastAsia="Calibri"/>
      <w:sz w:val="24"/>
      <w:szCs w:val="24"/>
    </w:rPr>
  </w:style>
  <w:style w:type="character" w:styleId="11" w:customStyle="1">
    <w:name w:val="Подпункт Знак1"/>
    <w:link w:val="Style22"/>
    <w:qFormat/>
    <w:rPr>
      <w:sz w:val="28"/>
    </w:rPr>
  </w:style>
  <w:style w:type="character" w:styleId="Style5" w:customStyle="1">
    <w:name w:val="Текст сноски Знак"/>
    <w:qFormat/>
    <w:rPr/>
  </w:style>
  <w:style w:type="character" w:styleId="Style6" w:customStyle="1">
    <w:name w:val="Основной текст Знак"/>
    <w:qFormat/>
    <w:rPr>
      <w:sz w:val="28"/>
      <w:szCs w:val="28"/>
    </w:rPr>
  </w:style>
  <w:style w:type="character" w:styleId="Blk" w:customStyle="1">
    <w:name w:val="blk"/>
    <w:qFormat/>
    <w:rPr/>
  </w:style>
  <w:style w:type="character" w:styleId="Style7" w:customStyle="1">
    <w:name w:val="Абзац списка Знак"/>
    <w:link w:val="ListParagraph"/>
    <w:qFormat/>
    <w:rPr>
      <w:rFonts w:eastAsia="Calibri"/>
      <w:sz w:val="24"/>
      <w:szCs w:val="24"/>
    </w:rPr>
  </w:style>
  <w:style w:type="character" w:styleId="Style8" w:customStyle="1">
    <w:name w:val="комментарий"/>
    <w:qFormat/>
    <w:rPr>
      <w:b/>
      <w:i/>
      <w:shd w:fill="FFFF99" w:val="clear"/>
    </w:rPr>
  </w:style>
  <w:style w:type="character" w:styleId="Style9" w:customStyle="1">
    <w:name w:val="Подподпункт Знак"/>
    <w:link w:val="Style30"/>
    <w:qFormat/>
    <w:rPr>
      <w:sz w:val="26"/>
      <w:szCs w:val="26"/>
    </w:rPr>
  </w:style>
  <w:style w:type="character" w:styleId="31" w:customStyle="1">
    <w:name w:val="УРОВЕНЬ_Абзац_тип3 Знак"/>
    <w:link w:val="36"/>
    <w:qFormat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qFormat/>
    <w:rPr>
      <w:sz w:val="24"/>
      <w:szCs w:val="24"/>
    </w:rPr>
  </w:style>
  <w:style w:type="character" w:styleId="Style11" w:customStyle="1">
    <w:name w:val="Текст примечания Знак"/>
    <w:link w:val="Annotationtext"/>
    <w:qFormat/>
    <w:rPr/>
  </w:style>
  <w:style w:type="character" w:styleId="Style12" w:customStyle="1">
    <w:name w:val="Текст концевой сноски Знак"/>
    <w:basedOn w:val="DefaultParagraphFont"/>
    <w:qFormat/>
    <w:rPr/>
  </w:style>
  <w:style w:type="character" w:styleId="Style13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basedOn w:val="DefaultParagraphFont"/>
    <w:qFormat/>
    <w:rPr>
      <w:vertAlign w:val="superscript"/>
    </w:rPr>
  </w:style>
  <w:style w:type="character" w:styleId="22" w:customStyle="1">
    <w:name w:val="Пункт2 Знак"/>
    <w:link w:val="24"/>
    <w:qFormat/>
    <w:rPr>
      <w:b/>
      <w:sz w:val="28"/>
    </w:rPr>
  </w:style>
  <w:style w:type="character" w:styleId="12" w:customStyle="1">
    <w:name w:val="УРОВЕНЬ_1. Знак"/>
    <w:link w:val="19"/>
    <w:qFormat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qFormat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Pr>
      <w:sz w:val="16"/>
      <w:szCs w:val="16"/>
    </w:rPr>
  </w:style>
  <w:style w:type="character" w:styleId="Style14" w:customStyle="1">
    <w:name w:val="Ссылка указателя"/>
    <w:qFormat/>
    <w:rPr/>
  </w:style>
  <w:style w:type="character" w:styleId="Style15" w:customStyle="1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 w:customStyle="1">
    <w:name w:val="index heading111"/>
    <w:basedOn w:val="Title"/>
    <w:qFormat/>
    <w:pPr/>
    <w:rPr/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" w:customStyle="1">
    <w:name w:val="index heading1111"/>
    <w:basedOn w:val="Title"/>
    <w:qFormat/>
    <w:pPr/>
    <w:rPr/>
  </w:style>
  <w:style w:type="paragraph" w:styleId="Style18" w:customStyle="1">
    <w:name w:val="Название раздела инструкции"/>
    <w:basedOn w:val="Normal"/>
    <w:autoRedefine/>
    <w:qFormat/>
    <w:pPr>
      <w:jc w:val="center"/>
    </w:pPr>
    <w:rPr>
      <w:b/>
    </w:rPr>
  </w:style>
  <w:style w:type="paragraph" w:styleId="Style19" w:customStyle="1">
    <w:name w:val="Раздел положения"/>
    <w:basedOn w:val="Normal"/>
    <w:autoRedefine/>
    <w:qFormat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autoRedefine/>
    <w:qFormat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pPr/>
    <w:rPr>
      <w:sz w:val="20"/>
      <w:szCs w:val="20"/>
    </w:rPr>
  </w:style>
  <w:style w:type="paragraph" w:styleId="14" w:customStyle="1">
    <w:name w:val="Шапка 1"/>
    <w:basedOn w:val="Normal"/>
    <w:qFormat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5" w:customStyle="1">
    <w:name w:val="Название1"/>
    <w:basedOn w:val="Normal"/>
    <w:link w:val="Style1"/>
    <w:qFormat/>
    <w:pPr>
      <w:jc w:val="center"/>
    </w:pPr>
    <w:rPr>
      <w:szCs w:val="20"/>
      <w:lang w:val="x-none" w:eastAsia="x-none"/>
    </w:rPr>
  </w:style>
  <w:style w:type="paragraph" w:styleId="Style21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pPr>
      <w:tabs>
        <w:tab w:val="clear" w:pos="709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pPr>
      <w:ind w:hanging="0" w:left="360"/>
    </w:pPr>
    <w:rPr>
      <w:sz w:val="24"/>
      <w:szCs w:val="24"/>
    </w:rPr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hanging="0" w:left="283"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pPr>
      <w:spacing w:before="0" w:after="120"/>
      <w:ind w:hanging="0" w:left="283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BlockText">
    <w:name w:val="Block Text"/>
    <w:basedOn w:val="Normal"/>
    <w:qFormat/>
    <w:pPr>
      <w:ind w:hanging="0" w:left="-567" w:right="-766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link w:val="11"/>
    <w:qFormat/>
    <w:pPr>
      <w:tabs>
        <w:tab w:val="clear" w:pos="709"/>
        <w:tab w:val="left" w:pos="1134" w:leader="none"/>
      </w:tabs>
      <w:snapToGrid w:val="false"/>
      <w:spacing w:lineRule="auto" w:line="360"/>
      <w:ind w:hanging="1134" w:left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pPr>
      <w:keepNext w:val="true"/>
      <w:tabs>
        <w:tab w:val="clear" w:pos="709"/>
        <w:tab w:val="left" w:pos="1134" w:leader="none"/>
      </w:tabs>
      <w:snapToGrid w:val="false"/>
      <w:spacing w:before="240" w:after="120"/>
      <w:ind w:hanging="1134" w:left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pPr>
      <w:tabs>
        <w:tab w:val="clear" w:pos="709"/>
        <w:tab w:val="left" w:pos="1120" w:leader="none"/>
        <w:tab w:val="right" w:pos="9911" w:leader="dot"/>
      </w:tabs>
      <w:ind w:firstLine="287" w:left="280"/>
    </w:pPr>
    <w:rPr>
      <w:rFonts w:cs="Calibri"/>
      <w:sz w:val="20"/>
      <w:szCs w:val="20"/>
    </w:rPr>
  </w:style>
  <w:style w:type="paragraph" w:styleId="Style23" w:customStyle="1">
    <w:name w:val="Раздел регламента"/>
    <w:basedOn w:val="Normal"/>
    <w:qFormat/>
    <w:pPr/>
    <w:rPr/>
  </w:style>
  <w:style w:type="paragraph" w:styleId="Style24" w:customStyle="1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autoRedefine/>
    <w:pPr>
      <w:spacing w:before="240" w:after="0"/>
    </w:pPr>
    <w:rPr>
      <w:rFonts w:cs="Calibri"/>
      <w:b/>
      <w:bCs/>
      <w:sz w:val="20"/>
      <w:szCs w:val="2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16" w:customStyle="1">
    <w:name w:val="Обычный (веб)1"/>
    <w:basedOn w:val="Normal"/>
    <w:qFormat/>
    <w:pPr>
      <w:spacing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pPr>
      <w:ind w:hanging="0" w:left="1960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pPr>
      <w:ind w:hanging="0" w:left="840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pPr>
      <w:ind w:hanging="0" w:left="560"/>
    </w:pPr>
    <w:rPr>
      <w:rFonts w:cs="Calibri"/>
      <w:sz w:val="20"/>
      <w:szCs w:val="20"/>
    </w:rPr>
  </w:style>
  <w:style w:type="paragraph" w:styleId="25" w:customStyle="1">
    <w:name w:val="Раздел положения 2"/>
    <w:basedOn w:val="Normal"/>
    <w:qFormat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qFormat/>
    <w:pPr>
      <w:spacing w:lineRule="auto" w:line="360"/>
    </w:pPr>
    <w:rPr>
      <w:rFonts w:eastAsia="Calibri"/>
      <w:sz w:val="24"/>
      <w:szCs w:val="24"/>
    </w:rPr>
  </w:style>
  <w:style w:type="paragraph" w:styleId="Caption11111" w:customStyle="1">
    <w:name w:val="caption11111"/>
    <w:basedOn w:val="Normal"/>
    <w:next w:val="Normal"/>
    <w:qFormat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qFormat/>
    <w:pPr>
      <w:ind w:firstLine="709" w:left="1066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qFormat/>
    <w:pPr>
      <w:spacing w:before="0" w:after="0"/>
      <w:ind w:hanging="0" w:left="72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qFormat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qFormat/>
    <w:pPr>
      <w:pBdr>
        <w:bottom w:val="single" w:sz="4" w:space="4" w:color="4F81BD"/>
      </w:pBdr>
      <w:spacing w:before="200" w:after="280"/>
      <w:ind w:hanging="0" w:left="936" w:right="936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6"/>
    <w:pPr/>
    <w:rPr/>
  </w:style>
  <w:style w:type="paragraph" w:styleId="TOCHeading">
    <w:name w:val="TOC Heading"/>
    <w:basedOn w:val="Heading1"/>
    <w:next w:val="Normal"/>
    <w:qFormat/>
    <w:pPr>
      <w:keepLines/>
      <w:spacing w:before="480" w:after="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qFormat/>
    <w:pPr/>
    <w:rPr>
      <w:rFonts w:eastAsia="Calibri"/>
      <w:sz w:val="24"/>
      <w:szCs w:val="24"/>
      <w:lang w:val="x-none" w:eastAsia="x-none"/>
    </w:rPr>
  </w:style>
  <w:style w:type="paragraph" w:styleId="Style26" w:customStyle="1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1" w:customStyle="1">
    <w:name w:val="Маркированный список 41"/>
    <w:basedOn w:val="Normal"/>
    <w:qFormat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7" w:customStyle="1">
    <w:name w:val="Пункт"/>
    <w:basedOn w:val="Normal"/>
    <w:qFormat/>
    <w:pPr>
      <w:widowControl w:val="false"/>
      <w:tabs>
        <w:tab w:val="clear" w:pos="709"/>
        <w:tab w:val="left" w:pos="1134" w:leader="none"/>
      </w:tabs>
      <w:spacing w:lineRule="auto" w:line="360" w:before="120" w:after="0"/>
      <w:ind w:hanging="1134" w:left="1134" w:right="800"/>
      <w:jc w:val="both"/>
    </w:pPr>
    <w:rPr>
      <w:rFonts w:ascii="Arial" w:hAnsi="Arial"/>
      <w:b/>
      <w:i/>
      <w:szCs w:val="20"/>
    </w:rPr>
  </w:style>
  <w:style w:type="paragraph" w:styleId="17" w:customStyle="1">
    <w:name w:val="Абзац списка1"/>
    <w:basedOn w:val="Normal"/>
    <w:qFormat/>
    <w:pPr>
      <w:spacing w:lineRule="auto" w:line="276" w:before="0" w:after="200"/>
      <w:ind w:hanging="0" w:left="720"/>
      <w:contextualSpacing/>
    </w:pPr>
    <w:rPr>
      <w:rFonts w:ascii="Calibri" w:hAnsi="Calibri"/>
      <w:sz w:val="22"/>
      <w:szCs w:val="22"/>
      <w:lang w:eastAsia="en-US"/>
    </w:rPr>
  </w:style>
  <w:style w:type="paragraph" w:styleId="Style28" w:customStyle="1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9" w:customStyle="1">
    <w:name w:val="Таблица шапка"/>
    <w:basedOn w:val="Normal"/>
    <w:qFormat/>
    <w:pPr>
      <w:keepNext w:val="true"/>
      <w:spacing w:before="40" w:after="40"/>
      <w:ind w:hanging="0" w:left="57" w:right="57"/>
    </w:pPr>
    <w:rPr>
      <w:sz w:val="22"/>
      <w:szCs w:val="26"/>
    </w:rPr>
  </w:style>
  <w:style w:type="paragraph" w:styleId="Style30" w:customStyle="1">
    <w:name w:val="Подподпункт"/>
    <w:basedOn w:val="Style22"/>
    <w:link w:val="Style9"/>
    <w:qFormat/>
    <w:pPr>
      <w:tabs>
        <w:tab w:val="clear" w:pos="1134"/>
        <w:tab w:val="left" w:pos="5104" w:leader="none"/>
      </w:tabs>
      <w:snapToGrid w:val="true"/>
      <w:spacing w:lineRule="auto" w:line="240" w:before="120" w:after="0"/>
      <w:ind w:hanging="567" w:left="5104"/>
    </w:pPr>
    <w:rPr>
      <w:sz w:val="26"/>
      <w:szCs w:val="26"/>
      <w:lang w:val="ru-RU" w:eastAsia="ru-RU"/>
    </w:rPr>
  </w:style>
  <w:style w:type="paragraph" w:styleId="Style31" w:customStyle="1">
    <w:name w:val="УРОВЕНЬ_(а)"/>
    <w:basedOn w:val="ListParagraph"/>
    <w:qFormat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2" w:customStyle="1">
    <w:name w:val="УРОВЕНЬ_Подпись"/>
    <w:basedOn w:val="ListParagraph"/>
    <w:qFormat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8" w:customStyle="1">
    <w:name w:val="Стиль Заголовок 1 + по ширине"/>
    <w:basedOn w:val="Heading1"/>
    <w:qFormat/>
    <w:pPr>
      <w:keepLines/>
      <w:tabs>
        <w:tab w:val="clear" w:pos="0"/>
        <w:tab w:val="left" w:pos="567" w:leader="none"/>
      </w:tabs>
      <w:spacing w:before="480" w:after="240"/>
      <w:ind w:hanging="567" w:left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pPr/>
    <w:rPr>
      <w:sz w:val="20"/>
      <w:szCs w:val="20"/>
    </w:rPr>
  </w:style>
  <w:style w:type="paragraph" w:styleId="28" w:customStyle="1">
    <w:name w:val="Заголовок 2 КВВ"/>
    <w:basedOn w:val="Normal"/>
    <w:qFormat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3" w:customStyle="1">
    <w:name w:val="Таблица текст"/>
    <w:basedOn w:val="Normal"/>
    <w:qFormat/>
    <w:pPr>
      <w:spacing w:before="40" w:after="40"/>
      <w:ind w:hanging="0" w:left="57" w:right="57"/>
    </w:pPr>
    <w:rPr>
      <w:sz w:val="24"/>
      <w:szCs w:val="26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19" w:customStyle="1">
    <w:name w:val="УРОВЕНЬ_1."/>
    <w:basedOn w:val="ListParagraph"/>
    <w:link w:val="12"/>
    <w:qFormat/>
    <w:pPr>
      <w:keepNext w:val="true"/>
      <w:keepLines/>
      <w:spacing w:lineRule="auto" w:line="276" w:before="240" w:after="120"/>
      <w:ind w:hanging="0" w:left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pPr>
      <w:ind w:hanging="0" w:left="1120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pPr>
      <w:ind w:hanging="0" w:left="140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pPr>
      <w:ind w:hanging="0" w:left="1680"/>
    </w:pPr>
    <w:rPr>
      <w:rFonts w:ascii="Calibri" w:hAnsi="Calibri" w:cs="Calibri"/>
      <w:sz w:val="20"/>
      <w:szCs w:val="20"/>
    </w:rPr>
  </w:style>
  <w:style w:type="paragraph" w:styleId="FORMATTEXT" w:customStyle="1">
    <w:name w:val=".FORMATTEXT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34" w:customStyle="1">
    <w:name w:val="Содержимое врезки"/>
    <w:basedOn w:val="Normal"/>
    <w:qFormat/>
    <w:pPr/>
    <w:rPr/>
  </w:style>
  <w:style w:type="paragraph" w:styleId="Style3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6" w:customStyle="1">
    <w:name w:val="Заголовок таблицы"/>
    <w:basedOn w:val="Style35"/>
    <w:qFormat/>
    <w:pPr>
      <w:jc w:val="center"/>
    </w:pPr>
    <w:rPr>
      <w:b/>
      <w:bCs/>
    </w:rPr>
  </w:style>
  <w:style w:type="paragraph" w:styleId="Style37" w:customStyle="1">
    <w:name w:val="Текст в заданном формате"/>
    <w:basedOn w:val="Normal"/>
    <w:qFormat/>
    <w:pPr/>
    <w:rPr>
      <w:rFonts w:ascii="Liberation Mono" w:hAnsi="Liberation Mono" w:eastAsia="Liberation Mono" w:cs="Liberation Mono"/>
      <w:sz w:val="20"/>
      <w:szCs w:val="20"/>
    </w:rPr>
  </w:style>
  <w:style w:type="paragraph" w:styleId="Style38" w:customStyle="1">
    <w:name w:val="Заголовок списка"/>
    <w:basedOn w:val="Normal"/>
    <w:next w:val="Style39"/>
    <w:qFormat/>
    <w:pPr/>
    <w:rPr/>
  </w:style>
  <w:style w:type="paragraph" w:styleId="Style39" w:customStyle="1">
    <w:name w:val="Содержимое списка"/>
    <w:basedOn w:val="Normal"/>
    <w:qFormat/>
    <w:pPr>
      <w:ind w:hanging="0" w:left="567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qFormat/>
  </w:style>
  <w:style w:type="numbering" w:styleId="29" w:customStyle="1">
    <w:name w:val="Стиль2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Application>AlterOffice/2026.2.0.0$Linux_X86_64 LibreOffice_project/bc4ef1adf80b36c7a6365f8ed6cbf29021361edd</Application>
  <AppVersion>15.0000</AppVersion>
  <Pages>24</Pages>
  <Words>6065</Words>
  <Characters>39692</Characters>
  <CharactersWithSpaces>44146</CharactersWithSpaces>
  <Paragraphs>1681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2026-09-08T23:14:00Z</dcterms:created>
  <dc:creator>Быстров Олег Геннадьевич</dc:creator>
  <dc:description/>
  <dc:language>ru-RU</dc:language>
  <cp:lastModifiedBy>sultanovmm@corp.gidroogk.com</cp:lastModifiedBy>
  <cp:lastPrinted>2025-09-24T15:57:00Z</cp:lastPrinted>
  <dcterms:modified xsi:type="dcterms:W3CDTF">2026-09-10T16:25:25Z</dcterms:modified>
  <cp:revision>84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