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3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709"/>
        <w:jc w:val="right"/>
        <w:rPr>
          <w:sz w:val="24"/>
          <w:szCs w:val="24"/>
        </w:rPr>
      </w:pPr>
      <w:r>
        <w:rPr>
          <w:sz w:val="24"/>
          <w:szCs w:val="24"/>
          <w:lang w:val="ru-RU"/>
        </w:rPr>
        <w:t>УТВЕРЖДАЮ</w:t>
      </w:r>
    </w:p>
    <w:p>
      <w:pPr>
        <w:pStyle w:val="Normal"/>
        <w:ind w:firstLine="709"/>
        <w:jc w:val="right"/>
        <w:rPr>
          <w:sz w:val="24"/>
          <w:szCs w:val="24"/>
        </w:rPr>
      </w:pPr>
      <w:r>
        <w:rPr>
          <w:sz w:val="24"/>
          <w:szCs w:val="24"/>
          <w:lang w:val="ru-RU"/>
        </w:rPr>
        <w:t>Д</w:t>
      </w:r>
      <w:r>
        <w:rPr>
          <w:sz w:val="24"/>
          <w:szCs w:val="24"/>
          <w:lang w:val="ru-RU"/>
        </w:rPr>
        <w:t xml:space="preserve">иректор  Центрального филиала </w:t>
      </w:r>
    </w:p>
    <w:p>
      <w:pPr>
        <w:pStyle w:val="Normal"/>
        <w:ind w:firstLine="709"/>
        <w:jc w:val="right"/>
        <w:rPr>
          <w:sz w:val="24"/>
          <w:szCs w:val="24"/>
        </w:rPr>
      </w:pPr>
      <w:r>
        <w:rPr>
          <w:sz w:val="24"/>
          <w:szCs w:val="24"/>
          <w:lang w:val="ru-RU"/>
        </w:rPr>
        <w:t>АО «ТК РусГидро»</w:t>
      </w:r>
    </w:p>
    <w:p>
      <w:pPr>
        <w:pStyle w:val="Normal"/>
        <w:ind w:firstLine="709"/>
        <w:jc w:val="right"/>
        <w:rPr>
          <w:sz w:val="24"/>
          <w:szCs w:val="24"/>
        </w:rPr>
      </w:pPr>
      <w:r>
        <w:rPr>
          <w:sz w:val="24"/>
          <w:szCs w:val="24"/>
          <w:lang w:val="ru-RU"/>
        </w:rPr>
        <w:t>_______________</w:t>
      </w:r>
      <w:r>
        <w:rPr>
          <w:sz w:val="24"/>
          <w:szCs w:val="24"/>
          <w:lang w:val="ru-RU"/>
        </w:rPr>
        <w:t>М.В. Нешев</w:t>
      </w:r>
    </w:p>
    <w:p>
      <w:pPr>
        <w:pStyle w:val="Normal"/>
        <w:ind w:firstLine="709"/>
        <w:jc w:val="right"/>
        <w:rPr>
          <w:sz w:val="24"/>
          <w:szCs w:val="24"/>
        </w:rPr>
      </w:pPr>
      <w:r>
        <w:rPr>
          <w:sz w:val="24"/>
          <w:szCs w:val="24"/>
          <w:lang w:val="ru-RU"/>
        </w:rPr>
        <w:t>«____»________________2026 г.</w:t>
      </w:r>
    </w:p>
    <w:p>
      <w:pPr>
        <w:pStyle w:val="Normal"/>
        <w:keepNext w:val="true"/>
        <w:keepLines/>
        <w:rPr>
          <w:color w:val="FFFFFF" w:themeColor="background1"/>
          <w:sz w:val="26"/>
          <w:szCs w:val="26"/>
        </w:rPr>
      </w:pPr>
      <w:r>
        <w:rPr>
          <w:color w:val="FFFFFF" w:themeColor="background1"/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Технические требования на оказание услуг</w:t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 xml:space="preserve">ОКПД 2: 50.40.19.900 «Перевозка дорожно-строительной техники по маршруту: Московская область, пгт Богородское — </w:t>
      </w:r>
      <w:r>
        <w:rPr>
          <w:rFonts w:eastAsia="Calibri"/>
          <w:b/>
          <w:sz w:val="26"/>
          <w:szCs w:val="26"/>
          <w:shd w:fill="FFFF00" w:val="clear"/>
        </w:rPr>
        <w:t xml:space="preserve">пгт Серебряный Бор Нерюнгринского района Республики Саха (Якутия) </w:t>
      </w:r>
      <w:r>
        <w:rPr>
          <w:rFonts w:eastAsia="Calibri"/>
          <w:b/>
          <w:sz w:val="26"/>
          <w:szCs w:val="26"/>
        </w:rPr>
        <w:t xml:space="preserve">для нужд Центрального филиала </w:t>
        <w:br/>
        <w:t>АО «ТК РусГидро»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center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</w:r>
    </w:p>
    <w:p>
      <w:pPr>
        <w:pStyle w:val="Normal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Лот № </w:t>
      </w:r>
      <w:r>
        <w:rPr>
          <w:b/>
          <w:sz w:val="26"/>
          <w:szCs w:val="26"/>
        </w:rPr>
        <w:t>____________________________</w:t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p>
      <w:pPr>
        <w:pStyle w:val="Normal"/>
        <w:jc w:val="center"/>
        <w:rPr>
          <w:b/>
        </w:rPr>
      </w:pPr>
      <w:r>
        <w:rPr>
          <w:b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left" w:pos="709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r>
            <w:fldChar w:fldCharType="begin"/>
          </w:r>
          <w:r>
            <w:rPr>
              <w:webHidden/>
              <w:rStyle w:val="Style14"/>
              <w:vanish w:val="false"/>
            </w:rPr>
            <w:instrText xml:space="preserve"> TOC \z \o "1-4" \u \h</w:instrText>
          </w:r>
          <w:r>
            <w:rPr>
              <w:webHidden/>
              <w:rStyle w:val="Style14"/>
              <w:vanish w:val="false"/>
            </w:rPr>
            <w:fldChar w:fldCharType="separate"/>
          </w:r>
          <w:hyperlink w:anchor="_Toc224652578">
            <w:r>
              <w:rPr>
                <w:webHidden/>
                <w:rStyle w:val="Style14"/>
                <w:vanish w:val="false"/>
              </w:rPr>
              <w:t>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</w:rPr>
              <w:t>Общие сведения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_Toc224652578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224652579">
            <w:r>
              <w:rPr>
                <w:webHidden/>
                <w:rStyle w:val="Style14"/>
                <w:iCs/>
                <w:vanish w:val="false"/>
              </w:rPr>
              <w:t>1.1.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Обозначения и сокращения…………………………………………………………………………………..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_Toc224652579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224652580">
            <w:r>
              <w:rPr>
                <w:webHidden/>
                <w:rStyle w:val="Style14"/>
                <w:iCs/>
                <w:vanish w:val="false"/>
              </w:rPr>
              <w:t>1.2.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Наименование закупаемой продукции………………………………………………………………………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_Toc224652580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/>
          </w:pPr>
          <w:hyperlink w:anchor="_Toc224652581">
            <w:r>
              <w:rPr>
                <w:webHidden/>
                <w:rStyle w:val="Style14"/>
                <w:iCs/>
                <w:vanish w:val="false"/>
              </w:rPr>
              <w:t>1.3.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Цель оказания услуг…………………………………………………………………………………………..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_Toc224652581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Normal"/>
            <w:rPr>
              <w:rFonts w:eastAsia="" w:eastAsiaTheme="minorEastAsia"/>
              <w:sz w:val="22"/>
              <w:szCs w:val="22"/>
            </w:rPr>
          </w:pPr>
          <w:r>
            <w:rPr>
              <w:rFonts w:eastAsia="" w:eastAsiaTheme="minorEastAsia"/>
              <w:sz w:val="20"/>
              <w:szCs w:val="20"/>
            </w:rPr>
            <w:t xml:space="preserve">           </w:t>
          </w:r>
          <w:r>
            <w:rPr>
              <w:rFonts w:eastAsia="" w:eastAsiaTheme="minorEastAsia"/>
              <w:sz w:val="20"/>
              <w:szCs w:val="20"/>
            </w:rPr>
            <w:t>1.4.      Существующее положение…………………………………...………………………………………………3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224652583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_Toc224652583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vanish w:val="false"/>
              </w:rPr>
              <w:t>Таблица 1. Перечень объектов заказчика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224652584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_Toc224652584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vanish w:val="false"/>
              </w:rPr>
              <w:t>1.5. 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 этапе исполнения договора)………………………………………………………………………………………………………………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709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224652585">
            <w:r>
              <w:rPr>
                <w:webHidden/>
                <w:rStyle w:val="Style14"/>
                <w:vanish w:val="false"/>
              </w:rPr>
              <w:t>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iCs/>
              </w:rPr>
              <w:t>Требования к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_Toc224652585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224652586">
            <w:r>
              <w:rPr>
                <w:webHidden/>
                <w:rStyle w:val="Style14"/>
                <w:iCs/>
                <w:vanish w:val="false"/>
              </w:rPr>
              <w:t>2.1.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Требования к объемам и срокам оказания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_Toc224652586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224652587">
            <w:r>
              <w:rPr>
                <w:webHidden/>
                <w:rStyle w:val="Style14"/>
                <w:vanish w:val="false"/>
              </w:rPr>
              <w:t>2.1.1.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Требования к перечню и объему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_Toc224652587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224652588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_Toc224652588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vanish w:val="false"/>
              </w:rPr>
              <w:t>Таблица 2. Перечень и объем оказываемых услуг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224652589">
            <w:r>
              <w:rPr>
                <w:webHidden/>
                <w:rStyle w:val="Style14"/>
                <w:vanish w:val="false"/>
              </w:rPr>
              <w:t>2.1.2.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Требования к срокам оказания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_Toc224652589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224652590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_Toc224652590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vanish w:val="false"/>
              </w:rPr>
              <w:t>Таблица 3. Требования к срокам оказания услуг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224652591">
            <w:r>
              <w:rPr>
                <w:webHidden/>
                <w:rStyle w:val="Style14"/>
                <w:iCs/>
                <w:vanish w:val="false"/>
              </w:rPr>
              <w:t>2.2.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rStyle w:val="Style14"/>
              </w:rPr>
              <w:t>Требования к качеству продукции…………………………………………………………………………..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_Toc224652591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vanish w:val="false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  <w:r>
            <w:rPr>
              <w:rStyle w:val="Style14"/>
              <w:vanish w:val="false"/>
            </w:rPr>
            <w:fldChar w:fldCharType="end"/>
          </w:r>
        </w:p>
      </w:sdtContent>
    </w:sdt>
    <w:p>
      <w:pPr>
        <w:pStyle w:val="TOC1"/>
        <w:tabs>
          <w:tab w:val="clear" w:pos="708"/>
          <w:tab w:val="left" w:pos="709" w:leader="none"/>
          <w:tab w:val="right" w:pos="9911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Cs w:val="false"/>
          <w:sz w:val="22"/>
          <w:szCs w:val="22"/>
        </w:rPr>
      </w:pPr>
      <w:r>
        <w:rPr>
          <w:rStyle w:val="Style14"/>
        </w:rPr>
        <w:t>3. Требования к документации по ценообразованию на этапе закупки……………………….7</w:t>
      </w:r>
    </w:p>
    <w:p>
      <w:pPr>
        <w:pStyle w:val="TOC1"/>
        <w:tabs>
          <w:tab w:val="clear" w:pos="708"/>
          <w:tab w:val="left" w:pos="709" w:leader="none"/>
          <w:tab w:val="right" w:pos="9911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Cs w:val="false"/>
          <w:sz w:val="22"/>
          <w:szCs w:val="22"/>
        </w:rPr>
      </w:pPr>
      <w:r>
        <w:rPr>
          <w:rFonts w:eastAsia="" w:cs="" w:cstheme="minorBidi" w:eastAsiaTheme="minorEastAsia" w:ascii="Calibri" w:hAnsi="Calibri"/>
          <w:b w:val="false"/>
          <w:bCs w:val="false"/>
          <w:sz w:val="22"/>
          <w:szCs w:val="22"/>
        </w:rPr>
      </w:r>
    </w:p>
    <w:p>
      <w:pPr>
        <w:pStyle w:val="TOC3"/>
        <w:rPr>
          <w:rFonts w:ascii="Calibri" w:hAnsi="Calibri" w:eastAsia="" w:cs="" w:asciiTheme="minorHAnsi" w:cstheme="minorBidi" w:eastAsiaTheme="minorEastAsia" w:hAnsiTheme="minorHAnsi"/>
          <w:sz w:val="22"/>
          <w:szCs w:val="22"/>
        </w:rPr>
      </w:pPr>
      <w:r>
        <w:rPr>
          <w:rFonts w:eastAsia="" w:cs="" w:cstheme="minorBidi" w:eastAsiaTheme="minorEastAsia" w:ascii="Calibri" w:hAnsi="Calibri"/>
          <w:sz w:val="22"/>
          <w:szCs w:val="22"/>
        </w:rPr>
      </w:r>
    </w:p>
    <w:p>
      <w:pPr>
        <w:pStyle w:val="TOC1"/>
        <w:tabs>
          <w:tab w:val="clear" w:pos="708"/>
          <w:tab w:val="left" w:pos="709" w:leader="none"/>
          <w:tab w:val="right" w:pos="9911" w:leader="dot"/>
        </w:tabs>
        <w:rPr>
          <w:rFonts w:ascii="Calibri" w:hAnsi="Calibri" w:eastAsia="" w:cs="" w:asciiTheme="minorHAnsi" w:cstheme="minorBidi" w:eastAsiaTheme="minorEastAsia" w:hAnsiTheme="minorHAnsi"/>
          <w:b w:val="false"/>
          <w:bCs w:val="false"/>
          <w:sz w:val="22"/>
          <w:szCs w:val="22"/>
        </w:rPr>
      </w:pPr>
      <w:r>
        <w:rPr>
          <w:rFonts w:eastAsia="" w:cs="" w:cstheme="minorBidi" w:eastAsiaTheme="minorEastAsia" w:ascii="Calibri" w:hAnsi="Calibri"/>
          <w:b w:val="false"/>
          <w:bCs w:val="false"/>
          <w:sz w:val="22"/>
          <w:szCs w:val="22"/>
        </w:rPr>
      </w:r>
    </w:p>
    <w:p>
      <w:pPr>
        <w:pStyle w:val="Heading2"/>
        <w:tabs>
          <w:tab w:val="clear" w:pos="0"/>
        </w:tabs>
        <w:ind w:left="0" w:hanging="0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caps/>
          <w:lang w:val="ru-RU"/>
        </w:rPr>
      </w:pPr>
      <w:bookmarkStart w:id="0" w:name="_Toc224652578"/>
      <w:r>
        <w:rPr>
          <w:lang w:val="ru-RU"/>
        </w:rPr>
        <w:t>Общие сведения</w:t>
      </w:r>
      <w:bookmarkEnd w:id="0"/>
    </w:p>
    <w:p>
      <w:pPr>
        <w:pStyle w:val="Heading4"/>
        <w:numPr>
          <w:ilvl w:val="1"/>
          <w:numId w:val="3"/>
        </w:numPr>
        <w:rPr/>
      </w:pPr>
      <w:bookmarkStart w:id="1" w:name="_Toc46743505"/>
      <w:bookmarkStart w:id="2" w:name="_Toc224652579"/>
      <w:r>
        <w:rPr/>
        <w:t>Обозначения и сокращения</w:t>
      </w:r>
      <w:bookmarkEnd w:id="1"/>
      <w:bookmarkEnd w:id="2"/>
    </w:p>
    <w:p>
      <w:pPr>
        <w:pStyle w:val="Normal"/>
        <w:rPr>
          <w:rStyle w:val="Style8"/>
          <w:b w:val="false"/>
          <w:bCs/>
          <w:iCs/>
          <w:sz w:val="26"/>
          <w:szCs w:val="26"/>
        </w:rPr>
      </w:pPr>
      <w:r>
        <w:rPr>
          <w:b w:val="false"/>
          <w:bCs/>
          <w:iCs/>
          <w:sz w:val="26"/>
          <w:szCs w:val="26"/>
        </w:rPr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785"/>
        <w:gridCol w:w="7997"/>
      </w:tblGrid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ТТ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Технические требования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УПД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универсальный передаточный документ</w:t>
            </w:r>
          </w:p>
        </w:tc>
      </w:tr>
    </w:tbl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4"/>
        <w:numPr>
          <w:ilvl w:val="1"/>
          <w:numId w:val="3"/>
        </w:numPr>
        <w:rPr/>
      </w:pPr>
      <w:bookmarkStart w:id="3" w:name="_Toc224652580"/>
      <w:r>
        <w:rPr/>
        <w:t>Наименование закупаемой продукции</w:t>
      </w:r>
      <w:bookmarkEnd w:id="3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ОКПД 2: 50.40.19.900 «Перевозка дорожно-строительной техники по маршруту: Московская область, пгт Богородское — </w:t>
      </w:r>
      <w:r>
        <w:rPr>
          <w:rFonts w:eastAsia="Calibri"/>
          <w:sz w:val="24"/>
          <w:szCs w:val="24"/>
          <w:shd w:fill="FFFF00" w:val="clear"/>
        </w:rPr>
        <w:t>пгт Серебряный Бор Нерюнгринского района Республики Саха (Якутия)</w:t>
      </w:r>
      <w:r>
        <w:rPr>
          <w:rFonts w:eastAsia="Calibri"/>
          <w:sz w:val="24"/>
          <w:szCs w:val="24"/>
        </w:rPr>
        <w:t xml:space="preserve"> для нужд Центрального филиала АО «ТК РусГидро» </w:t>
      </w:r>
    </w:p>
    <w:p>
      <w:pPr>
        <w:pStyle w:val="Heading4"/>
        <w:numPr>
          <w:ilvl w:val="1"/>
          <w:numId w:val="3"/>
        </w:numPr>
        <w:spacing w:before="240" w:after="60"/>
        <w:ind w:left="431" w:hanging="431"/>
        <w:rPr/>
      </w:pPr>
      <w:bookmarkStart w:id="4" w:name="_Toc224652581"/>
      <w:bookmarkStart w:id="5" w:name="_Toc46743507"/>
      <w:r>
        <w:rPr/>
        <w:t xml:space="preserve">Цель </w:t>
      </w:r>
      <w:bookmarkEnd w:id="5"/>
      <w:r>
        <w:rPr>
          <w:lang w:val="ru-RU"/>
        </w:rPr>
        <w:t>оказания услуг</w:t>
      </w:r>
      <w:bookmarkEnd w:id="4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>
          <w:rFonts w:eastAsia="Times New Roman"/>
          <w:b w:val="false"/>
          <w:sz w:val="24"/>
          <w:szCs w:val="24"/>
          <w:lang w:val="ru-RU" w:eastAsia="ru-RU"/>
        </w:rPr>
      </w:pPr>
      <w:bookmarkStart w:id="6" w:name="_Toc210033219"/>
      <w:bookmarkStart w:id="7" w:name="_Toc224652582"/>
      <w:r>
        <w:rPr>
          <w:rFonts w:eastAsia="Times New Roman"/>
          <w:b w:val="false"/>
          <w:sz w:val="24"/>
          <w:szCs w:val="24"/>
          <w:lang w:val="ru-RU" w:eastAsia="ru-RU"/>
        </w:rPr>
        <w:t>Перебазировка дорожно-строительной техники в Нерюнгринск</w:t>
      </w:r>
      <w:r>
        <w:rPr>
          <w:rFonts w:eastAsia="Times New Roman"/>
          <w:b w:val="false"/>
          <w:sz w:val="24"/>
          <w:szCs w:val="24"/>
          <w:lang w:val="ru-RU" w:eastAsia="ru-RU"/>
        </w:rPr>
        <w:t>ий</w:t>
      </w:r>
      <w:r>
        <w:rPr>
          <w:rFonts w:eastAsia="Times New Roman"/>
          <w:b w:val="false"/>
          <w:sz w:val="24"/>
          <w:szCs w:val="24"/>
          <w:lang w:val="ru-RU" w:eastAsia="ru-RU"/>
        </w:rPr>
        <w:t xml:space="preserve"> район, Республики Саха (Якутия) в рамках </w:t>
      </w:r>
      <w:bookmarkEnd w:id="6"/>
      <w:bookmarkEnd w:id="7"/>
      <w:r>
        <w:rPr>
          <w:rFonts w:eastAsia="Times New Roman"/>
          <w:b w:val="false"/>
          <w:sz w:val="24"/>
          <w:szCs w:val="24"/>
          <w:lang w:val="ru-RU" w:eastAsia="ru-RU"/>
        </w:rPr>
        <w:t xml:space="preserve">исполнения приказа  Исполнительного аппарата  </w:t>
      </w:r>
      <w:r>
        <w:rPr>
          <w:rFonts w:eastAsia="Calibri"/>
          <w:b w:val="false"/>
          <w:sz w:val="24"/>
          <w:szCs w:val="24"/>
          <w:lang w:val="ru-RU" w:eastAsia="ru-RU"/>
        </w:rPr>
        <w:t>АО «ТК РусГидро»</w:t>
      </w:r>
    </w:p>
    <w:p>
      <w:pPr>
        <w:pStyle w:val="Normal"/>
        <w:spacing w:before="240" w:after="60"/>
        <w:rPr>
          <w:b/>
          <w:sz w:val="24"/>
          <w:szCs w:val="24"/>
        </w:rPr>
      </w:pPr>
      <w:r>
        <w:rPr>
          <w:b/>
          <w:sz w:val="24"/>
          <w:szCs w:val="24"/>
        </w:rPr>
        <w:t>1.4. Существующее положение</w:t>
      </w:r>
    </w:p>
    <w:p>
      <w:pPr>
        <w:pStyle w:val="Normal"/>
        <w:spacing w:before="240" w:after="60"/>
        <w:jc w:val="both"/>
        <w:rPr>
          <w:sz w:val="24"/>
          <w:szCs w:val="24"/>
        </w:rPr>
      </w:pPr>
      <w:r>
        <w:rPr>
          <w:sz w:val="24"/>
          <w:szCs w:val="24"/>
        </w:rPr>
        <w:t>Услуги оказываются в отношении дорожно-строительной техники согласно Таблицы 1. Перечень объектов Заказчика</w:t>
      </w:r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>
          <w:sz w:val="24"/>
          <w:szCs w:val="24"/>
          <w:lang w:val="ru-RU"/>
        </w:rPr>
      </w:pPr>
      <w:bookmarkStart w:id="8" w:name="_Toc224652583"/>
      <w:r>
        <w:rPr>
          <w:sz w:val="24"/>
          <w:szCs w:val="24"/>
        </w:rPr>
        <w:t>Таблица 1</w:t>
      </w:r>
      <w:r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Перечень объектов заказчика</w:t>
      </w:r>
      <w:bookmarkEnd w:id="8"/>
    </w:p>
    <w:tbl>
      <w:tblPr>
        <w:tblW w:w="1026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582"/>
        <w:gridCol w:w="2174"/>
        <w:gridCol w:w="3197"/>
        <w:gridCol w:w="2695"/>
        <w:gridCol w:w="1612"/>
      </w:tblGrid>
      <w:tr>
        <w:trPr>
          <w:trHeight w:val="400" w:hRule="atLeast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Расположение объекта </w:t>
              <w:br/>
            </w:r>
            <w:r>
              <w:rPr>
                <w:i/>
                <w:iCs/>
                <w:sz w:val="24"/>
                <w:szCs w:val="24"/>
              </w:rPr>
              <w:t>(место оказания услуг)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основного средства </w:t>
              <w:br/>
              <w:t>(в отношении которого оказываются услуги)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</w:t>
            </w:r>
          </w:p>
        </w:tc>
      </w:tr>
      <w:tr>
        <w:trPr>
          <w:trHeight w:val="400" w:hRule="atLeast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uppressAutoHyphens w:val="true"/>
              <w:bidi w:val="0"/>
              <w:spacing w:before="0" w:after="0"/>
              <w:ind w:left="624" w:right="510" w:hanging="0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</w:tabs>
              <w:spacing w:lineRule="exact" w:line="240"/>
              <w:ind w:left="35" w:hanging="0"/>
              <w:jc w:val="center"/>
              <w:rPr>
                <w:rFonts w:cs="TimesNewRomanPSMT"/>
                <w:b/>
                <w:bCs/>
                <w:iCs/>
                <w:sz w:val="24"/>
                <w:szCs w:val="24"/>
              </w:rPr>
            </w:pPr>
            <w:r>
              <w:rPr>
                <w:rFonts w:cs="TimesNewRomanPSMT"/>
                <w:b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</w:tabs>
              <w:spacing w:lineRule="exact" w:line="240"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5</w:t>
            </w:r>
          </w:p>
        </w:tc>
      </w:tr>
      <w:tr>
        <w:trPr>
          <w:trHeight w:val="1123" w:hRule="atLeast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suppressAutoHyphens w:val="true"/>
              <w:bidi w:val="0"/>
              <w:spacing w:before="0" w:after="0"/>
              <w:ind w:left="624" w:right="567" w:hanging="680"/>
              <w:contextualSpacing/>
              <w:jc w:val="center"/>
              <w:rPr/>
            </w:pPr>
            <w:r>
              <w:rPr/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</w:tabs>
              <w:spacing w:lineRule="exact" w:line="240"/>
              <w:ind w:left="35" w:hanging="0"/>
              <w:jc w:val="center"/>
              <w:rPr>
                <w:rFonts w:cs="TimesNewRomanPSMT"/>
                <w:iCs/>
                <w:sz w:val="24"/>
                <w:szCs w:val="24"/>
              </w:rPr>
            </w:pPr>
            <w:r>
              <w:rPr>
                <w:rFonts w:cs="TimesNewRomanPSMT"/>
                <w:iCs/>
                <w:sz w:val="24"/>
                <w:szCs w:val="24"/>
              </w:rPr>
              <w:t>Грунтовый каток XCMG XS163</w:t>
            </w:r>
          </w:p>
        </w:tc>
        <w:tc>
          <w:tcPr>
            <w:tcW w:w="3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Место нахождения (погрузки)</w:t>
            </w:r>
          </w:p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Московская область, </w:t>
            </w:r>
            <w:r>
              <w:rPr>
                <w:iCs/>
                <w:sz w:val="24"/>
                <w:szCs w:val="24"/>
              </w:rPr>
              <w:t xml:space="preserve">Сергиево-Посадский городской округ, </w:t>
            </w:r>
            <w:r>
              <w:rPr>
                <w:iCs/>
                <w:sz w:val="24"/>
                <w:szCs w:val="24"/>
              </w:rPr>
              <w:t>пгт Богородское</w:t>
            </w:r>
          </w:p>
        </w:tc>
        <w:tc>
          <w:tcPr>
            <w:tcW w:w="2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93" w:leader="none"/>
              </w:tabs>
              <w:spacing w:lineRule="exact" w:line="24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Габариты (ДхШхВ) 6200×2300×3200 мм. 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93" w:leader="none"/>
              </w:tabs>
              <w:spacing w:lineRule="exact" w:line="24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Масса транспортного средства в снаряженном состоянии 16 000 кг.</w:t>
            </w:r>
          </w:p>
        </w:tc>
        <w:tc>
          <w:tcPr>
            <w:tcW w:w="1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 ед.</w:t>
            </w:r>
          </w:p>
        </w:tc>
      </w:tr>
    </w:tbl>
    <w:p>
      <w:pPr>
        <w:pStyle w:val="Heading4"/>
        <w:tabs>
          <w:tab w:val="clear" w:pos="0"/>
        </w:tabs>
        <w:ind w:left="0" w:hanging="0"/>
        <w:jc w:val="both"/>
        <w:rPr/>
      </w:pPr>
      <w:bookmarkStart w:id="9" w:name="_Toc200980028"/>
      <w:bookmarkStart w:id="10" w:name="_Toc224652584"/>
      <w:r>
        <w:rPr>
          <w:lang w:val="ru-RU"/>
        </w:rPr>
        <w:t xml:space="preserve">1.5. </w:t>
      </w:r>
      <w:r>
        <w:rPr/>
        <w:t xml:space="preserve">Информация в отношении исполнения договора, </w:t>
      </w:r>
      <w:bookmarkStart w:id="11" w:name="_Hlk46492347"/>
      <w:r>
        <w:rPr/>
        <w:t xml:space="preserve">которая должна быть учтена при подготовке заявки </w:t>
      </w:r>
      <w:bookmarkEnd w:id="11"/>
      <w:r>
        <w:rPr/>
        <w:t xml:space="preserve">(в том числе перечень ресурсов, услуг и документов, предоставляемых </w:t>
      </w:r>
      <w:r>
        <w:rPr>
          <w:lang w:val="ru-RU"/>
        </w:rPr>
        <w:t>заказчиком</w:t>
      </w:r>
      <w:r>
        <w:rPr/>
        <w:t xml:space="preserve"> на этапе исполнения договора)</w:t>
      </w:r>
      <w:bookmarkEnd w:id="9"/>
      <w:bookmarkEnd w:id="10"/>
    </w:p>
    <w:p>
      <w:pPr>
        <w:pStyle w:val="Normal"/>
        <w:widowControl w:val="false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1.5.1. Грузоотправитель и адрес места нахождения груза: </w:t>
      </w:r>
      <w:r>
        <w:rPr>
          <w:rFonts w:eastAsia="Calibri"/>
          <w:sz w:val="24"/>
          <w:szCs w:val="24"/>
        </w:rPr>
        <w:t>Центральный</w:t>
      </w:r>
      <w:r>
        <w:rPr>
          <w:rFonts w:eastAsia="Calibri"/>
          <w:sz w:val="24"/>
          <w:szCs w:val="24"/>
        </w:rPr>
        <w:t xml:space="preserve"> филиал АО «ТК РусГидро», Московская область,  Сергиево-Посадский городской округ, пгт Богородское. Погрузка груза в месте отправки осуществляется силами и средствами Исполнителя.</w:t>
      </w:r>
    </w:p>
    <w:p>
      <w:pPr>
        <w:pStyle w:val="Normal"/>
        <w:widowControl w:val="false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1.5.2. Грузополучатель и адрес места доставки груза: Дальневосточный филиал АО «ТК РусГидро», </w:t>
      </w:r>
      <w:r>
        <w:rPr>
          <w:rFonts w:eastAsia="Calibri"/>
          <w:sz w:val="24"/>
          <w:szCs w:val="24"/>
          <w:shd w:fill="FFFF00" w:val="clear"/>
        </w:rPr>
        <w:t>пгт Серебряный Бор Нерюнгринского района Республики Саха (Якутия)</w:t>
      </w:r>
      <w:r>
        <w:rPr>
          <w:rFonts w:eastAsia="Calibri"/>
          <w:sz w:val="24"/>
          <w:szCs w:val="24"/>
        </w:rPr>
        <w:t>. Разгрузка груза в месте доставки осуществляется силами и средствами Исполнителя.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1.5.3. Способ транспортировки груза: транспортировка любым видом транспорта, исключающим самостоятельное движение ТС.</w:t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iCs/>
          <w:caps/>
          <w:lang w:val="ru-RU"/>
        </w:rPr>
      </w:pPr>
      <w:bookmarkStart w:id="12" w:name="_Toc224652585"/>
      <w:r>
        <w:rPr>
          <w:iCs/>
          <w:lang w:val="ru-RU"/>
        </w:rPr>
        <w:t>Требования</w:t>
      </w:r>
      <w:r>
        <w:rPr>
          <w:iCs/>
        </w:rPr>
        <w:t xml:space="preserve"> к продукции</w:t>
      </w:r>
      <w:bookmarkEnd w:id="12"/>
    </w:p>
    <w:p>
      <w:pPr>
        <w:pStyle w:val="Heading4"/>
        <w:numPr>
          <w:ilvl w:val="1"/>
          <w:numId w:val="3"/>
        </w:numPr>
        <w:rPr/>
      </w:pPr>
      <w:bookmarkStart w:id="13" w:name="_Toc224652586"/>
      <w:r>
        <w:rPr/>
        <w:t xml:space="preserve">Требования к объемам и срокам </w:t>
      </w:r>
      <w:r>
        <w:rPr>
          <w:lang w:val="ru-RU"/>
        </w:rPr>
        <w:t>оказания услуг</w:t>
      </w:r>
      <w:bookmarkEnd w:id="13"/>
    </w:p>
    <w:p>
      <w:pPr>
        <w:pStyle w:val="Heading3"/>
        <w:numPr>
          <w:ilvl w:val="2"/>
          <w:numId w:val="3"/>
        </w:numPr>
        <w:rPr/>
      </w:pPr>
      <w:bookmarkStart w:id="14" w:name="_Toc224652587"/>
      <w:r>
        <w:rPr>
          <w:lang w:val="ru-RU"/>
        </w:rPr>
        <w:t>Требования к перечню и объему услуг</w:t>
      </w:r>
      <w:bookmarkEnd w:id="14"/>
    </w:p>
    <w:p>
      <w:pPr>
        <w:pStyle w:val="Heading1"/>
        <w:keepLines/>
        <w:tabs>
          <w:tab w:val="clear" w:pos="0"/>
        </w:tabs>
        <w:spacing w:before="0" w:after="60"/>
        <w:ind w:left="0" w:hanging="0"/>
        <w:rPr>
          <w:sz w:val="24"/>
          <w:szCs w:val="24"/>
          <w:lang w:val="ru-RU"/>
        </w:rPr>
      </w:pPr>
      <w:bookmarkStart w:id="15" w:name="_Toc224652588"/>
      <w:bookmarkStart w:id="16" w:name="_Toc51339695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Перечень </w:t>
      </w:r>
      <w:bookmarkEnd w:id="16"/>
      <w:r>
        <w:rPr>
          <w:sz w:val="24"/>
          <w:szCs w:val="24"/>
          <w:lang w:val="ru-RU"/>
        </w:rPr>
        <w:t>и объем оказываемых услуг</w:t>
      </w:r>
      <w:bookmarkEnd w:id="15"/>
    </w:p>
    <w:tbl>
      <w:tblPr>
        <w:tblW w:w="992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0" w:val="0000" w:noHBand="0" w:lastColumn="0" w:firstColumn="0" w:lastRow="0" w:firstRow="0"/>
      </w:tblPr>
      <w:tblGrid>
        <w:gridCol w:w="956"/>
        <w:gridCol w:w="6553"/>
        <w:gridCol w:w="1435"/>
        <w:gridCol w:w="979"/>
      </w:tblGrid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6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 / этапа услуг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rPr/>
            </w:pPr>
            <w:r>
              <w:rPr/>
            </w:r>
          </w:p>
        </w:tc>
        <w:tc>
          <w:tcPr>
            <w:tcW w:w="6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ОКПД 2: 50.40.19.900 «Перевозка дорожно-строительной техники по маршруту: Московская область, пгт Богородское — пгт Серебряный Бор Нерюнгринского района Республики Саха (Якутия) для нужд Центрального филиала АО «ТК РусГидро»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 ед.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</w:tbl>
    <w:p>
      <w:pPr>
        <w:pStyle w:val="Heading3"/>
        <w:numPr>
          <w:ilvl w:val="2"/>
          <w:numId w:val="3"/>
        </w:numPr>
        <w:rPr>
          <w:lang w:val="ru-RU"/>
        </w:rPr>
      </w:pPr>
      <w:bookmarkStart w:id="17" w:name="_Toc224652589"/>
      <w:bookmarkStart w:id="18" w:name="_Toc51339696"/>
      <w:r>
        <w:rPr>
          <w:lang w:val="ru-RU"/>
        </w:rPr>
        <w:t xml:space="preserve">Требования </w:t>
      </w:r>
      <w:bookmarkEnd w:id="18"/>
      <w:r>
        <w:rPr>
          <w:lang w:val="ru-RU"/>
        </w:rPr>
        <w:t>к срокам оказания услуг</w:t>
      </w:r>
      <w:bookmarkEnd w:id="17"/>
    </w:p>
    <w:p>
      <w:pPr>
        <w:pStyle w:val="Heading1"/>
        <w:tabs>
          <w:tab w:val="clear" w:pos="0"/>
        </w:tabs>
        <w:ind w:left="4678" w:hanging="4678"/>
        <w:rPr>
          <w:sz w:val="24"/>
          <w:szCs w:val="24"/>
        </w:rPr>
      </w:pPr>
      <w:bookmarkStart w:id="19" w:name="_Toc224652590"/>
      <w:r>
        <w:rPr>
          <w:sz w:val="24"/>
          <w:szCs w:val="24"/>
        </w:rPr>
        <w:t>Таблица 3. Требования к срокам оказания услуг</w:t>
      </w:r>
      <w:bookmarkEnd w:id="19"/>
    </w:p>
    <w:tbl>
      <w:tblPr>
        <w:tblW w:w="10201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841"/>
        <w:gridCol w:w="3295"/>
        <w:gridCol w:w="2526"/>
        <w:gridCol w:w="3538"/>
      </w:tblGrid>
      <w:tr>
        <w:trPr/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услуг/ этапа услуг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оказания услуг/ этапа услуг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оказания услуг / этапа услуг</w:t>
            </w:r>
          </w:p>
        </w:tc>
      </w:tr>
      <w:tr>
        <w:trPr>
          <w:trHeight w:val="150" w:hRule="atLeast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>
          <w:trHeight w:val="410" w:hRule="atLeast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jc w:val="center"/>
              <w:rPr/>
            </w:pPr>
            <w:r>
              <w:rPr/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ОКПД2: 50.40.19.900 «Перевозка дорожно-строительной техники по маршруту: Московская область, пгт Богородское — пгт Серебряный Бор Нерюнгринского района Республики Саха (Якутия) для нужд Центрального филиала АО «ТК РусГидро»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 момента подачи заявки от Заказчика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jc w:val="center"/>
              <w:rPr/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 течение 20 (двадцати) календарных дней после подписания Сторонами заявки. </w:t>
            </w:r>
            <w:bookmarkStart w:id="20" w:name="_GoBack"/>
            <w:bookmarkEnd w:id="20"/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4"/>
        <w:numPr>
          <w:ilvl w:val="1"/>
          <w:numId w:val="3"/>
        </w:numPr>
        <w:rPr>
          <w:lang w:val="ru-RU"/>
        </w:rPr>
      </w:pPr>
      <w:bookmarkStart w:id="21" w:name="_Toc224652591"/>
      <w:bookmarkStart w:id="22" w:name="_Toc200980035"/>
      <w:bookmarkStart w:id="23" w:name="_Toc46743511"/>
      <w:bookmarkStart w:id="24" w:name="_Toc50125131"/>
      <w:bookmarkStart w:id="25" w:name="_Toc51339698"/>
      <w:bookmarkEnd w:id="24"/>
      <w:bookmarkEnd w:id="25"/>
      <w:r>
        <w:rPr/>
        <w:t xml:space="preserve">Требования к </w:t>
      </w:r>
      <w:bookmarkEnd w:id="23"/>
      <w:r>
        <w:rPr>
          <w:lang w:val="ru-RU"/>
        </w:rPr>
        <w:t xml:space="preserve">качеству </w:t>
      </w:r>
      <w:bookmarkEnd w:id="22"/>
      <w:r>
        <w:rPr>
          <w:lang w:val="ru-RU"/>
        </w:rPr>
        <w:t>продукции</w:t>
      </w:r>
      <w:bookmarkEnd w:id="21"/>
    </w:p>
    <w:p>
      <w:pPr>
        <w:pStyle w:val="Normal"/>
        <w:rPr>
          <w:b/>
          <w:sz w:val="24"/>
          <w:lang w:eastAsia="x-none"/>
        </w:rPr>
      </w:pPr>
      <w:r>
        <w:rPr>
          <w:b/>
          <w:sz w:val="24"/>
          <w:lang w:eastAsia="x-none"/>
        </w:rPr>
        <w:t>Таблица 4. Требования к качеству продукции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Наименование услуг: </w:t>
      </w:r>
      <w:r>
        <w:rPr>
          <w:b w:val="false"/>
          <w:bCs w:val="false"/>
          <w:sz w:val="24"/>
          <w:szCs w:val="24"/>
        </w:rPr>
        <w:t>ОКПД 2: 50.40.19.900 «Перевозка дорожно-строительной техники по маршруту: Московская область, пгт Богородское — пгт Серебряный Бор Нерюнгринского района Республики Саха (Якутия) для нужд Центрального филиала АО «ТК РусГидро»</w:t>
      </w:r>
    </w:p>
    <w:tbl>
      <w:tblPr>
        <w:tblStyle w:val="affff8"/>
        <w:tblW w:w="1008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676"/>
        <w:gridCol w:w="2670"/>
        <w:gridCol w:w="3404"/>
        <w:gridCol w:w="3329"/>
      </w:tblGrid>
      <w:tr>
        <w:trPr/>
        <w:tc>
          <w:tcPr>
            <w:tcW w:w="676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2670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Требование заказчика</w:t>
            </w:r>
          </w:p>
        </w:tc>
        <w:tc>
          <w:tcPr>
            <w:tcW w:w="332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</w:tr>
      <w:tr>
        <w:trPr/>
        <w:tc>
          <w:tcPr>
            <w:tcW w:w="67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670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32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требованием/ указание характеристик</w:t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bookmarkStart w:id="26" w:name="_Toc53499667"/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1</w:t>
            </w:r>
            <w:bookmarkEnd w:id="26"/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340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332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07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оказанию услуг</w:t>
            </w:r>
          </w:p>
        </w:tc>
        <w:tc>
          <w:tcPr>
            <w:tcW w:w="3329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113" w:right="907" w:hanging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kern w:val="0"/>
                <w:sz w:val="24"/>
                <w:szCs w:val="24"/>
                <w:lang w:val="ru-RU" w:eastAsia="ru-RU" w:bidi="ar-SA"/>
              </w:rPr>
              <w:t>Участник должен предоставить в заявке согласие оказать услуги, полностью соответствующие настоящим техническим требованиям, по форме Технического предложения, установленной в Документации о закупке.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  <w:bookmarkStart w:id="27" w:name="_Toc200980036"/>
            <w:bookmarkStart w:id="28" w:name="_Toc125378705"/>
            <w:bookmarkStart w:id="29" w:name="_Toc173505764"/>
            <w:bookmarkStart w:id="30" w:name="_Toc173505901"/>
            <w:bookmarkStart w:id="31" w:name="_Toc200980036"/>
            <w:bookmarkStart w:id="32" w:name="_Toc125378705"/>
            <w:bookmarkStart w:id="33" w:name="_Toc173505764"/>
            <w:bookmarkStart w:id="34" w:name="_Toc173505901"/>
            <w:bookmarkEnd w:id="31"/>
            <w:bookmarkEnd w:id="32"/>
            <w:bookmarkEnd w:id="33"/>
            <w:bookmarkEnd w:id="34"/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  <w:bookmarkStart w:id="35" w:name="_Toc200980037"/>
            <w:bookmarkStart w:id="36" w:name="_Toc173505902"/>
            <w:bookmarkStart w:id="37" w:name="_Toc173505765"/>
            <w:bookmarkStart w:id="38" w:name="_Toc125378706"/>
            <w:bookmarkStart w:id="39" w:name="_Toc200980036_Копия_1"/>
            <w:bookmarkStart w:id="40" w:name="_Toc125378705_Копия_1"/>
            <w:bookmarkStart w:id="41" w:name="_Toc173505764_Копия_1"/>
            <w:bookmarkStart w:id="42" w:name="_Toc173505901_Копия_1"/>
            <w:bookmarkStart w:id="43" w:name="_Toc200980037"/>
            <w:bookmarkStart w:id="44" w:name="_Toc173505902"/>
            <w:bookmarkStart w:id="45" w:name="_Toc173505765"/>
            <w:bookmarkStart w:id="46" w:name="_Toc125378706"/>
            <w:bookmarkStart w:id="47" w:name="_Toc200980036_Копия_1"/>
            <w:bookmarkStart w:id="48" w:name="_Toc125378705_Копия_1"/>
            <w:bookmarkStart w:id="49" w:name="_Toc173505764_Копия_1"/>
            <w:bookmarkStart w:id="50" w:name="_Toc173505901_Копия_1"/>
            <w:bookmarkEnd w:id="43"/>
            <w:bookmarkEnd w:id="44"/>
            <w:bookmarkEnd w:id="45"/>
            <w:bookmarkEnd w:id="46"/>
            <w:bookmarkEnd w:id="47"/>
            <w:bookmarkEnd w:id="48"/>
            <w:bookmarkEnd w:id="49"/>
            <w:bookmarkEnd w:id="50"/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  <w:bookmarkStart w:id="51" w:name="_Toc200980038"/>
            <w:bookmarkStart w:id="52" w:name="_Toc173505766"/>
            <w:bookmarkStart w:id="53" w:name="_Toc173505903"/>
            <w:bookmarkStart w:id="54" w:name="_Toc125378707"/>
            <w:bookmarkStart w:id="55" w:name="_Toc200980037_Копия_1"/>
            <w:bookmarkStart w:id="56" w:name="_Toc173505902_Копия_1"/>
            <w:bookmarkStart w:id="57" w:name="_Toc173505765_Копия_1"/>
            <w:bookmarkStart w:id="58" w:name="_Toc125378706_Копия_1"/>
            <w:bookmarkStart w:id="59" w:name="_Toc200980038"/>
            <w:bookmarkStart w:id="60" w:name="_Toc173505766"/>
            <w:bookmarkStart w:id="61" w:name="_Toc173505903"/>
            <w:bookmarkStart w:id="62" w:name="_Toc125378707"/>
            <w:bookmarkStart w:id="63" w:name="_Toc200980037_Копия_1"/>
            <w:bookmarkStart w:id="64" w:name="_Toc173505902_Копия_1"/>
            <w:bookmarkStart w:id="65" w:name="_Toc173505765_Копия_1"/>
            <w:bookmarkStart w:id="66" w:name="_Toc125378706_Копия_1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  <w:bookmarkStart w:id="67" w:name="_Toc200980039"/>
            <w:bookmarkStart w:id="68" w:name="_Toc125378708"/>
            <w:bookmarkStart w:id="69" w:name="_Toc173505767"/>
            <w:bookmarkStart w:id="70" w:name="_Toc173505904"/>
            <w:bookmarkStart w:id="71" w:name="_Toc200980038_Копия_1"/>
            <w:bookmarkStart w:id="72" w:name="_Toc173505766_Копия_1"/>
            <w:bookmarkStart w:id="73" w:name="_Toc173505903_Копия_1"/>
            <w:bookmarkStart w:id="74" w:name="_Toc125378707_Копия_1"/>
            <w:bookmarkStart w:id="75" w:name="_Toc200980039"/>
            <w:bookmarkStart w:id="76" w:name="_Toc125378708"/>
            <w:bookmarkStart w:id="77" w:name="_Toc173505767"/>
            <w:bookmarkStart w:id="78" w:name="_Toc173505904"/>
            <w:bookmarkStart w:id="79" w:name="_Toc200980038_Копия_1"/>
            <w:bookmarkStart w:id="80" w:name="_Toc173505766_Копия_1"/>
            <w:bookmarkStart w:id="81" w:name="_Toc173505903_Копия_1"/>
            <w:bookmarkStart w:id="82" w:name="_Toc125378707_Копия_1"/>
            <w:bookmarkEnd w:id="75"/>
            <w:bookmarkEnd w:id="76"/>
            <w:bookmarkEnd w:id="77"/>
            <w:bookmarkEnd w:id="78"/>
            <w:bookmarkEnd w:id="79"/>
            <w:bookmarkEnd w:id="80"/>
            <w:bookmarkEnd w:id="81"/>
            <w:bookmarkEnd w:id="82"/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  <w:bookmarkStart w:id="83" w:name="_Toc200980040"/>
            <w:bookmarkStart w:id="84" w:name="_Toc173505905"/>
            <w:bookmarkStart w:id="85" w:name="_Toc173505768"/>
            <w:bookmarkStart w:id="86" w:name="_Toc125378709"/>
            <w:bookmarkStart w:id="87" w:name="_Toc200980039_Копия_1"/>
            <w:bookmarkStart w:id="88" w:name="_Toc125378708_Копия_1"/>
            <w:bookmarkStart w:id="89" w:name="_Toc173505767_Копия_1"/>
            <w:bookmarkStart w:id="90" w:name="_Toc173505904_Копия_1"/>
            <w:bookmarkStart w:id="91" w:name="_Toc200980040"/>
            <w:bookmarkStart w:id="92" w:name="_Toc173505905"/>
            <w:bookmarkStart w:id="93" w:name="_Toc173505768"/>
            <w:bookmarkStart w:id="94" w:name="_Toc125378709"/>
            <w:bookmarkStart w:id="95" w:name="_Toc200980039_Копия_1"/>
            <w:bookmarkStart w:id="96" w:name="_Toc125378708_Копия_1"/>
            <w:bookmarkStart w:id="97" w:name="_Toc173505767_Копия_1"/>
            <w:bookmarkStart w:id="98" w:name="_Toc173505904_Копия_1"/>
            <w:bookmarkEnd w:id="91"/>
            <w:bookmarkEnd w:id="92"/>
            <w:bookmarkEnd w:id="93"/>
            <w:bookmarkEnd w:id="94"/>
            <w:bookmarkEnd w:id="95"/>
            <w:bookmarkEnd w:id="96"/>
            <w:bookmarkEnd w:id="97"/>
            <w:bookmarkEnd w:id="98"/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  <w:bookmarkStart w:id="99" w:name="_Toc200980042"/>
            <w:bookmarkStart w:id="100" w:name="_Toc125378713"/>
            <w:bookmarkStart w:id="101" w:name="_Toc173505772"/>
            <w:bookmarkStart w:id="102" w:name="_Toc173505909"/>
            <w:bookmarkStart w:id="103" w:name="_Toc200980040_Копия_1"/>
            <w:bookmarkStart w:id="104" w:name="_Toc173505905_Копия_1"/>
            <w:bookmarkStart w:id="105" w:name="_Toc173505768_Копия_1"/>
            <w:bookmarkStart w:id="106" w:name="_Toc125378709_Копия_1"/>
            <w:bookmarkStart w:id="107" w:name="_Toc200980042"/>
            <w:bookmarkStart w:id="108" w:name="_Toc125378713"/>
            <w:bookmarkStart w:id="109" w:name="_Toc173505772"/>
            <w:bookmarkStart w:id="110" w:name="_Toc173505909"/>
            <w:bookmarkStart w:id="111" w:name="_Toc200980040_Копия_1"/>
            <w:bookmarkStart w:id="112" w:name="_Toc173505905_Копия_1"/>
            <w:bookmarkStart w:id="113" w:name="_Toc173505768_Копия_1"/>
            <w:bookmarkStart w:id="114" w:name="_Toc125378709_Копия_1"/>
            <w:bookmarkEnd w:id="107"/>
            <w:bookmarkEnd w:id="108"/>
            <w:bookmarkEnd w:id="109"/>
            <w:bookmarkEnd w:id="110"/>
            <w:bookmarkEnd w:id="111"/>
            <w:bookmarkEnd w:id="112"/>
            <w:bookmarkEnd w:id="113"/>
            <w:bookmarkEnd w:id="114"/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  <w:bookmarkStart w:id="115" w:name="_Toc200980042_Копия_1"/>
            <w:bookmarkStart w:id="116" w:name="_Toc125378713_Копия_1"/>
            <w:bookmarkStart w:id="117" w:name="_Toc173505772_Копия_1"/>
            <w:bookmarkStart w:id="118" w:name="_Toc173505909_Копия_1"/>
            <w:bookmarkStart w:id="119" w:name="_Toc200980042_Копия_1"/>
            <w:bookmarkStart w:id="120" w:name="_Toc125378713_Копия_1"/>
            <w:bookmarkStart w:id="121" w:name="_Toc173505772_Копия_1"/>
            <w:bookmarkStart w:id="122" w:name="_Toc173505909_Копия_1"/>
            <w:bookmarkEnd w:id="119"/>
            <w:bookmarkEnd w:id="120"/>
            <w:bookmarkEnd w:id="121"/>
            <w:bookmarkEnd w:id="122"/>
          </w:p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074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способам оказания услуг</w:t>
            </w:r>
          </w:p>
        </w:tc>
        <w:tc>
          <w:tcPr>
            <w:tcW w:w="3329" w:type="dxa"/>
            <w:vMerge w:val="continue"/>
            <w:tcBorders/>
            <w:shd w:color="auto" w:fill="auto" w:val="clear"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670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Порядок оказания услуг</w:t>
            </w:r>
          </w:p>
        </w:tc>
        <w:tc>
          <w:tcPr>
            <w:tcW w:w="3404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120" w:after="120"/>
              <w:jc w:val="left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>Перевозка транспортных средств по маршруту Московская область, пгт Богородское — пгт Серебряный Бор Нерюнгринского района Республики Саха (Якутия) должна осуществляться по предварительной заявке Заказчика в любое время, включая выходные и праздничные дни</w:t>
            </w:r>
            <w:r>
              <w:rPr>
                <w:rFonts w:eastAsia="Calibri" w:cs="Arial" w:ascii="Calibri" w:hAnsi="Calibri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</w:p>
        </w:tc>
        <w:tc>
          <w:tcPr>
            <w:tcW w:w="3329" w:type="dxa"/>
            <w:vMerge w:val="continue"/>
            <w:tcBorders/>
            <w:shd w:color="auto" w:fill="auto" w:val="clear"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07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b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процедурам оказания услуг</w:t>
            </w:r>
          </w:p>
        </w:tc>
        <w:tc>
          <w:tcPr>
            <w:tcW w:w="3329" w:type="dxa"/>
            <w:vMerge w:val="continue"/>
            <w:tcBorders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670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Обеспечение целостности и сохранности груза с момента приема к отправке до вручения грузополучателю</w:t>
            </w:r>
          </w:p>
        </w:tc>
        <w:tc>
          <w:tcPr>
            <w:tcW w:w="3404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несёт полную материальную ответственность перед Заказчиком за сохранность, порчу, утрату груза во время всего периода перевозки, с момента передачи груза Исполнителю до момента передачи груза грузополучателю в месте доставки</w:t>
            </w:r>
          </w:p>
        </w:tc>
        <w:tc>
          <w:tcPr>
            <w:tcW w:w="3329" w:type="dxa"/>
            <w:vMerge w:val="continue"/>
            <w:tcBorders/>
            <w:shd w:color="auto" w:fill="auto" w:val="clear"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670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Погрузо-разгрузочные работы</w:t>
            </w:r>
          </w:p>
        </w:tc>
        <w:tc>
          <w:tcPr>
            <w:tcW w:w="3404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 заборе груза по адресу Заказчика, погрузка производятся силами Исполнителя. При доставке груза по адресу Заказчика выгрузка груза производятся силами Исполнителя. При необходимости осуществления межтерминальной перевозки, погрузка и выгрузка груза производятся силами и за счет Исполнителя.</w:t>
            </w:r>
          </w:p>
        </w:tc>
        <w:tc>
          <w:tcPr>
            <w:tcW w:w="3329" w:type="dxa"/>
            <w:vMerge w:val="continue"/>
            <w:tcBorders/>
            <w:shd w:color="auto" w:fill="auto" w:val="clear"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670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Сопроводительная документация</w:t>
            </w:r>
          </w:p>
        </w:tc>
        <w:tc>
          <w:tcPr>
            <w:tcW w:w="3404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обязан обеспечить оформление разрешительной документации, транспортно-сопроводительных документов на перевозку технических средств по маршруту, указанному в таблице № 2 ТТ</w:t>
            </w:r>
          </w:p>
        </w:tc>
        <w:tc>
          <w:tcPr>
            <w:tcW w:w="3329" w:type="dxa"/>
            <w:vMerge w:val="continue"/>
            <w:tcBorders/>
            <w:shd w:color="auto" w:fill="auto" w:val="clear"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6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Складское хранение</w:t>
            </w:r>
          </w:p>
        </w:tc>
        <w:tc>
          <w:tcPr>
            <w:tcW w:w="340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 случае необходимости Исполнитель должен обеспечить согласованное хранение груза на своих складах и/или складах партнеров Исполнителя по направлению (маршруту) перевозки</w:t>
            </w:r>
          </w:p>
        </w:tc>
        <w:tc>
          <w:tcPr>
            <w:tcW w:w="3329" w:type="dxa"/>
            <w:vMerge w:val="continue"/>
            <w:tcBorders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67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Контроль местонахождения груза</w:t>
            </w:r>
          </w:p>
        </w:tc>
        <w:tc>
          <w:tcPr>
            <w:tcW w:w="340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обязан обеспечивать диспетчерский контроль за доставкой груза, при возникновении нештатной ситуации, немедленно принять меры для устранения факторов способных повлиять на не своевременную доставку груза в пункт назначения, незамедлительно информировать Заказчика обо всех случаях задержки транспортных средств, которые повлекли или могут повлечь за собой нарушение срока доставки груза, или на обеспечение его сохранности.</w:t>
            </w:r>
          </w:p>
        </w:tc>
        <w:tc>
          <w:tcPr>
            <w:tcW w:w="3329" w:type="dxa"/>
            <w:vMerge w:val="continue"/>
            <w:tcBorders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07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результатам у</w:t>
            </w: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слуг</w:t>
            </w:r>
          </w:p>
        </w:tc>
        <w:tc>
          <w:tcPr>
            <w:tcW w:w="3329" w:type="dxa"/>
            <w:vMerge w:val="continue"/>
            <w:tcBorders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07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документации, описывающей результат оказания услуг</w:t>
            </w:r>
          </w:p>
        </w:tc>
        <w:tc>
          <w:tcPr>
            <w:tcW w:w="3329" w:type="dxa"/>
            <w:vMerge w:val="continue"/>
            <w:tcBorders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67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Документы, передаваемые Заказчику по результатам оказанных услуг</w:t>
            </w:r>
          </w:p>
        </w:tc>
        <w:tc>
          <w:tcPr>
            <w:tcW w:w="340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передает Заказчику акт сдачи –приемки оказанных услуг/УПД в двух экземплярах</w:t>
            </w:r>
          </w:p>
        </w:tc>
        <w:tc>
          <w:tcPr>
            <w:tcW w:w="3329" w:type="dxa"/>
            <w:vMerge w:val="continue"/>
            <w:tcBorders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07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40" w:after="6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соблюдению положений нормативной и иной обязательной для исполнителя документации, определяемой видами услуг (помимо указанных в других разделах ТТ)</w:t>
            </w:r>
          </w:p>
        </w:tc>
        <w:tc>
          <w:tcPr>
            <w:tcW w:w="3329" w:type="dxa"/>
            <w:vMerge w:val="continue"/>
            <w:tcBorders/>
          </w:tcPr>
          <w:p>
            <w:pPr>
              <w:pStyle w:val="Style27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37" w:hRule="atLeast"/>
        </w:trPr>
        <w:tc>
          <w:tcPr>
            <w:tcW w:w="676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67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b/>
              </w:rPr>
            </w:pPr>
            <w:bookmarkStart w:id="123" w:name="_Toc125378712"/>
            <w:bookmarkStart w:id="124" w:name="_Toc173505771"/>
            <w:bookmarkStart w:id="125" w:name="_Toc173505908"/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Соблюдение при выполнении работ норм и правил нормативно-правовых актов, регулирующих перевозку грузов соответствующим видом транспорта</w:t>
            </w:r>
            <w:bookmarkEnd w:id="123"/>
            <w:bookmarkEnd w:id="124"/>
            <w:bookmarkEnd w:id="125"/>
          </w:p>
        </w:tc>
        <w:tc>
          <w:tcPr>
            <w:tcW w:w="3404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iCs/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Услуги должны осуществляться в соответствии с нормативно-правовыми актами, регламентирующими правила перевозки грузов конкретным видом транспорта: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iCs/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- «Кодекс внутреннего водного транспорта Российской Федерации» от 07.03.2001 N 24-ФЗ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iCs/>
                <w:sz w:val="24"/>
                <w:szCs w:val="24"/>
              </w:rPr>
            </w:pPr>
            <w:r>
              <w:rPr>
                <w:rFonts w:eastAsia="Times New Roman" w:cs="Times New Roman"/>
                <w:iCs/>
                <w:kern w:val="0"/>
                <w:sz w:val="24"/>
                <w:szCs w:val="24"/>
                <w:lang w:val="ru-RU" w:eastAsia="ru-RU" w:bidi="ar-SA"/>
              </w:rPr>
              <w:t>- Приказ Росморфлота от 22.10.1996 N 39 «Об утверждении и введении в действие «Правил перевозки грузов в контейнерах морским транспортом»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- Приказ Минтруда России от 28.10.2020 N 753н «Об утверждении Правил по охране труда при погрузочно-разгрузочных работах и размещении грузов»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- Федеральный закон от 10.12.1995 N 196-ФЗ «О безопасности дорожного движения»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60"/>
              <w:jc w:val="both"/>
              <w:rPr>
                <w:i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- Постановление Правительства РФ от 21.12.2020 N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</w:t>
            </w:r>
          </w:p>
        </w:tc>
        <w:tc>
          <w:tcPr>
            <w:tcW w:w="3329" w:type="dxa"/>
            <w:vMerge w:val="continue"/>
            <w:tcBorders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center" w:pos="7356" w:leader="none"/>
        </w:tabs>
        <w:rPr/>
      </w:pPr>
      <w:r>
        <w:rPr/>
        <w:tab/>
      </w:r>
    </w:p>
    <w:p>
      <w:pPr>
        <w:pStyle w:val="Normal"/>
        <w:ind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>3.</w:t>
        <w:tab/>
        <w:t xml:space="preserve">Требования к документации по ценообразованию на этапе закупки </w:t>
      </w:r>
    </w:p>
    <w:p>
      <w:pPr>
        <w:pStyle w:val="Normal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3.1.</w:t>
      </w:r>
      <w:r>
        <w:rPr>
          <w:sz w:val="24"/>
          <w:szCs w:val="24"/>
        </w:rPr>
        <w:tab/>
        <w:t xml:space="preserve">В обосновании стоимости своей заявки Участник предоставляет Коммерческое предложение по форме (с учетом прилагаемой к ней продукции по заполнению), приведенной в Документации о закупке. </w:t>
      </w:r>
    </w:p>
    <w:p>
      <w:pPr>
        <w:pStyle w:val="Normal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3.2.</w:t>
      </w:r>
      <w:r>
        <w:rPr>
          <w:sz w:val="24"/>
          <w:szCs w:val="24"/>
        </w:rPr>
        <w:tab/>
        <w:t xml:space="preserve">Дополнительные документы по ценообразованию в состав заявки не включаются. </w:t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Руководитель ГКЭО И РТС ___________________ А.Н. Пышкин</w:t>
      </w:r>
    </w:p>
    <w:p>
      <w:pPr>
        <w:pStyle w:val="ListParagraph"/>
        <w:ind w:left="0" w:hanging="0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 xml:space="preserve">                                                                                    </w:t>
      </w:r>
    </w:p>
    <w:sectPr>
      <w:headerReference w:type="default" r:id="rId5"/>
      <w:headerReference w:type="first" r:id="rId6"/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2693"/>
        </w:tabs>
        <w:ind w:left="3479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284"/>
        </w:tabs>
        <w:ind w:left="644" w:hanging="360"/>
      </w:pPr>
      <w:rPr/>
    </w:lvl>
    <w:lvl w:ilvl="1">
      <w:start w:val="1"/>
      <w:numFmt w:val="decimal"/>
      <w:lvlText w:val="%1.%2."/>
      <w:lvlJc w:val="left"/>
      <w:pPr>
        <w:tabs>
          <w:tab w:val="num" w:pos="284"/>
        </w:tabs>
        <w:ind w:left="1076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508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284"/>
        </w:tabs>
        <w:ind w:left="2012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284"/>
        </w:tabs>
        <w:ind w:left="2516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284"/>
        </w:tabs>
        <w:ind w:left="3020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284"/>
        </w:tabs>
        <w:ind w:left="3524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284"/>
        </w:tabs>
        <w:ind w:left="4028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284"/>
        </w:tabs>
        <w:ind w:left="4604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13e8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ind w:left="5038" w:hanging="0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tabs>
        <w:tab w:val="clear" w:pos="708"/>
        <w:tab w:val="left" w:pos="0" w:leader="none"/>
      </w:tabs>
      <w:spacing w:before="120" w:after="60"/>
      <w:ind w:left="1224" w:hanging="504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sid w:val="00d561d9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basedOn w:val="DefaultParagraphFont"/>
    <w:uiPriority w:val="99"/>
    <w:unhideWhenUsed/>
    <w:rsid w:val="00ce5fde"/>
    <w:rPr>
      <w:color w:val="0563C1" w:themeColor="hyperlink"/>
      <w:u w:val="single"/>
    </w:rPr>
  </w:style>
  <w:style w:type="character" w:styleId="Annotationreference">
    <w:name w:val="annotation reference"/>
    <w:semiHidden/>
    <w:qFormat/>
    <w:rsid w:val="00b714b0"/>
    <w:rPr>
      <w:sz w:val="16"/>
      <w:szCs w:val="16"/>
    </w:rPr>
  </w:style>
  <w:style w:type="character" w:styleId="Strong">
    <w:name w:val="Strong"/>
    <w:uiPriority w:val="22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4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1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29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5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basedOn w:val="DefaultParagraphFont"/>
    <w:qFormat/>
    <w:rsid w:val="003879d4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8"/>
    <w:qFormat/>
    <w:rsid w:val="004a17ae"/>
    <w:rPr>
      <w:rFonts w:eastAsia="Calibri"/>
      <w:caps/>
      <w:sz w:val="28"/>
      <w:szCs w:val="28"/>
      <w:lang w:eastAsia="en-US"/>
    </w:rPr>
  </w:style>
  <w:style w:type="character" w:styleId="Style14" w:customStyle="1">
    <w:name w:val="Ссылка указателя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" w:customStyle="1">
    <w:name w:val="index heading11"/>
    <w:basedOn w:val="Title"/>
    <w:qFormat/>
    <w:pPr/>
    <w:rPr/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" w:customStyle="1">
    <w:name w:val="index heading111"/>
    <w:basedOn w:val="Title"/>
    <w:qFormat/>
    <w:pPr/>
    <w:rPr/>
  </w:style>
  <w:style w:type="paragraph" w:styleId="Caption1111" w:customStyle="1">
    <w:name w:val="caption111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Indexheading1111" w:customStyle="1">
    <w:name w:val="index heading1111"/>
    <w:basedOn w:val="Title"/>
    <w:qFormat/>
    <w:pPr/>
    <w:rPr/>
  </w:style>
  <w:style w:type="paragraph" w:styleId="Style17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8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19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uiPriority w:val="99"/>
    <w:rsid w:val="00d561d9"/>
    <w:pPr/>
    <w:rPr>
      <w:sz w:val="20"/>
      <w:szCs w:val="20"/>
    </w:rPr>
  </w:style>
  <w:style w:type="paragraph" w:styleId="13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2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4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0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uiPriority w:val="99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1" w:customStyle="1">
    <w:name w:val="Подпункт"/>
    <w:basedOn w:val="Normal"/>
    <w:link w:val="11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c517de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880d13"/>
    <w:pPr>
      <w:tabs>
        <w:tab w:val="clear" w:pos="708"/>
        <w:tab w:val="left" w:pos="1120" w:leader="none"/>
        <w:tab w:val="right" w:pos="9911" w:leader="dot"/>
      </w:tabs>
      <w:ind w:left="709" w:hanging="142"/>
    </w:pPr>
    <w:rPr>
      <w:rFonts w:cs="Calibri" w:cstheme="minorHAnsi"/>
      <w:sz w:val="20"/>
      <w:szCs w:val="20"/>
    </w:rPr>
  </w:style>
  <w:style w:type="paragraph" w:styleId="Style22" w:customStyle="1">
    <w:name w:val="Раздел регламента"/>
    <w:basedOn w:val="Normal"/>
    <w:qFormat/>
    <w:rsid w:val="00e228fa"/>
    <w:pPr/>
    <w:rPr/>
  </w:style>
  <w:style w:type="paragraph" w:styleId="Style23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693883"/>
    <w:pPr>
      <w:spacing w:before="240" w:after="0"/>
    </w:pPr>
    <w:rPr>
      <w:rFonts w:cs="Calibri" w:cstheme="minorHAnsi"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5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6b6b70"/>
    <w:pPr>
      <w:tabs>
        <w:tab w:val="clear" w:pos="708"/>
        <w:tab w:val="left" w:pos="1120" w:leader="none"/>
        <w:tab w:val="right" w:pos="9911" w:leader="none"/>
      </w:tabs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4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5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5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3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41" w:customStyle="1">
    <w:name w:val="Маркированный список 41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4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6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6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7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8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29" w:customStyle="1">
    <w:name w:val="Подподпункт"/>
    <w:basedOn w:val="Style21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0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5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1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7" w:customStyle="1">
    <w:name w:val="Стиль Заголовок 1 + по ширине"/>
    <w:basedOn w:val="Heading1"/>
    <w:qFormat/>
    <w:rsid w:val="005773b2"/>
    <w:pPr>
      <w:keepLines/>
      <w:tabs>
        <w:tab w:val="clear" w:pos="0"/>
        <w:tab w:val="left" w:pos="567" w:leader="none"/>
      </w:tabs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2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8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Default" w:customStyle="1">
    <w:name w:val="Default"/>
    <w:qFormat/>
    <w:rsid w:val="000f3d81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ru-RU" w:eastAsia="ru-RU" w:bidi="ar-SA"/>
    </w:rPr>
  </w:style>
  <w:style w:type="paragraph" w:styleId="Style33" w:customStyle="1">
    <w:name w:val="[РГ] Текст"/>
    <w:basedOn w:val="Normal"/>
    <w:qFormat/>
    <w:rsid w:val="009651eb"/>
    <w:pPr>
      <w:spacing w:before="120" w:after="0"/>
      <w:jc w:val="both"/>
    </w:pPr>
    <w:rPr>
      <w:rFonts w:cs="Times New Roman (???????? ?????"/>
      <w:color w:val="000000"/>
      <w:sz w:val="26"/>
      <w:szCs w:val="24"/>
      <w:lang w:eastAsia="en-US"/>
    </w:rPr>
  </w:style>
  <w:style w:type="paragraph" w:styleId="Style34" w:customStyle="1">
    <w:name w:val="Содержимое врезки"/>
    <w:basedOn w:val="Normal"/>
    <w:qFormat/>
    <w:pPr/>
    <w:rPr/>
  </w:style>
  <w:style w:type="paragraph" w:styleId="Style35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6" w:customStyle="1">
    <w:name w:val="Заголовок таблицы"/>
    <w:basedOn w:val="Style35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9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8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b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1C68B-3E2B-45BF-B07E-5F9BF5E19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AlterOffice/3.4.0.9$Linux_X86_64 LibreOffice_project/b8daf9e823b1a5463a2f48435ddc2e8696e7d4fc</Application>
  <AppVersion>15.0000</AppVersion>
  <Pages>7</Pages>
  <Words>1103</Words>
  <Characters>7738</Characters>
  <CharactersWithSpaces>8802</CharactersWithSpaces>
  <Paragraphs>153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2025-06-10T09:41:00Z</dcterms:created>
  <dc:creator>Быстров Олег Геннадьевич</dc:creator>
  <dc:description/>
  <dc:language>ru-RU</dc:language>
  <cp:lastModifiedBy>tolpyginanv@corp.gidroogk.com</cp:lastModifiedBy>
  <cp:lastPrinted>2026-03-20T01:51:00Z</cp:lastPrinted>
  <dcterms:modified xsi:type="dcterms:W3CDTF">2026-09-10T11:38:42Z</dcterms:modified>
  <cp:revision>48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