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_rels/document.xml.rels" ContentType="application/vnd.openxmlformats-package.relationship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tabs>
          <w:tab w:val="clear" w:pos="708"/>
          <w:tab w:val="left" w:pos="567" w:leader="none"/>
        </w:tabs>
        <w:ind w:left="170" w:hanging="0"/>
        <w:rPr>
          <w:rFonts w:ascii="Times New Roman" w:hAnsi="Times New Roman" w:cs="Times New Roman"/>
          <w:b/>
          <w:sz w:val="28"/>
          <w:szCs w:val="28"/>
          <w:lang w:eastAsia="it-IT"/>
        </w:rPr>
      </w:pPr>
      <w:r>
        <w:rPr>
          <w:rFonts w:cs="Times New Roman" w:ascii="Times New Roman" w:hAnsi="Times New Roman"/>
          <w:b/>
          <w:sz w:val="28"/>
          <w:szCs w:val="28"/>
          <w:lang w:eastAsia="it-IT"/>
        </w:rPr>
        <w:t xml:space="preserve">Приложение 1 к Техническим требованиям. </w:t>
      </w:r>
    </w:p>
    <w:p>
      <w:pPr>
        <w:pStyle w:val="ListParagraph"/>
        <w:tabs>
          <w:tab w:val="clear" w:pos="708"/>
          <w:tab w:val="left" w:pos="567" w:leader="none"/>
        </w:tabs>
        <w:spacing w:before="0" w:after="0"/>
        <w:ind w:left="170" w:hanging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eastAsia="it-IT"/>
        </w:rPr>
        <w:t>Форма подтверждения приборов учета требованиям ПП РФ №890 от 19.06.2020.</w:t>
      </w:r>
    </w:p>
    <w:p>
      <w:pPr>
        <w:pStyle w:val="ListParagraph"/>
        <w:tabs>
          <w:tab w:val="clear" w:pos="708"/>
          <w:tab w:val="left" w:pos="567" w:leader="none"/>
        </w:tabs>
        <w:spacing w:before="0" w:after="0"/>
        <w:ind w:left="170" w:hanging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/>
      </w:r>
    </w:p>
    <w:tbl>
      <w:tblPr>
        <w:tblpPr w:bottomFromText="567" w:horzAnchor="page" w:leftFromText="181" w:rightFromText="181" w:tblpX="234" w:tblpY="568" w:topFromText="567" w:vertAnchor="text"/>
        <w:tblW w:w="14715" w:type="dxa"/>
        <w:jc w:val="left"/>
        <w:tblInd w:w="-5" w:type="dxa"/>
        <w:tblLayout w:type="fixed"/>
        <w:tblCellMar>
          <w:top w:w="113" w:type="dxa"/>
          <w:left w:w="108" w:type="dxa"/>
          <w:bottom w:w="113" w:type="dxa"/>
          <w:right w:w="108" w:type="dxa"/>
        </w:tblCellMar>
        <w:tblLook w:val="04a0" w:noVBand="1" w:noHBand="0" w:lastColumn="0" w:firstColumn="1" w:lastRow="0" w:firstRow="1"/>
      </w:tblPr>
      <w:tblGrid>
        <w:gridCol w:w="414"/>
        <w:gridCol w:w="1626"/>
        <w:gridCol w:w="3722"/>
        <w:gridCol w:w="4693"/>
        <w:gridCol w:w="4260"/>
      </w:tblGrid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200"/>
              <w:ind w:left="43" w:hang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Перечень функций приборов учета в соответствии с требованиями ПП РФ от 19.06.2020 № 890</w:t>
            </w:r>
          </w:p>
        </w:tc>
        <w:tc>
          <w:tcPr>
            <w:tcW w:w="8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Приборы учета электроэнергии</w:t>
            </w:r>
          </w:p>
        </w:tc>
      </w:tr>
      <w:tr>
        <w:trPr>
          <w:trHeight w:val="291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360" w:hanging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firstLine="34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 к ТТ -  трехфазный прибор учета статический непрямого включения с использованием измерительных трансформаторов тока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 к ТТ - трехфазный прибор учета непосредственного включения на 6/10 кВ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а) измерение активной и реактивной энергии в сетях переменного тока в двух направлениях с классом точности,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0,5S и выше* по активной энергии и 1,0 и выше* по реактивной энергии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8" w:hanging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0,5S и выше* по активной энергии и 1,0 и выше* по реактивной энергии</w:t>
            </w:r>
          </w:p>
        </w:tc>
      </w:tr>
      <w:tr>
        <w:trPr>
          <w:trHeight w:val="54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7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(Указывается предлагаемое значение из выпадающего списка)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Активная энергия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alias w:val=""/>
                <w:dropDownList w:lastValue="4">
                  <w:listItem w:value="0,5S" w:displayText="0,5S"/>
                  <w:listItem w:value="0,2" w:displayText="0,2"/>
                  <w:listItem w:value="0,2S" w:displayText="0,2S"/>
                  <w:listItem w:value="Не соответствует" w:displayText="Не соответствует"/>
                  <w:listItem w:value="Выберите элемент." w:displayText="Выберите элемент."/>
                </w:dropDownList>
              </w:sdtPr>
              <w:sdtContent>
                <w:r>
                  <w:rPr/>
                </w:r>
                <w:r>
                  <w:t>Выберите элемент.</w:t>
                </w:r>
              </w:sdtContent>
            </w:sdt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left="78" w:hang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alias w:val=""/>
                <w:dropDownList w:lastValue="4">
                  <w:listItem w:value="0,5S" w:displayText="0,5S"/>
                  <w:listItem w:value="0,2" w:displayText="0,2"/>
                  <w:listItem w:value="0,2S" w:displayText="0,2S"/>
                  <w:listItem w:value="Не соответствует" w:displayText="Не соответствует"/>
                  <w:listItem w:value="Выберите элемент." w:displayText="Выберите элемент."/>
                </w:dropDownList>
              </w:sdtPr>
              <w:sdtContent>
                <w:r>
                  <w:rPr/>
                </w:r>
                <w:r>
                  <w:t>Выберите элемент.</w:t>
                </w:r>
              </w:sdtContent>
            </w:sdt>
          </w:p>
        </w:tc>
      </w:tr>
      <w:tr>
        <w:trPr>
          <w:trHeight w:val="54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7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Реактивная энергия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alias w:val=""/>
                <w:dropDownList w:lastValue="6">
                  <w:listItem w:value="1,0" w:displayText="1,0"/>
                  <w:listItem w:value="0,5" w:displayText="0,5"/>
                  <w:listItem w:value="0,5S" w:displayText="0,5S"/>
                  <w:listItem w:value="0,2" w:displayText="0,2"/>
                  <w:listItem w:value="0,2S" w:displayText="0,2S"/>
                  <w:listItem w:value="Не соответствует" w:displayText="Не соответствует"/>
                  <w:listItem w:value="Выберите элемент." w:displayText="Выберите элемент."/>
                </w:dropDownList>
              </w:sdtPr>
              <w:sdtContent>
                <w:r>
                  <w:rPr/>
                </w:r>
                <w:r>
                  <w:t>Выберите элемент.</w:t>
                </w:r>
              </w:sdtContent>
            </w:sdt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left="78" w:hang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alias w:val=""/>
                <w:dropDownList w:lastValue="6">
                  <w:listItem w:value="1,0" w:displayText="1,0"/>
                  <w:listItem w:value="0,5" w:displayText="0,5"/>
                  <w:listItem w:value="0,5S" w:displayText="0,5S"/>
                  <w:listItem w:value="0,2" w:displayText="0,2"/>
                  <w:listItem w:value="0,2S" w:displayText="0,2S"/>
                  <w:listItem w:value="Не соответствует" w:displayText="Не соответствует"/>
                  <w:listItem w:value="Выберите элемент." w:displayText="Выберите элемент."/>
                </w:dropDownList>
              </w:sdtPr>
              <w:sdtContent>
                <w:r>
                  <w:rPr/>
                </w:r>
                <w:r>
                  <w:t>Выберите элемент.</w:t>
                </w:r>
              </w:sdtContent>
            </w:sdt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1</w:t>
            </w:r>
            <w:r>
              <w:rPr>
                <w:rFonts w:cs="Times New Roman" w:ascii="Times New Roman" w:hAnsi="Times New Roman"/>
                <w:bCs/>
              </w:rPr>
              <w:t>) интервал между поверками не менее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10 лет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10 лет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7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(Указывается соответствие в каждом столбце -Да/Нет), участник вправе предложить лучшую характеристику, в таком случае указывается предлагаемое значение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б) возможность выполнения измерений с применением коэффициентов трансформации измерительных трансформаторов тока и напряжения (для приборов учета электрической энергии трансформаторного включения);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8" w:hanging="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8" w:hanging="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нет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7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8" w:hanging="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8" w:hanging="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в) ведение времени независимо от наличия напряжения в питающей сети с абсолютной погрешностью хода внутренних часов не более 5 секунд в сутки, а также с возможностью смены часового пояса;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7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 ( 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1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г) возможность синхронизации и коррекции времени с внешним источником сигналов точного времени;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7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д) возможность учета активной и реактивной энергии с фиксацией на конец программируемых расчетных периодов и по не менее чем 4 программируемым тарифным зонам с не менее чем 4 диапазонами суммирования в каждом (далее - тарифное расписание);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е) измерение и вычисление: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234" w:leader="none"/>
              </w:tabs>
              <w:spacing w:lineRule="auto" w:line="240" w:before="0" w:after="0"/>
              <w:ind w:left="324" w:hanging="32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фазного напряжения в каждой фазе;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234" w:leader="none"/>
              </w:tabs>
              <w:spacing w:lineRule="auto" w:line="240" w:before="0" w:after="0"/>
              <w:ind w:left="324" w:hanging="32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линейного напряжения (для трехфазных приборов учета электрической энергии);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234" w:leader="none"/>
              </w:tabs>
              <w:spacing w:lineRule="auto" w:line="240" w:before="0" w:after="0"/>
              <w:ind w:left="324" w:hanging="32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фазного тока в каждой фазе;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234" w:leader="none"/>
              </w:tabs>
              <w:spacing w:lineRule="auto" w:line="240" w:before="0" w:after="0"/>
              <w:ind w:left="324" w:hanging="32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активной, реактивной и полной мощности в каждой фазе и суммарной мощности;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234" w:leader="none"/>
              </w:tabs>
              <w:spacing w:lineRule="auto" w:line="240" w:before="0" w:after="0"/>
              <w:ind w:left="324" w:hanging="32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значения тока в нулевом проводе (для однофазного прибора учета электрической энергии);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234" w:leader="none"/>
              </w:tabs>
              <w:spacing w:lineRule="auto" w:line="240" w:before="0" w:after="0"/>
              <w:ind w:left="324" w:hanging="32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небаланса токов в фазном и нулевом проводах (для однофазного прибора учета электрической энергии);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234" w:leader="none"/>
              </w:tabs>
              <w:spacing w:lineRule="auto" w:line="240" w:before="0" w:after="0"/>
              <w:ind w:left="324" w:hanging="32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частоты электрической сети;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8" w:hanging="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8" w:hanging="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ж) нарушение индивидуальных параметров качества электроснабжения (погрешность измерения параметров должна соответствовать классу S или выше согласно </w:t>
            </w:r>
            <w:hyperlink r:id="rId2">
              <w:r>
                <w:rPr>
                  <w:rFonts w:cs="Times New Roman" w:ascii="Times New Roman" w:hAnsi="Times New Roman"/>
                  <w:bCs/>
                </w:rPr>
                <w:t>ГОСТ 30804.4.30-2013</w:t>
              </w:r>
            </w:hyperlink>
            <w:r>
              <w:rPr>
                <w:rFonts w:cs="Times New Roman" w:ascii="Times New Roman" w:hAnsi="Times New Roman"/>
                <w:bCs/>
              </w:rPr>
              <w:t>);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з) контроль наличия внешнего переменного и постоянного магнитного поля;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 ( 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bookmarkStart w:id="0" w:name="_Hlk173412410"/>
            <w:r>
              <w:rPr>
                <w:rFonts w:cs="Times New Roman" w:ascii="Times New Roman" w:hAnsi="Times New Roman"/>
                <w:bCs/>
              </w:rPr>
              <w:t>и) отображение на встроенном и (или) выносном цифровом дисплее: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ind w:left="324" w:hanging="28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текущих даты и времени;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ind w:left="324" w:hanging="28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текущих значений потребленной электрической энергии суммарно и по тарифным зонам;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ind w:left="324" w:hanging="28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текущих значений активной и реактивной мощности, напряжения, тока и частоты;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ind w:left="324" w:hanging="28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значения потребленной электрической энергии на конец последнего программируемого расчетного периода суммарно и по тарифным зонам;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ind w:left="324" w:hanging="28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индикатора режима приема и отдачи электрической энергии;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ind w:left="324" w:hanging="28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индикатора факта нарушения индивидуальных параметров качества электроснабжения;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ind w:left="324" w:hanging="28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индикатора вскрытия электронных пломб на корпусе и клеммной крышке прибора учета электрической энергии;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ind w:left="324" w:hanging="28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индикатора факта события воздействия магнитных полей со значением модуля вектора магнитной индукции свыше 150 мТл (пиковое значение) на элементы прибора учета электрической энергии;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ind w:left="324" w:hanging="284"/>
              <w:rPr>
                <w:rFonts w:ascii="Times New Roman" w:hAnsi="Times New Roman" w:cs="Times New Roman"/>
                <w:bCs/>
              </w:rPr>
            </w:pPr>
            <w:bookmarkStart w:id="1" w:name="_Hlk173412410"/>
            <w:r>
              <w:rPr>
                <w:rFonts w:cs="Times New Roman" w:ascii="Times New Roman" w:hAnsi="Times New Roman"/>
                <w:bCs/>
              </w:rPr>
              <w:t>индикатора неработоспособности прибора учета электрической энергии вследствие аппаратного или программного сбоя;</w:t>
            </w:r>
            <w:bookmarkEnd w:id="1"/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к) отображение информации в единицах величин, допущенных к применению в Российской Федерации </w:t>
            </w:r>
            <w:hyperlink r:id="rId3">
              <w:r>
                <w:rPr>
                  <w:rFonts w:cs="Times New Roman" w:ascii="Times New Roman" w:hAnsi="Times New Roman"/>
                  <w:bCs/>
                </w:rPr>
                <w:t>Положением</w:t>
              </w:r>
            </w:hyperlink>
            <w:r>
              <w:rPr>
                <w:rFonts w:cs="Times New Roman" w:ascii="Times New Roman" w:hAnsi="Times New Roman"/>
                <w:bCs/>
              </w:rPr>
              <w:t xml:space="preserve"> о единицах величин, допускаемых к применению в Российской Федерации, утвержденным постановлением Правительства Российской Федерации от 31 октября 2009 г. № 879 "Об утверждении Положения о единицах величин, допускаемых к применению в Российской Федерации" (обозначение активной электрической энергии - в кВт·ч, реактивной - в квар·ч);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л) индикацию функционирования (работоспособного состояния) на корпусе и выносном дисплее </w:t>
            </w:r>
            <w:r>
              <w:rPr>
                <w:rFonts w:cs="Times New Roman" w:ascii="Times New Roman" w:hAnsi="Times New Roman"/>
              </w:rPr>
              <w:t>(при наличии выносного дисплея);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м) наличие 2 интерфейсов связи для организации канала связи (оптического и иного другого) для приборов учета </w:t>
            </w:r>
            <w:bookmarkStart w:id="2" w:name="_GoBack"/>
            <w:bookmarkEnd w:id="2"/>
            <w:r>
              <w:rPr>
                <w:rFonts w:cs="Times New Roman" w:ascii="Times New Roman" w:hAnsi="Times New Roman"/>
                <w:bCs/>
              </w:rPr>
              <w:t>электрической энергии непосредственного включения номинальным напряжением до 1000 В, а в отношении приборов учета электрической энергии трансформаторного включения также по цифровому электрическому интерфейсу связи RS-485 или цифровому электрическому интерфейсу связи Ethernet. Для приборов учета электрической энергии непосредственного включения номинальным напряжением выше 1000 В обязательным является наличие 2 беспроводных интерфейсов связи;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</w:rPr>
              <w:t>н) защиту прибора учета электрической энергии от несанкционированного доступа с помощью реализации в приборе учета: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ind w:left="324" w:hanging="28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идентификации и аутентификации;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ind w:left="324" w:hanging="28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контроля доступа;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ind w:left="324" w:hanging="28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контроля целостности;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ind w:left="324" w:hanging="284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регистрации событий безопасности в журнале событий;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о) фиксирование несанкционированного доступа к прибору учета посредством энергонезависимой электронной пломбы, фиксирующей вскрытие клеммной крышки и вскрытие корпуса (для разборных корпусов);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Предложение участника </w:t>
            </w:r>
            <w:r>
              <w:rPr>
                <w:rFonts w:cs="Times New Roman" w:ascii="Times New Roman" w:hAnsi="Times New Roman"/>
                <w:bCs/>
              </w:rPr>
              <w:t xml:space="preserve">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п) фиксацию воздействия постоянного или переменного магнитного поля с указанием даты и времени воздействия со значением модуля вектора магнитной индукции свыше 150 мТл (пиковое значение);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нет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 ( 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р) запись событий в отдельные выделенные сегменты энергонезависимой памяти прибора учета электрической энергии (с указанием даты и времени), результатов нарушения индивидуальных параметров качества электроснабжения - в отдельные выделенные сегменты энергонезависимой памяти прибора учета электрической энергии (далее соответственно - журнал событий, ведение журнала событий) в объеме не менее чем на 500 записей;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</w:rPr>
              <w:t>Предложение участника 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bookmarkStart w:id="3" w:name="_Hlk173412848"/>
            <w:r>
              <w:rPr>
                <w:rFonts w:cs="Times New Roman" w:ascii="Times New Roman" w:hAnsi="Times New Roman"/>
              </w:rPr>
              <w:t>с) ведение журнала событий, в котором должно фиксироваться следующее: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 и время вскрытия клеммной крышки;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 и время вскрытия корпуса прибора учета электрической энергии (для разборных корпусов);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дата, время и причина включения и отключения встроенного коммутационного аппарата;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 и время последнего перепрограммирования;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дата, время, тип и параметры выполненной команды;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попытка доступа с неуспешной идентификацией и (или) аутентификацией;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попытка доступа с нарушением правил управления доступом;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попытка несанкционированного нарушения целостности программного обеспечения и параметров;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изменение направления перетока мощности (для однофазных и трехфазных приборов учета электрической энергии);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 и время воздействия постоянного или переменного магнитного поля со значением модуля вектора магнитной индукции свыше 150 мТл (пиковое значение) с визуализацией индикации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факт связи с прибором учета электрической энергии, приведшей к изменению параметров конфигурации, режимов функционирования (в том числе введение полного и (или) частичного ограничения (возобновления) режима потребления электрической энергии (управление нагрузкой);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 и время отклонения напряжения в измерительных цепях от заданных пределов (кроме однофазных и трехфазных приборов учета электрической энергии прямого включения);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отсутствие или низкое напряжение при наличии тока в измерительных цепях с конфигурируемыми порогами (кроме однофазных и трехфазных приборов учета электрической энергии прямого включения);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отсутствие напряжения либо значение напряжения ниже запрограммированного порога по каждой фазе с фиксацией времени пропадания и восстановления напряжения;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инверсия фазы или нарушение чередования фаз (для трехфазных приборов учета электрической энергии);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превышение соотношения величин потребления активной и реактивной мощности;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небаланс тока в нулевом и фазном проводе (для однофазных приборов учета электрической энергии);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bookmarkStart w:id="4" w:name="_Hlk173412848"/>
            <w:r>
              <w:rPr>
                <w:rFonts w:cs="Times New Roman" w:ascii="Times New Roman" w:hAnsi="Times New Roman"/>
              </w:rPr>
              <w:t>превышение заданного предела мощности;</w:t>
            </w:r>
            <w:bookmarkEnd w:id="4"/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82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Предложение участника </w:t>
            </w:r>
            <w:r>
              <w:rPr>
                <w:rFonts w:cs="Times New Roman" w:ascii="Times New Roman" w:hAnsi="Times New Roman"/>
                <w:bCs/>
              </w:rPr>
              <w:t xml:space="preserve">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т) формирование по результатам автоматической самодиагностики обобщенного события или каждого факта события;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Предложение участника </w:t>
            </w:r>
            <w:r>
              <w:rPr>
                <w:rFonts w:cs="Times New Roman" w:ascii="Times New Roman" w:hAnsi="Times New Roman"/>
                <w:bCs/>
              </w:rPr>
              <w:t xml:space="preserve"> ( 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у) изменение текущих значений времени и даты при синхронизации времени с фиксацией в журнале событий времени до и после коррекции или величины коррекции времени, на которую было скорректировано значение;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Предложение участника </w:t>
            </w:r>
            <w:r>
              <w:rPr>
                <w:rFonts w:cs="Times New Roman" w:ascii="Times New Roman" w:hAnsi="Times New Roman"/>
                <w:bCs/>
              </w:rPr>
              <w:t xml:space="preserve">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lang w:eastAsia="ru-RU"/>
              </w:rPr>
              <w:t>ф) возможность полного и (или) частичного ограничения (возобновления) режима потребления электрической энергии, приостановление или ограничение предоставления коммунальной услуги (управление нагрузкой) с использованием встроенного коммутационного аппарата, в том числе путем его фиксации в положении "отключено" непосредственно на приборе учета электрической энергии номинальным напряжением до 1000 В (кроме приборов учета электрической энергии трансформаторного включения), в следующих случаях: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ind w:left="182" w:hanging="218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запрос интеллектуальной системы учета;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ind w:left="182" w:hanging="218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превышение заданных в приборе учета электрической энергии пределов параметров электрической сети;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ind w:left="182" w:hanging="218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превышение заданного в приборе учета электрической энергии предела электрической энергии (мощности);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ind w:left="182" w:hanging="218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несанкционированный доступ к прибору учета электрической энергии (вскрытие клеммной крышки, вскрытие корпуса (для разборных корпусов) и воздействие постоянным и переменным магнитным полем);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нет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Предложение участника </w:t>
            </w:r>
            <w:r>
              <w:rPr>
                <w:rFonts w:cs="Times New Roman" w:ascii="Times New Roman" w:hAnsi="Times New Roman"/>
                <w:bCs/>
              </w:rPr>
              <w:t xml:space="preserve">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х) возобновление подачи электрической энергии по запросу интеллектуальной системы учета, в том числе путем фиксации встроенного коммутационного аппарата в положении "включено" непосредственно на приборе учета электрической энергии;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нет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Предложение участника </w:t>
            </w:r>
            <w:r>
              <w:rPr>
                <w:rFonts w:cs="Times New Roman" w:ascii="Times New Roman" w:hAnsi="Times New Roman"/>
                <w:bCs/>
              </w:rPr>
              <w:t xml:space="preserve">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ц) 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</w:rPr>
              <w:t>хранение профиля принятой и отданной активной и реактивной энергии (мощности) с программируемым интервалом времени интегрирования 30 и 60 минут и периодом хранения не менее 90 суток (при времени интегрирования 30 минут)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Предложение участника </w:t>
            </w:r>
            <w:r>
              <w:rPr>
                <w:rFonts w:cs="Times New Roman" w:ascii="Times New Roman" w:hAnsi="Times New Roman"/>
                <w:bCs/>
              </w:rPr>
              <w:t xml:space="preserve">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ч) хранение в энергонезависимом запоминающем устройстве прибора учета электрической энергии данных по принятой и отданной активной и реактивной энергии с нарастающим итогом на начало текущего расчетного периода и не менее 36 предыдущих программируемых расчетных периодов;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Предложение участника </w:t>
            </w:r>
            <w:r>
              <w:rPr>
                <w:rFonts w:cs="Times New Roman" w:ascii="Times New Roman" w:hAnsi="Times New Roman"/>
                <w:bCs/>
              </w:rPr>
              <w:t xml:space="preserve">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ш) обеспечение энергонезависимого хранения журнала событий, выявление фактов изменения (искажения) информации, влияющих на информацию о количестве и иных параметрах электрической энергии, а также фактов изменения (искажения) программного обеспечения прибора учета электрической энергии;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Предложение участника </w:t>
            </w:r>
            <w:r>
              <w:rPr>
                <w:rFonts w:cs="Times New Roman" w:ascii="Times New Roman" w:hAnsi="Times New Roman"/>
                <w:bCs/>
              </w:rPr>
              <w:t xml:space="preserve">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щ) возможность организации с использованием защищенных протоколов передачи данных из состава протоколов, утвержденных Министерством цифрового развития, связи и массовых коммуникаций Российской Федерации по согласованию с Министерством энергетики Российской Федерации, информационного обмена с интеллектуальной системой учета, в том числе передачи показаний, предоставления информации о результатах измерения количества и иных параметров электрической энергии, передачи журналов событий и данных о параметрах настройки, а также удаленного управления прибором учета электрической энергии, не влияющих на результаты выполняемых приборами учета электрической энергии измерений, включая: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корректировку текущей даты и (или) времени, часового пояса;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изменение тарифного расписания;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программирование состава и последовательности вывода сообщений и измеряемых параметров на дисплей;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программирование параметров фиксации индивидуальных параметров качества электроснабжения;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программирование даты начала расчетного периода;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программирование параметров срабатывания встроенных коммутационных аппаратов;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изменение паролей доступа к параметрам;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изменение ключей шифрования;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ind w:left="182" w:hanging="18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управление встроенным коммутационным аппаратом путем его фиксации в положении "отключено" (кроме приборов учета электрической энергии трансформаторного включения);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Предложение участника </w:t>
            </w:r>
            <w:r>
              <w:rPr>
                <w:rFonts w:cs="Times New Roman" w:ascii="Times New Roman" w:hAnsi="Times New Roman"/>
                <w:bCs/>
              </w:rPr>
              <w:t xml:space="preserve">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э) возможность передачи зарегистрированных событий в интеллектуальную систему учета по инициативе прибора учета электрической энергии в момент их возникновения и выбор их состава.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Предложение участника </w:t>
            </w:r>
            <w:r>
              <w:rPr>
                <w:rFonts w:cs="Times New Roman" w:ascii="Times New Roman" w:hAnsi="Times New Roman"/>
                <w:bCs/>
              </w:rPr>
              <w:t xml:space="preserve">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1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78" w:hanging="0"/>
              <w:rPr>
                <w:rFonts w:ascii="Times New Roman" w:hAnsi="Times New Roman" w:eastAsia="Arial Unicode MS" w:cs="Times New Roman"/>
                <w:highlight w:val="yellow"/>
              </w:rPr>
            </w:pPr>
            <w:r>
              <w:rPr>
                <w:rFonts w:eastAsia="Arial Unicode MS" w:cs="Times New Roman" w:ascii="Times New Roman" w:hAnsi="Times New Roman"/>
              </w:rPr>
              <w:t>Для приборов учета электрической энергии непосредственного включения номинальным напряжением до 1000 В необходимо наличие возможности физической (аппаратной) блокировки срабатывания встроенного коммутационного аппарата, используемого для полного и (или) частичного ограничения (возобновления) режима потребления электрической энергии, приостановления или ограничения предоставления коммунальной услуги (управление нагрузкой). Реализация физической (аппаратной) блокировки должна сопровождаться процессом опломбирования.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  <w:t>нет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Num"/>
              <w:widowControl w:val="false"/>
              <w:numPr>
                <w:ilvl w:val="0"/>
                <w:numId w:val="0"/>
              </w:numPr>
              <w:tabs>
                <w:tab w:val="clear" w:pos="284"/>
                <w:tab w:val="left" w:pos="360" w:leader="none"/>
              </w:tabs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78" w:hanging="0"/>
              <w:rPr>
                <w:rFonts w:ascii="Times New Roman" w:hAnsi="Times New Roman" w:eastAsia="Arial Unicode MS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Предложение участника </w:t>
            </w:r>
            <w:r>
              <w:rPr>
                <w:rFonts w:cs="Times New Roman" w:ascii="Times New Roman" w:hAnsi="Times New Roman"/>
                <w:bCs/>
              </w:rPr>
              <w:t xml:space="preserve"> (Указывается соответствие в каждом столбце -Да/Нет)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spacing w:before="0" w:after="200"/>
        <w:rPr>
          <w:rFonts w:ascii="Times New Roman" w:hAnsi="Times New Roman" w:cs="Times New Roman"/>
          <w:b/>
          <w:sz w:val="28"/>
          <w:szCs w:val="28"/>
          <w:lang w:eastAsia="it-IT"/>
        </w:rPr>
      </w:pPr>
      <w:r>
        <w:rPr/>
      </w:r>
    </w:p>
    <w:sectPr>
      <w:footerReference w:type="default" r:id="rId4"/>
      <w:type w:val="nextPage"/>
      <w:pgSz w:orient="landscape" w:w="16838" w:h="11906"/>
      <w:pgMar w:left="709" w:right="1418" w:gutter="0" w:header="0" w:top="426" w:footer="709" w:bottom="76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69769406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b/>
        <w:szCs w:val="22"/>
        <w:rFonts w:cs="Times New Roman"/>
      </w:rPr>
    </w:lvl>
    <w:lvl w:ilvl="1">
      <w:start w:val="0"/>
      <w:numFmt w:val="none"/>
      <w:suff w:val="nothing"/>
      <w:lvlText w:val=""/>
      <w:lvlJc w:val="left"/>
      <w:pPr>
        <w:tabs>
          <w:tab w:val="num" w:pos="710"/>
        </w:tabs>
        <w:ind w:left="0" w:hanging="0"/>
      </w:pPr>
      <w:rPr>
        <w:rFonts w:cs="Times New Roman"/>
      </w:rPr>
    </w:lvl>
    <w:lvl w:ilvl="2">
      <w:start w:val="0"/>
      <w:numFmt w:val="none"/>
      <w:suff w:val="nothing"/>
      <w:lvlText w:val=""/>
      <w:lvlJc w:val="left"/>
      <w:pPr>
        <w:tabs>
          <w:tab w:val="num" w:pos="710"/>
        </w:tabs>
        <w:ind w:left="0" w:hanging="0"/>
      </w:pPr>
      <w:rPr>
        <w:rFonts w:cs="Times New Roman"/>
      </w:rPr>
    </w:lvl>
    <w:lvl w:ilvl="3">
      <w:start w:val="0"/>
      <w:numFmt w:val="none"/>
      <w:suff w:val="nothing"/>
      <w:lvlText w:val=""/>
      <w:lvlJc w:val="left"/>
      <w:pPr>
        <w:tabs>
          <w:tab w:val="num" w:pos="710"/>
        </w:tabs>
        <w:ind w:left="0" w:hanging="0"/>
      </w:pPr>
      <w:rPr>
        <w:rFonts w:cs="Times New Roman"/>
      </w:rPr>
    </w:lvl>
    <w:lvl w:ilvl="4">
      <w:start w:val="0"/>
      <w:numFmt w:val="none"/>
      <w:suff w:val="nothing"/>
      <w:lvlText w:val=""/>
      <w:lvlJc w:val="left"/>
      <w:pPr>
        <w:tabs>
          <w:tab w:val="num" w:pos="710"/>
        </w:tabs>
        <w:ind w:left="0" w:hanging="0"/>
      </w:pPr>
      <w:rPr>
        <w:rFonts w:cs="Times New Roman"/>
      </w:rPr>
    </w:lvl>
    <w:lvl w:ilvl="5">
      <w:start w:val="0"/>
      <w:numFmt w:val="none"/>
      <w:suff w:val="nothing"/>
      <w:lvlText w:val=""/>
      <w:lvlJc w:val="left"/>
      <w:pPr>
        <w:tabs>
          <w:tab w:val="num" w:pos="710"/>
        </w:tabs>
        <w:ind w:left="0" w:hanging="0"/>
      </w:pPr>
      <w:rPr>
        <w:rFonts w:cs="Times New Roman"/>
      </w:rPr>
    </w:lvl>
    <w:lvl w:ilvl="6">
      <w:start w:val="0"/>
      <w:numFmt w:val="none"/>
      <w:suff w:val="nothing"/>
      <w:lvlText w:val=""/>
      <w:lvlJc w:val="left"/>
      <w:pPr>
        <w:tabs>
          <w:tab w:val="num" w:pos="710"/>
        </w:tabs>
        <w:ind w:left="0" w:hanging="0"/>
      </w:pPr>
      <w:rPr>
        <w:rFonts w:cs="Times New Roman"/>
      </w:rPr>
    </w:lvl>
    <w:lvl w:ilvl="7">
      <w:start w:val="0"/>
      <w:numFmt w:val="none"/>
      <w:suff w:val="nothing"/>
      <w:lvlText w:val=""/>
      <w:lvlJc w:val="left"/>
      <w:pPr>
        <w:tabs>
          <w:tab w:val="num" w:pos="710"/>
        </w:tabs>
        <w:ind w:left="0" w:hanging="0"/>
      </w:pPr>
      <w:rPr>
        <w:rFonts w:cs="Times New Roman"/>
      </w:rPr>
    </w:lvl>
    <w:lvl w:ilvl="8">
      <w:start w:val="0"/>
      <w:numFmt w:val="none"/>
      <w:suff w:val="nothing"/>
      <w:lvlText w:val=""/>
      <w:lvlJc w:val="left"/>
      <w:pPr>
        <w:tabs>
          <w:tab w:val="num" w:pos="710"/>
        </w:tabs>
        <w:ind w:left="0" w:hanging="0"/>
      </w:pPr>
      <w:rPr>
        <w:rFonts w:cs="Times New Roman"/>
      </w:rPr>
    </w:lvl>
  </w:abstractNum>
  <w:abstractNum w:abstractNumId="3"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hanging="0"/>
      </w:pPr>
      <w:rPr>
        <w:sz w:val="28"/>
        <w:i w:val="false"/>
        <w:u w:val="none"/>
        <w:b/>
        <w:szCs w:val="28"/>
        <w:rFonts w:ascii="Times New Roman" w:hAnsi="Times New Roman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iCs w:val="false"/>
        <w:em w:val="non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426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iCs w:val="false"/>
        <w:em w:val="none"/>
        <w:vanish w:val="false"/>
        <w:rFonts w:ascii="Times New Roman" w:hAnsi="Times New Roman" w:cs="Times New Roman"/>
        <w:color w:val="000000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/>
        <w:lang w:val="ru-RU"/>
      </w:rPr>
    </w:lvl>
    <w:lvl w:ilvl="4">
      <w:start w:val="1"/>
      <w:numFmt w:val="decimal"/>
      <w:suff w:val="space"/>
      <w:lvlText w:val="Таблица %1.%5 -"/>
      <w:lvlJc w:val="left"/>
      <w:pPr>
        <w:tabs>
          <w:tab w:val="num" w:pos="0"/>
        </w:tabs>
        <w:ind w:left="357" w:hanging="357"/>
      </w:pPr>
      <w:rPr>
        <w:sz w:val="28"/>
        <w:i w:val="false"/>
        <w:b w:val="false"/>
        <w:rFonts w:ascii="Times New Roman" w:hAnsi="Times New Roman"/>
        <w:color w:val="auto"/>
      </w:rPr>
    </w:lvl>
    <w:lvl w:ilvl="5">
      <w:start w:val="1"/>
      <w:numFmt w:val="decimal"/>
      <w:suff w:val="space"/>
      <w:lvlText w:val="Рисунок %1.%6 -"/>
      <w:lvlJc w:val="left"/>
      <w:pPr>
        <w:tabs>
          <w:tab w:val="num" w:pos="0"/>
        </w:tabs>
        <w:ind w:left="1775" w:hanging="357"/>
      </w:pPr>
      <w:rPr>
        <w:sz w:val="28"/>
        <w:i w:val="false"/>
        <w:b w:val="false"/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0618"/>
        </w:tabs>
        <w:ind w:left="357" w:hanging="35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0618"/>
        </w:tabs>
        <w:ind w:left="357" w:hanging="357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618"/>
        </w:tabs>
        <w:ind w:left="357" w:hanging="357"/>
      </w:pPr>
      <w:rPr/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936a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0b3fe9"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0"/>
      <w:szCs w:val="28"/>
      <w:lang w:eastAsia="ar-SA"/>
    </w:rPr>
  </w:style>
  <w:style w:type="paragraph" w:styleId="Heading2">
    <w:name w:val="Heading 2"/>
    <w:basedOn w:val="Normal"/>
    <w:next w:val="Normal"/>
    <w:link w:val="2"/>
    <w:uiPriority w:val="9"/>
    <w:qFormat/>
    <w:rsid w:val="00e94137"/>
    <w:pPr>
      <w:keepNext w:val="true"/>
      <w:spacing w:lineRule="auto" w:line="240" w:before="0" w:after="0"/>
      <w:outlineLvl w:val="1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Heading3">
    <w:name w:val="Heading 3"/>
    <w:basedOn w:val="Normal"/>
    <w:link w:val="3"/>
    <w:uiPriority w:val="9"/>
    <w:qFormat/>
    <w:rsid w:val="000b3fe9"/>
    <w:pPr>
      <w:spacing w:lineRule="atLeast" w:line="600" w:before="300" w:after="300"/>
      <w:outlineLvl w:val="2"/>
    </w:pPr>
    <w:rPr>
      <w:rFonts w:ascii="Times New Roman" w:hAnsi="Times New Roman" w:eastAsia="Times New Roman" w:cs="Times New Roman"/>
      <w:b/>
      <w:bCs/>
      <w:color w:val="164390"/>
      <w:sz w:val="20"/>
      <w:szCs w:val="28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0b3fe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0"/>
      <w:szCs w:val="28"/>
      <w:lang w:eastAsia="ar-SA"/>
    </w:rPr>
  </w:style>
  <w:style w:type="character" w:styleId="2" w:customStyle="1">
    <w:name w:val="Заголовок 2 Знак"/>
    <w:basedOn w:val="DefaultParagraphFont"/>
    <w:uiPriority w:val="9"/>
    <w:qFormat/>
    <w:rsid w:val="00e94137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uiPriority w:val="9"/>
    <w:qFormat/>
    <w:rsid w:val="000b3fe9"/>
    <w:rPr>
      <w:rFonts w:ascii="Times New Roman" w:hAnsi="Times New Roman" w:eastAsia="Times New Roman" w:cs="Times New Roman"/>
      <w:b/>
      <w:bCs/>
      <w:color w:val="164390"/>
      <w:sz w:val="20"/>
      <w:szCs w:val="28"/>
      <w:lang w:eastAsia="ar-SA"/>
    </w:rPr>
  </w:style>
  <w:style w:type="character" w:styleId="Style6" w:customStyle="1">
    <w:name w:val="Абзац списка Знак"/>
    <w:link w:val="ListParagraph"/>
    <w:qFormat/>
    <w:locked/>
    <w:rsid w:val="00127719"/>
    <w:rPr/>
  </w:style>
  <w:style w:type="character" w:styleId="Style7" w:customStyle="1">
    <w:name w:val="Нижний колонтитул Знак"/>
    <w:basedOn w:val="DefaultParagraphFont"/>
    <w:uiPriority w:val="99"/>
    <w:qFormat/>
    <w:rsid w:val="003936ab"/>
    <w:rPr/>
  </w:style>
  <w:style w:type="character" w:styleId="Style8" w:customStyle="1">
    <w:name w:val="Без интервала Знак"/>
    <w:basedOn w:val="DefaultParagraphFont"/>
    <w:link w:val="NoSpacing"/>
    <w:uiPriority w:val="1"/>
    <w:qFormat/>
    <w:locked/>
    <w:rsid w:val="00696ba7"/>
    <w:rPr/>
  </w:style>
  <w:style w:type="character" w:styleId="Apple-style-span" w:customStyle="1">
    <w:name w:val="apple-style-span"/>
    <w:basedOn w:val="DefaultParagraphFont"/>
    <w:qFormat/>
    <w:rsid w:val="001331c6"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d344d8"/>
    <w:rPr>
      <w:rFonts w:ascii="Tahoma" w:hAnsi="Tahoma" w:cs="Tahoma"/>
      <w:sz w:val="16"/>
      <w:szCs w:val="16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557ff7"/>
    <w:rPr/>
  </w:style>
  <w:style w:type="character" w:styleId="Style11" w:customStyle="1">
    <w:name w:val="Основной текст Знак"/>
    <w:basedOn w:val="DefaultParagraphFont"/>
    <w:uiPriority w:val="99"/>
    <w:semiHidden/>
    <w:qFormat/>
    <w:rsid w:val="00041a00"/>
    <w:rPr/>
  </w:style>
  <w:style w:type="character" w:styleId="Hyperlink">
    <w:name w:val="Hyperlink"/>
    <w:basedOn w:val="DefaultParagraphFont"/>
    <w:uiPriority w:val="99"/>
    <w:unhideWhenUsed/>
    <w:rsid w:val="000b3fe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0b3fe9"/>
    <w:rPr>
      <w:b/>
      <w:bCs/>
    </w:rPr>
  </w:style>
  <w:style w:type="character" w:styleId="VVV" w:customStyle="1">
    <w:name w:val="VVV Знак"/>
    <w:link w:val="VVV1"/>
    <w:qFormat/>
    <w:locked/>
    <w:rsid w:val="000b3fe9"/>
    <w:rPr>
      <w:rFonts w:ascii="Times New Roman" w:hAnsi="Times New Roman" w:cs="Times New Roman"/>
      <w:sz w:val="24"/>
      <w:szCs w:val="28"/>
    </w:rPr>
  </w:style>
  <w:style w:type="character" w:styleId="11" w:customStyle="1">
    <w:name w:val="Строгий1"/>
    <w:qFormat/>
    <w:rsid w:val="000b3fe9"/>
    <w:rPr>
      <w:b/>
      <w:bCs/>
    </w:rPr>
  </w:style>
  <w:style w:type="character" w:styleId="Annotationreference">
    <w:name w:val="annotation reference"/>
    <w:basedOn w:val="DefaultParagraphFont"/>
    <w:uiPriority w:val="99"/>
    <w:unhideWhenUsed/>
    <w:qFormat/>
    <w:rsid w:val="000b3fe9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Annotationtext"/>
    <w:uiPriority w:val="99"/>
    <w:qFormat/>
    <w:rsid w:val="000b3fe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yle13" w:customStyle="1">
    <w:name w:val="Тема примечания Знак"/>
    <w:basedOn w:val="Style12"/>
    <w:link w:val="Annotationsubject"/>
    <w:uiPriority w:val="99"/>
    <w:semiHidden/>
    <w:qFormat/>
    <w:rsid w:val="000b3fe9"/>
    <w:rPr>
      <w:rFonts w:ascii="Times New Roman" w:hAnsi="Times New Roman" w:eastAsia="Times New Roman" w:cs="Times New Roman"/>
      <w:b/>
      <w:bCs/>
      <w:sz w:val="20"/>
      <w:szCs w:val="20"/>
      <w:lang w:eastAsia="ar-SA"/>
    </w:rPr>
  </w:style>
  <w:style w:type="character" w:styleId="Style14" w:customStyle="1">
    <w:name w:val="Основной текст с отступом Знак"/>
    <w:basedOn w:val="DefaultParagraphFont"/>
    <w:uiPriority w:val="99"/>
    <w:semiHidden/>
    <w:qFormat/>
    <w:rsid w:val="00485115"/>
    <w:rPr/>
  </w:style>
  <w:style w:type="character" w:styleId="PlaceholderText">
    <w:name w:val="Placeholder Text"/>
    <w:basedOn w:val="DefaultParagraphFont"/>
    <w:uiPriority w:val="99"/>
    <w:semiHidden/>
    <w:qFormat/>
    <w:rsid w:val="00fa5a32"/>
    <w:rPr>
      <w:color w:val="66666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11"/>
    <w:uiPriority w:val="99"/>
    <w:semiHidden/>
    <w:unhideWhenUsed/>
    <w:rsid w:val="00041a00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link w:val="Style6"/>
    <w:qFormat/>
    <w:rsid w:val="003936ab"/>
    <w:pPr>
      <w:spacing w:before="0" w:after="200"/>
      <w:ind w:left="720" w:hanging="0"/>
      <w:contextualSpacing/>
    </w:pPr>
    <w:rPr/>
  </w:style>
  <w:style w:type="paragraph" w:styleId="Style17">
    <w:name w:val="Колонтитул"/>
    <w:basedOn w:val="Normal"/>
    <w:qFormat/>
    <w:pPr/>
    <w:rPr/>
  </w:style>
  <w:style w:type="paragraph" w:styleId="Footer">
    <w:name w:val="Footer"/>
    <w:basedOn w:val="Normal"/>
    <w:link w:val="Style7"/>
    <w:uiPriority w:val="99"/>
    <w:unhideWhenUsed/>
    <w:rsid w:val="003936a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basedOn w:val="Normal"/>
    <w:link w:val="Style8"/>
    <w:uiPriority w:val="1"/>
    <w:qFormat/>
    <w:rsid w:val="00696ba7"/>
    <w:pPr>
      <w:spacing w:lineRule="auto" w:line="240" w:before="0" w:after="0"/>
    </w:pPr>
    <w:rPr/>
  </w:style>
  <w:style w:type="paragraph" w:styleId="ListNum" w:customStyle="1">
    <w:name w:val="ListNum"/>
    <w:basedOn w:val="Normal"/>
    <w:qFormat/>
    <w:rsid w:val="00bd6c67"/>
    <w:pPr>
      <w:numPr>
        <w:ilvl w:val="0"/>
        <w:numId w:val="2"/>
      </w:numPr>
      <w:tabs>
        <w:tab w:val="clear" w:pos="708"/>
        <w:tab w:val="left" w:pos="284" w:leader="none"/>
      </w:tabs>
      <w:spacing w:lineRule="auto" w:line="240" w:before="60" w:after="0"/>
      <w:jc w:val="both"/>
    </w:pPr>
    <w:rPr>
      <w:rFonts w:ascii="Times New Roman" w:hAnsi="Times New Roman" w:eastAsia="Times New Roman" w:cs="Times New Roman"/>
      <w:szCs w:val="24"/>
      <w:lang w:eastAsia="ru-RU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344d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Style10"/>
    <w:uiPriority w:val="99"/>
    <w:unhideWhenUsed/>
    <w:rsid w:val="00557ff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Number">
    <w:name w:val="List Number"/>
    <w:basedOn w:val="BodyText"/>
    <w:qFormat/>
    <w:rsid w:val="00041a00"/>
    <w:p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Normal" w:customStyle="1">
    <w:name w:val="ConsPlusNormal"/>
    <w:qFormat/>
    <w:rsid w:val="00d34aeb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12" w:customStyle="1">
    <w:name w:val="ДОК Заголовок 1"/>
    <w:basedOn w:val="Normal"/>
    <w:next w:val="Normal"/>
    <w:qFormat/>
    <w:rsid w:val="000b3fe9"/>
    <w:pPr>
      <w:pageBreakBefore/>
      <w:numPr>
        <w:ilvl w:val="0"/>
        <w:numId w:val="3"/>
      </w:numPr>
      <w:spacing w:before="120" w:after="120"/>
      <w:outlineLvl w:val="0"/>
    </w:pPr>
    <w:rPr>
      <w:rFonts w:ascii="Times New Roman" w:hAnsi="Times New Roman" w:eastAsia="Times New Roman" w:cs="Times New Roman"/>
      <w:b/>
      <w:bCs/>
      <w:caps/>
      <w:sz w:val="20"/>
      <w:lang w:eastAsia="ar-SA"/>
    </w:rPr>
  </w:style>
  <w:style w:type="paragraph" w:styleId="NormalWeb">
    <w:name w:val="Normal (Web)"/>
    <w:basedOn w:val="Normal"/>
    <w:uiPriority w:val="99"/>
    <w:unhideWhenUsed/>
    <w:qFormat/>
    <w:rsid w:val="000b3fe9"/>
    <w:pPr>
      <w:spacing w:before="351" w:after="351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VVV1" w:customStyle="1">
    <w:name w:val="VVV"/>
    <w:link w:val="VVV"/>
    <w:qFormat/>
    <w:rsid w:val="000b3fe9"/>
    <w:pPr>
      <w:widowControl/>
      <w:bidi w:val="0"/>
      <w:spacing w:lineRule="auto" w:line="240" w:before="0" w:after="0"/>
      <w:ind w:firstLine="709"/>
      <w:jc w:val="both"/>
    </w:pPr>
    <w:rPr>
      <w:rFonts w:ascii="Times New Roman" w:hAnsi="Times New Roman" w:cs="Times New Roman" w:eastAsia="Calibri" w:eastAsiaTheme="minorHAnsi"/>
      <w:color w:val="auto"/>
      <w:kern w:val="0"/>
      <w:sz w:val="24"/>
      <w:szCs w:val="28"/>
      <w:lang w:val="ru-RU" w:eastAsia="en-US" w:bidi="ar-SA"/>
    </w:rPr>
  </w:style>
  <w:style w:type="paragraph" w:styleId="VVV-0" w:customStyle="1">
    <w:name w:val="VVV-0"/>
    <w:basedOn w:val="VVV1"/>
    <w:qFormat/>
    <w:rsid w:val="000b3fe9"/>
    <w:pPr>
      <w:ind w:hanging="0"/>
    </w:pPr>
    <w:rPr/>
  </w:style>
  <w:style w:type="paragraph" w:styleId="Annotationtext">
    <w:name w:val="annotation text"/>
    <w:basedOn w:val="Normal"/>
    <w:link w:val="Style12"/>
    <w:uiPriority w:val="99"/>
    <w:unhideWhenUsed/>
    <w:qFormat/>
    <w:rsid w:val="000b3fe9"/>
    <w:pPr>
      <w:spacing w:lineRule="auto" w:line="24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Annotationsubject">
    <w:name w:val="annotation subject"/>
    <w:basedOn w:val="Annotationtext"/>
    <w:next w:val="Annotationtext"/>
    <w:link w:val="Style13"/>
    <w:uiPriority w:val="99"/>
    <w:semiHidden/>
    <w:unhideWhenUsed/>
    <w:qFormat/>
    <w:rsid w:val="000b3fe9"/>
    <w:pPr/>
    <w:rPr>
      <w:b/>
      <w:bCs/>
    </w:rPr>
  </w:style>
  <w:style w:type="paragraph" w:styleId="BodyTextIndent">
    <w:name w:val="Body Text Indent"/>
    <w:basedOn w:val="Normal"/>
    <w:link w:val="Style14"/>
    <w:uiPriority w:val="99"/>
    <w:semiHidden/>
    <w:unhideWhenUsed/>
    <w:rsid w:val="00485115"/>
    <w:pPr>
      <w:spacing w:before="0" w:after="12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0b3fe9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06393360A3C087CD439C7D82A307FEC2034BEF13D3BBC9B762A642BCD04563279AB154F63008176A6CF0F44907EAD" TargetMode="External"/><Relationship Id="rId3" Type="http://schemas.openxmlformats.org/officeDocument/2006/relationships/hyperlink" Target="consultantplus://offline/ref=333C8BF371FB9D53CC71749BE788CCF51717AFF0A138BBAF20E8FF3D86513BF77402C8BE6DC64656D32D1CEAFC87F87B7199B5F18C47356BhBFBD" TargetMode="Externa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<Relationship Id="rId10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07DBB27F92F46F88AA9CBE589E0C7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CD0E11-FE0A-43C9-8E5F-32C846A9CA7D}"/>
      </w:docPartPr>
      <w:docPartBody>
        <w:p w:rsidR="00F05BC4" w:rsidRDefault="005F590E" w:rsidP="005F590E">
          <w:pPr>
            <w:pStyle w:val="307DBB27F92F46F88AA9CBE589E0C78F"/>
          </w:pPr>
          <w:r w:rsidRPr="00290DF6">
            <w:rPr>
              <w:rStyle w:val="a3"/>
            </w:rPr>
            <w:t>Выберите элемент.</w:t>
          </w:r>
        </w:p>
      </w:docPartBody>
    </w:docPart>
    <w:docPart>
      <w:docPartPr>
        <w:name w:val="D8C822D782594922A5BEC2C5886883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3EA8E0-77E0-49BA-939C-0D588BC5E84F}"/>
      </w:docPartPr>
      <w:docPartBody>
        <w:p w:rsidR="00F05BC4" w:rsidRDefault="005F590E" w:rsidP="005F590E">
          <w:pPr>
            <w:pStyle w:val="D8C822D782594922A5BEC2C5886883B2"/>
          </w:pPr>
          <w:r w:rsidRPr="00290DF6">
            <w:rPr>
              <w:rStyle w:val="a3"/>
            </w:rPr>
            <w:t>Выберите элемент.</w:t>
          </w:r>
        </w:p>
      </w:docPartBody>
    </w:docPart>
    <w:docPart>
      <w:docPartPr>
        <w:name w:val="79E6F602C4F1419CA919FBDDE12327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E09031-DA9D-4839-ABDD-68D4CBF79E27}"/>
      </w:docPartPr>
      <w:docPartBody>
        <w:p w:rsidR="00F05BC4" w:rsidRDefault="005F590E" w:rsidP="005F590E">
          <w:pPr>
            <w:pStyle w:val="79E6F602C4F1419CA919FBDDE1232799"/>
          </w:pPr>
          <w:r w:rsidRPr="00290DF6">
            <w:rPr>
              <w:rStyle w:val="a3"/>
            </w:rPr>
            <w:t>Выберите элемент.</w:t>
          </w:r>
        </w:p>
      </w:docPartBody>
    </w:docPart>
    <w:docPart>
      <w:docPartPr>
        <w:name w:val="CBBEB5D63AC7457FAA2D47DEF3E00F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6C417F-ADD6-4FC8-BD69-8F2EF712258E}"/>
      </w:docPartPr>
      <w:docPartBody>
        <w:p w:rsidR="00F05BC4" w:rsidRDefault="005F590E" w:rsidP="005F590E">
          <w:pPr>
            <w:pStyle w:val="CBBEB5D63AC7457FAA2D47DEF3E00FEF"/>
          </w:pPr>
          <w:r w:rsidRPr="00290DF6">
            <w:rPr>
              <w:rStyle w:val="a3"/>
            </w:rPr>
            <w:t>Выберите элемент.</w:t>
          </w:r>
        </w:p>
      </w:docPartBody>
    </w:docPart>
    <w:docPart>
      <w:docPartPr>
        <w:name w:val="B2E735B0E2EF4BBC8DD2F87C4748E2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C00B0-3B71-4B27-BB29-33E038863364}"/>
      </w:docPartPr>
      <w:docPartBody>
        <w:p w:rsidR="00F05BC4" w:rsidRDefault="005F590E" w:rsidP="005F590E">
          <w:pPr>
            <w:pStyle w:val="B2E735B0E2EF4BBC8DD2F87C4748E25B"/>
          </w:pPr>
          <w:r w:rsidRPr="00290DF6">
            <w:rPr>
              <w:rStyle w:val="a3"/>
            </w:rPr>
            <w:t>Выберите элемент.</w:t>
          </w:r>
        </w:p>
      </w:docPartBody>
    </w:docPart>
    <w:docPart>
      <w:docPartPr>
        <w:name w:val="51ECD91BC62E4EDEBE43E8468B3ACA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275D6E-0F79-4EAF-B742-A1649DDE3874}"/>
      </w:docPartPr>
      <w:docPartBody>
        <w:p w:rsidR="00F05BC4" w:rsidRDefault="005F590E" w:rsidP="005F590E">
          <w:pPr>
            <w:pStyle w:val="51ECD91BC62E4EDEBE43E8468B3ACA21"/>
          </w:pPr>
          <w:r w:rsidRPr="00290DF6">
            <w:rPr>
              <w:rStyle w:val="a3"/>
            </w:rPr>
            <w:t>Выберите элемент.</w:t>
          </w:r>
        </w:p>
      </w:docPartBody>
    </w:docPart>
    <w:docPart>
      <w:docPartPr>
        <w:name w:val="663F977B6AC7498B8A7EC524DFC409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A9C363-E78F-4F01-90C9-8F27D939792C}"/>
      </w:docPartPr>
      <w:docPartBody>
        <w:p w:rsidR="00F05BC4" w:rsidRDefault="005F590E" w:rsidP="005F590E">
          <w:pPr>
            <w:pStyle w:val="663F977B6AC7498B8A7EC524DFC4097C"/>
          </w:pPr>
          <w:r w:rsidRPr="00290DF6">
            <w:rPr>
              <w:rStyle w:val="a3"/>
            </w:rPr>
            <w:t>Выберите элемент.</w:t>
          </w:r>
        </w:p>
      </w:docPartBody>
    </w:docPart>
    <w:docPart>
      <w:docPartPr>
        <w:name w:val="4A03545779B24D2582D02D72D16D22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FE1841-5F73-430F-B9FB-5E4C2685191E}"/>
      </w:docPartPr>
      <w:docPartBody>
        <w:p w:rsidR="00F05BC4" w:rsidRDefault="005F590E" w:rsidP="005F590E">
          <w:pPr>
            <w:pStyle w:val="4A03545779B24D2582D02D72D16D22B0"/>
          </w:pPr>
          <w:r w:rsidRPr="00290DF6">
            <w:rPr>
              <w:rStyle w:val="a3"/>
            </w:rPr>
            <w:t>Выберите элемент.</w:t>
          </w:r>
        </w:p>
      </w:docPartBody>
    </w:docPart>
    <w:docPart>
      <w:docPartPr>
        <w:name w:val="7FF8A2776D9D43F1BC2D959B7B8DB4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AD93A9-EE36-4DF9-A1CE-A816DEFD6E7B}"/>
      </w:docPartPr>
      <w:docPartBody>
        <w:p w:rsidR="00A86DF3" w:rsidRDefault="00F05BC4" w:rsidP="00F05BC4">
          <w:pPr>
            <w:pStyle w:val="7FF8A2776D9D43F1BC2D959B7B8DB479"/>
          </w:pPr>
          <w:r w:rsidRPr="00290DF6">
            <w:rPr>
              <w:rStyle w:val="a3"/>
            </w:rPr>
            <w:t>Выберите элемент.</w:t>
          </w:r>
        </w:p>
      </w:docPartBody>
    </w:docPart>
    <w:docPart>
      <w:docPartPr>
        <w:name w:val="FFE82B24A8194523A0BC032BC4023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A4851F-CFA7-4FCC-AFFA-4C7BE26F49D6}"/>
      </w:docPartPr>
      <w:docPartBody>
        <w:p w:rsidR="00A86DF3" w:rsidRDefault="00F05BC4" w:rsidP="00F05BC4">
          <w:pPr>
            <w:pStyle w:val="FFE82B24A8194523A0BC032BC40239E9"/>
          </w:pPr>
          <w:r w:rsidRPr="00290DF6">
            <w:rPr>
              <w:rStyle w:val="a3"/>
            </w:rPr>
            <w:t>Выберите элемент.</w:t>
          </w:r>
        </w:p>
      </w:docPartBody>
    </w:docPart>
    <w:docPart>
      <w:docPartPr>
        <w:name w:val="6C0922E36D6E47C4ABC929B2CF93A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9BD8E-C790-4BE1-B256-171745879488}"/>
      </w:docPartPr>
      <w:docPartBody>
        <w:p w:rsidR="00A86DF3" w:rsidRDefault="00F05BC4" w:rsidP="00F05BC4">
          <w:pPr>
            <w:pStyle w:val="6C0922E36D6E47C4ABC929B2CF93ABF5"/>
          </w:pPr>
          <w:r w:rsidRPr="00290DF6">
            <w:rPr>
              <w:rStyle w:val="a3"/>
            </w:rPr>
            <w:t>Выберите элемент.</w:t>
          </w:r>
        </w:p>
      </w:docPartBody>
    </w:docPart>
    <w:docPart>
      <w:docPartPr>
        <w:name w:val="37ABE0F2FC7C4AE28D176CFE6C2998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06688-456B-4F22-98D2-9FEB16425E2B}"/>
      </w:docPartPr>
      <w:docPartBody>
        <w:p w:rsidR="00A86DF3" w:rsidRDefault="00F05BC4" w:rsidP="00F05BC4">
          <w:pPr>
            <w:pStyle w:val="37ABE0F2FC7C4AE28D176CFE6C2998A9"/>
          </w:pPr>
          <w:r w:rsidRPr="00290DF6">
            <w:rPr>
              <w:rStyle w:val="a3"/>
            </w:rPr>
            <w:t>Выберите элемент.</w:t>
          </w:r>
        </w:p>
      </w:docPartBody>
    </w:docPart>
    <w:docPart>
      <w:docPartPr>
        <w:name w:val="B362B8C81A7F4FDC8823C305A8101C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4B15EC-9E3E-4AF8-A609-9F417E012AC5}"/>
      </w:docPartPr>
      <w:docPartBody>
        <w:p w:rsidR="00A86DF3" w:rsidRDefault="00F05BC4" w:rsidP="00F05BC4">
          <w:pPr>
            <w:pStyle w:val="B362B8C81A7F4FDC8823C305A8101CBD"/>
          </w:pPr>
          <w:r w:rsidRPr="00290DF6">
            <w:rPr>
              <w:rStyle w:val="a3"/>
            </w:rPr>
            <w:t>Выберите элемент.</w:t>
          </w:r>
        </w:p>
      </w:docPartBody>
    </w:docPart>
    <w:docPart>
      <w:docPartPr>
        <w:name w:val="9BFD7E50EC9240CCA0CA20A35DB05E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798DD7-D70F-497F-B287-75E3DC08C2D2}"/>
      </w:docPartPr>
      <w:docPartBody>
        <w:p w:rsidR="00A86DF3" w:rsidRDefault="00F05BC4" w:rsidP="00F05BC4">
          <w:pPr>
            <w:pStyle w:val="9BFD7E50EC9240CCA0CA20A35DB05E6A"/>
          </w:pPr>
          <w:r w:rsidRPr="00290DF6">
            <w:rPr>
              <w:rStyle w:val="a3"/>
            </w:rPr>
            <w:t>Выберите элемент.</w:t>
          </w:r>
        </w:p>
      </w:docPartBody>
    </w:docPart>
    <w:docPart>
      <w:docPartPr>
        <w:name w:val="ECD58807B6F8491EB91976D6FA9FB7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4CB215-63B6-462F-BA29-6A55A17B4DDF}"/>
      </w:docPartPr>
      <w:docPartBody>
        <w:p w:rsidR="00A86DF3" w:rsidRDefault="00F05BC4" w:rsidP="00F05BC4">
          <w:pPr>
            <w:pStyle w:val="ECD58807B6F8491EB91976D6FA9FB7CA"/>
          </w:pPr>
          <w:r w:rsidRPr="00290DF6">
            <w:rPr>
              <w:rStyle w:val="a3"/>
            </w:rPr>
            <w:t>Выберите элемент.</w:t>
          </w:r>
        </w:p>
      </w:docPartBody>
    </w:docPart>
    <w:docPart>
      <w:docPartPr>
        <w:name w:val="1BD8729BC3514B88825169768EBE1A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908913-1CED-494D-B2ED-9BE9A6BF4D89}"/>
      </w:docPartPr>
      <w:docPartBody>
        <w:p w:rsidR="00A86DF3" w:rsidRDefault="00F05BC4" w:rsidP="00F05BC4">
          <w:pPr>
            <w:pStyle w:val="1BD8729BC3514B88825169768EBE1A86"/>
          </w:pPr>
          <w:r w:rsidRPr="00290DF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92"/>
    <w:rsid w:val="0016755D"/>
    <w:rsid w:val="001C1A05"/>
    <w:rsid w:val="002D3E92"/>
    <w:rsid w:val="002E19B0"/>
    <w:rsid w:val="002E5C20"/>
    <w:rsid w:val="004951DE"/>
    <w:rsid w:val="004964AF"/>
    <w:rsid w:val="004F7ED1"/>
    <w:rsid w:val="005F590E"/>
    <w:rsid w:val="006C07B7"/>
    <w:rsid w:val="00846452"/>
    <w:rsid w:val="00962B7A"/>
    <w:rsid w:val="009E57DE"/>
    <w:rsid w:val="00A86DF3"/>
    <w:rsid w:val="00B4255B"/>
    <w:rsid w:val="00D678AE"/>
    <w:rsid w:val="00D9229A"/>
    <w:rsid w:val="00F05BC4"/>
    <w:rsid w:val="00F171BE"/>
    <w:rsid w:val="00F4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5BC4"/>
    <w:rPr>
      <w:color w:val="666666"/>
    </w:rPr>
  </w:style>
  <w:style w:type="paragraph" w:customStyle="1" w:styleId="7FF8A2776D9D43F1BC2D959B7B8DB479">
    <w:name w:val="7FF8A2776D9D43F1BC2D959B7B8DB479"/>
    <w:rsid w:val="00F05BC4"/>
  </w:style>
  <w:style w:type="paragraph" w:customStyle="1" w:styleId="FFE82B24A8194523A0BC032BC40239E9">
    <w:name w:val="FFE82B24A8194523A0BC032BC40239E9"/>
    <w:rsid w:val="00F05BC4"/>
  </w:style>
  <w:style w:type="paragraph" w:customStyle="1" w:styleId="6C0922E36D6E47C4ABC929B2CF93ABF5">
    <w:name w:val="6C0922E36D6E47C4ABC929B2CF93ABF5"/>
    <w:rsid w:val="00F05BC4"/>
  </w:style>
  <w:style w:type="paragraph" w:customStyle="1" w:styleId="37ABE0F2FC7C4AE28D176CFE6C2998A9">
    <w:name w:val="37ABE0F2FC7C4AE28D176CFE6C2998A9"/>
    <w:rsid w:val="00F05BC4"/>
  </w:style>
  <w:style w:type="paragraph" w:customStyle="1" w:styleId="B362B8C81A7F4FDC8823C305A8101CBD">
    <w:name w:val="B362B8C81A7F4FDC8823C305A8101CBD"/>
    <w:rsid w:val="00F05BC4"/>
  </w:style>
  <w:style w:type="paragraph" w:customStyle="1" w:styleId="9BFD7E50EC9240CCA0CA20A35DB05E6A">
    <w:name w:val="9BFD7E50EC9240CCA0CA20A35DB05E6A"/>
    <w:rsid w:val="00F05BC4"/>
  </w:style>
  <w:style w:type="paragraph" w:customStyle="1" w:styleId="ECD58807B6F8491EB91976D6FA9FB7CA">
    <w:name w:val="ECD58807B6F8491EB91976D6FA9FB7CA"/>
    <w:rsid w:val="00F05BC4"/>
  </w:style>
  <w:style w:type="paragraph" w:customStyle="1" w:styleId="1BD8729BC3514B88825169768EBE1A86">
    <w:name w:val="1BD8729BC3514B88825169768EBE1A86"/>
    <w:rsid w:val="00F05BC4"/>
  </w:style>
  <w:style w:type="paragraph" w:customStyle="1" w:styleId="307DBB27F92F46F88AA9CBE589E0C78F">
    <w:name w:val="307DBB27F92F46F88AA9CBE589E0C78F"/>
    <w:rsid w:val="005F590E"/>
  </w:style>
  <w:style w:type="paragraph" w:customStyle="1" w:styleId="D8C822D782594922A5BEC2C5886883B2">
    <w:name w:val="D8C822D782594922A5BEC2C5886883B2"/>
    <w:rsid w:val="005F590E"/>
  </w:style>
  <w:style w:type="paragraph" w:customStyle="1" w:styleId="79E6F602C4F1419CA919FBDDE1232799">
    <w:name w:val="79E6F602C4F1419CA919FBDDE1232799"/>
    <w:rsid w:val="005F590E"/>
  </w:style>
  <w:style w:type="paragraph" w:customStyle="1" w:styleId="CBBEB5D63AC7457FAA2D47DEF3E00FEF">
    <w:name w:val="CBBEB5D63AC7457FAA2D47DEF3E00FEF"/>
    <w:rsid w:val="005F590E"/>
  </w:style>
  <w:style w:type="paragraph" w:customStyle="1" w:styleId="B2E735B0E2EF4BBC8DD2F87C4748E25B">
    <w:name w:val="B2E735B0E2EF4BBC8DD2F87C4748E25B"/>
    <w:rsid w:val="005F590E"/>
  </w:style>
  <w:style w:type="paragraph" w:customStyle="1" w:styleId="51ECD91BC62E4EDEBE43E8468B3ACA21">
    <w:name w:val="51ECD91BC62E4EDEBE43E8468B3ACA21"/>
    <w:rsid w:val="005F590E"/>
  </w:style>
  <w:style w:type="paragraph" w:customStyle="1" w:styleId="663F977B6AC7498B8A7EC524DFC4097C">
    <w:name w:val="663F977B6AC7498B8A7EC524DFC4097C"/>
    <w:rsid w:val="005F590E"/>
  </w:style>
  <w:style w:type="paragraph" w:customStyle="1" w:styleId="4A03545779B24D2582D02D72D16D22B0">
    <w:name w:val="4A03545779B24D2582D02D72D16D22B0"/>
    <w:rsid w:val="005F59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2B733-D9B0-4F7F-BA29-CBCADDD3E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AlterOffice/3.3.0.4$Linux_X86_64 LibreOffice_project/fa736b558560ebea8f92088bfd7720f4b3918f3f</Application>
  <AppVersion>15.0000</AppVersion>
  <Pages>13</Pages>
  <Words>1775</Words>
  <Characters>12348</Characters>
  <CharactersWithSpaces>13895</CharactersWithSpaces>
  <Paragraphs>205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2024-10-23T05:43:00Z</dcterms:created>
  <dc:creator>Нейский Павел Михайлович</dc:creator>
  <dc:description/>
  <dc:language>ru-RU</dc:language>
  <cp:lastModifiedBy>burnaev_av</cp:lastModifiedBy>
  <dcterms:modified xsi:type="dcterms:W3CDTF">2026-09-11T11:11:33Z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