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11.09.2026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w:t>
      </w:r>
      <w:r>
        <w:rPr>
          <w:sz w:val="26"/>
          <w:szCs w:val="26"/>
        </w:rPr>
        <w:t>огут быть только субъекты МСП,</w:t>
        <w:br/>
        <w:t>на право заключения договора н</w:t>
      </w:r>
      <w:r>
        <w:rPr>
          <w:sz w:val="26"/>
          <w:szCs w:val="26"/>
          <w:shd w:fill="auto" w:val="clear"/>
        </w:rPr>
        <w:t>а </w:t>
      </w:r>
      <w:r>
        <w:rPr>
          <w:rStyle w:val="Style8"/>
          <w:b/>
          <w:bCs/>
          <w:caps w:val="false"/>
          <w:smallCaps w:val="false"/>
          <w:strike w:val="false"/>
          <w:dstrike w:val="false"/>
          <w:color w:val="222222"/>
          <w:spacing w:val="0"/>
          <w:sz w:val="26"/>
          <w:szCs w:val="26"/>
          <w:u w:val="none"/>
          <w:effect w:val="none"/>
          <w:shd w:fill="auto" w:val="clear"/>
        </w:rPr>
        <w:tab/>
        <w:t>ОКДП2 42.22.12.110 Выполнение проектных, строительно-монтажных работ (включая поставку оборудования и материалов) для технологического присоединения к электрическим сетям заявителя Ермолаев А.А. (O_25-ПЭС-5678 ТП НС; P_25-ПЭС-6019 ТП) в Приморском крае, г. Владивосток</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i w:val="false"/>
          <w:iCs w:val="false"/>
          <w:sz w:val="26"/>
          <w:szCs w:val="26"/>
          <w:shd w:fill="auto" w:val="clear"/>
        </w:rPr>
        <w:t>314101-КС ПИР СМР-2026-ДРСК-ПЭС</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"[РусГидро] Пункт,3,УРОВЕНЬ_-,5,[РГ] Подпункт,4,[РГ] Подраздел,2,[РГ]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Подраздел,2,[РусГидро] Пункт,3,[РусГидро]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numPr>
          <w:ilvl w:val="0"/>
          <w:numId w:val="0"/>
        </w:numPr>
        <w:ind w:left="0" w:hanging="0"/>
        <w:rPr/>
      </w:pPr>
      <w:r>
        <w:rPr/>
        <w:t>В настоящем разделе содержатся основные сведения о предмете, способе и иных ключевых условиях проводимой закупки.</w:t>
      </w:r>
    </w:p>
    <w:p>
      <w:pPr>
        <w:pStyle w:val="Style26"/>
        <w:numPr>
          <w:ilvl w:val="0"/>
          <w:numId w:val="0"/>
        </w:numPr>
        <w:ind w:left="0" w:hanging="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numPr>
          <w:ilvl w:val="0"/>
          <w:numId w:val="0"/>
        </w:numPr>
        <w:ind w:left="0" w:hanging="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b w:val="false"/>
                <w:bCs w:val="false"/>
                <w:i w:val="false"/>
                <w:i w:val="false"/>
                <w:iCs w:val="false"/>
              </w:rPr>
            </w:pPr>
            <w:r>
              <w:rPr>
                <w:rFonts w:eastAsia="Calibri" w:cs=""/>
                <w:b w:val="false"/>
                <w:bCs w:val="false"/>
                <w:i w:val="false"/>
                <w:iCs w:val="false"/>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pacing w:before="240" w:after="0"/>
              <w:jc w:val="left"/>
              <w:rPr/>
            </w:pP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ОКДП2 42.22.12.110 Выполнение проектных, строительно-монтажных работ (включая поставку оборудования и материалов) для технологического присоединения к электрическим сетям заявителя Ермолаев А.А. (O_25-ПЭС-5678 ТП НС; P_25-ПЭС-6019 ТП) в Приморском крае, г. Владивосток</w:t>
            </w:r>
          </w:p>
          <w:p>
            <w:pPr>
              <w:pStyle w:val="Normal"/>
              <w:widowControl w:val="false"/>
              <w:spacing w:before="240" w:after="0"/>
              <w:jc w:val="left"/>
              <w:rPr/>
            </w:pP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314101-КС ПИР СМР-2026-ДРСК-ПЭС</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11.09.26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3 827 381,72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11.09.2026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21.09.2026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21.09.2026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30.09.2026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15.10.2026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16.10.2026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numPr>
          <w:ilvl w:val="0"/>
          <w:numId w:val="0"/>
        </w:numPr>
        <w:ind w:left="0" w:hanging="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numPr>
          <w:ilvl w:val="0"/>
          <w:numId w:val="0"/>
        </w:numPr>
        <w:ind w:left="0" w:hanging="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numPr>
          <w:ilvl w:val="0"/>
          <w:numId w:val="0"/>
        </w:numPr>
        <w:ind w:left="0" w:hanging="0"/>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numPr>
          <w:ilvl w:val="0"/>
          <w:numId w:val="0"/>
        </w:numPr>
        <w:ind w:left="0" w:hanging="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numPr>
          <w:ilvl w:val="0"/>
          <w:numId w:val="0"/>
        </w:numPr>
        <w:ind w:left="0" w:hanging="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numPr>
          <w:ilvl w:val="0"/>
          <w:numId w:val="0"/>
        </w:numPr>
        <w:ind w:left="0" w:hanging="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numPr>
          <w:ilvl w:val="0"/>
          <w:numId w:val="0"/>
        </w:numPr>
        <w:ind w:left="0" w:hanging="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r>
      <w:r>
        <w:rPr/>
        <w:fldChar w:fldCharType="end"/>
      </w:r>
      <w:bookmarkEnd w:id="63"/>
      <w:r>
        <w:rPr/>
        <w:t>.</w:t>
      </w:r>
    </w:p>
    <w:p>
      <w:pPr>
        <w:pStyle w:val="Style26"/>
        <w:numPr>
          <w:ilvl w:val="0"/>
          <w:numId w:val="0"/>
        </w:numPr>
        <w:ind w:left="0" w:hanging="0"/>
        <w:rPr/>
      </w:pPr>
      <w:r>
        <w:rPr/>
        <w:t>Заключенный по результатам закупки Договор, в том числе, фиксирует все достигнутые сторонами договоренности.</w:t>
      </w:r>
    </w:p>
    <w:p>
      <w:pPr>
        <w:pStyle w:val="Style26"/>
        <w:numPr>
          <w:ilvl w:val="0"/>
          <w:numId w:val="0"/>
        </w:numPr>
        <w:ind w:left="0" w:hanging="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numPr>
          <w:ilvl w:val="0"/>
          <w:numId w:val="0"/>
        </w:numPr>
        <w:ind w:left="0" w:hanging="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numPr>
          <w:ilvl w:val="0"/>
          <w:numId w:val="0"/>
        </w:numPr>
        <w:ind w:left="0" w:hanging="0"/>
        <w:rPr/>
      </w:pPr>
      <w:r>
        <w:rPr/>
        <w:t>Иные документы Организатора и Участников не определяют права и обязанности сторон в связи с данной закупкой.</w:t>
      </w:r>
    </w:p>
    <w:p>
      <w:pPr>
        <w:pStyle w:val="Style26"/>
        <w:numPr>
          <w:ilvl w:val="0"/>
          <w:numId w:val="0"/>
        </w:numPr>
        <w:ind w:left="0" w:hanging="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numPr>
          <w:ilvl w:val="0"/>
          <w:numId w:val="0"/>
        </w:numPr>
        <w:ind w:left="0" w:hanging="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numPr>
          <w:ilvl w:val="0"/>
          <w:numId w:val="0"/>
        </w:numPr>
        <w:ind w:left="0" w:hanging="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numPr>
          <w:ilvl w:val="0"/>
          <w:numId w:val="0"/>
        </w:numPr>
        <w:ind w:left="0" w:hanging="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numPr>
          <w:ilvl w:val="0"/>
          <w:numId w:val="0"/>
        </w:numPr>
        <w:ind w:left="0" w:hanging="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numPr>
          <w:ilvl w:val="0"/>
          <w:numId w:val="0"/>
        </w:numPr>
        <w:ind w:left="0" w:hanging="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numPr>
          <w:ilvl w:val="0"/>
          <w:numId w:val="0"/>
        </w:numPr>
        <w:ind w:left="0" w:hanging="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numPr>
          <w:ilvl w:val="0"/>
          <w:numId w:val="0"/>
        </w:numPr>
        <w:ind w:left="0" w:hanging="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numPr>
          <w:ilvl w:val="0"/>
          <w:numId w:val="0"/>
        </w:numPr>
        <w:ind w:left="0" w:hanging="0"/>
        <w:rPr/>
      </w:pPr>
      <w:r>
        <w:rPr/>
        <w:t>Правила проведения закупки в том числе определяются Регламентом ЭП.</w:t>
      </w:r>
    </w:p>
    <w:p>
      <w:pPr>
        <w:pStyle w:val="Style26"/>
        <w:numPr>
          <w:ilvl w:val="0"/>
          <w:numId w:val="0"/>
        </w:numPr>
        <w:ind w:left="0" w:hanging="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numPr>
          <w:ilvl w:val="0"/>
          <w:numId w:val="0"/>
        </w:numPr>
        <w:ind w:left="0" w:hanging="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numPr>
          <w:ilvl w:val="0"/>
          <w:numId w:val="0"/>
        </w:numPr>
        <w:ind w:left="0" w:hanging="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numPr>
          <w:ilvl w:val="0"/>
          <w:numId w:val="0"/>
        </w:numPr>
        <w:ind w:left="0" w:hanging="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numPr>
          <w:ilvl w:val="0"/>
          <w:numId w:val="0"/>
        </w:numPr>
        <w:ind w:left="0" w:hanging="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numPr>
          <w:ilvl w:val="0"/>
          <w:numId w:val="0"/>
        </w:numPr>
        <w:ind w:left="0" w:hanging="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numPr>
          <w:ilvl w:val="0"/>
          <w:numId w:val="0"/>
        </w:numPr>
        <w:ind w:left="0" w:hanging="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numPr>
          <w:ilvl w:val="0"/>
          <w:numId w:val="0"/>
        </w:numPr>
        <w:ind w:left="0" w:hanging="0"/>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numPr>
          <w:ilvl w:val="0"/>
          <w:numId w:val="0"/>
        </w:numPr>
        <w:ind w:left="0" w:hanging="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numPr>
          <w:ilvl w:val="0"/>
          <w:numId w:val="0"/>
        </w:numPr>
        <w:ind w:left="0" w:hanging="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numPr>
          <w:ilvl w:val="0"/>
          <w:numId w:val="0"/>
        </w:numPr>
        <w:ind w:left="0" w:hanging="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numPr>
          <w:ilvl w:val="0"/>
          <w:numId w:val="0"/>
        </w:numPr>
        <w:ind w:left="0" w:hanging="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numPr>
          <w:ilvl w:val="0"/>
          <w:numId w:val="0"/>
        </w:numPr>
        <w:ind w:left="0" w:hanging="0"/>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numPr>
          <w:ilvl w:val="0"/>
          <w:numId w:val="0"/>
        </w:numPr>
        <w:ind w:left="0" w:hanging="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numPr>
          <w:ilvl w:val="0"/>
          <w:numId w:val="0"/>
        </w:numPr>
        <w:spacing w:before="120" w:after="120"/>
        <w:ind w:left="0" w:hanging="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numPr>
          <w:ilvl w:val="0"/>
          <w:numId w:val="0"/>
        </w:numPr>
        <w:ind w:left="0" w:hanging="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numPr>
          <w:ilvl w:val="0"/>
          <w:numId w:val="0"/>
        </w:numPr>
        <w:ind w:left="0" w:hanging="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numPr>
          <w:ilvl w:val="0"/>
          <w:numId w:val="0"/>
        </w:numPr>
        <w:ind w:left="0" w:hanging="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numPr>
          <w:ilvl w:val="0"/>
          <w:numId w:val="0"/>
        </w:numPr>
        <w:ind w:left="0" w:hanging="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numPr>
          <w:ilvl w:val="0"/>
          <w:numId w:val="0"/>
        </w:numPr>
        <w:ind w:left="0" w:hanging="0"/>
        <w:rPr/>
      </w:pPr>
      <w:r>
        <w:rPr/>
        <w:t>Участник должен подготовить заявку с учетом требований Документации о закупке.</w:t>
      </w:r>
    </w:p>
    <w:p>
      <w:pPr>
        <w:pStyle w:val="Style26"/>
        <w:numPr>
          <w:ilvl w:val="0"/>
          <w:numId w:val="0"/>
        </w:numPr>
        <w:ind w:left="0" w:hanging="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numPr>
          <w:ilvl w:val="0"/>
          <w:numId w:val="0"/>
        </w:numPr>
        <w:ind w:left="0" w:hanging="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numPr>
          <w:ilvl w:val="0"/>
          <w:numId w:val="0"/>
        </w:numPr>
        <w:ind w:left="0" w:hanging="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numPr>
          <w:ilvl w:val="0"/>
          <w:numId w:val="0"/>
        </w:numPr>
        <w:ind w:left="0" w:hanging="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numPr>
          <w:ilvl w:val="0"/>
          <w:numId w:val="0"/>
        </w:numPr>
        <w:ind w:left="0" w:hanging="0"/>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numPr>
          <w:ilvl w:val="0"/>
          <w:numId w:val="0"/>
        </w:numPr>
        <w:ind w:left="0" w:hanging="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numPr>
          <w:ilvl w:val="0"/>
          <w:numId w:val="0"/>
        </w:numPr>
        <w:ind w:left="0" w:hanging="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numPr>
          <w:ilvl w:val="0"/>
          <w:numId w:val="0"/>
        </w:numPr>
        <w:ind w:left="0" w:hanging="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numPr>
          <w:ilvl w:val="0"/>
          <w:numId w:val="0"/>
        </w:numPr>
        <w:ind w:left="0" w:hanging="0"/>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numPr>
          <w:ilvl w:val="0"/>
          <w:numId w:val="0"/>
        </w:numPr>
        <w:ind w:left="0" w:hanging="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numPr>
          <w:ilvl w:val="0"/>
          <w:numId w:val="0"/>
        </w:numPr>
        <w:ind w:left="0" w:hanging="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numPr>
          <w:ilvl w:val="0"/>
          <w:numId w:val="0"/>
        </w:numPr>
        <w:ind w:left="0" w:hanging="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numPr>
          <w:ilvl w:val="0"/>
          <w:numId w:val="0"/>
        </w:numPr>
        <w:ind w:left="0" w:hanging="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numPr>
          <w:ilvl w:val="0"/>
          <w:numId w:val="0"/>
        </w:numPr>
        <w:ind w:left="0" w:hanging="0"/>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numPr>
          <w:ilvl w:val="0"/>
          <w:numId w:val="0"/>
        </w:numPr>
        <w:ind w:left="0" w:hanging="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numPr>
          <w:ilvl w:val="0"/>
          <w:numId w:val="0"/>
        </w:numPr>
        <w:ind w:left="0" w:hanging="0"/>
        <w:rPr/>
      </w:pPr>
      <w:r>
        <w:rPr/>
        <w:t>Участники вправе обратиться к Организатору за разъяснениями Документации о закупке.</w:t>
      </w:r>
    </w:p>
    <w:p>
      <w:pPr>
        <w:pStyle w:val="Style26"/>
        <w:numPr>
          <w:ilvl w:val="0"/>
          <w:numId w:val="0"/>
        </w:numPr>
        <w:ind w:left="0" w:hanging="0"/>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numPr>
          <w:ilvl w:val="0"/>
          <w:numId w:val="0"/>
        </w:numPr>
        <w:ind w:left="0" w:hanging="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numPr>
          <w:ilvl w:val="0"/>
          <w:numId w:val="0"/>
        </w:numPr>
        <w:ind w:left="0" w:hanging="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numPr>
          <w:ilvl w:val="0"/>
          <w:numId w:val="0"/>
        </w:numPr>
        <w:ind w:left="0" w:hanging="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numPr>
          <w:ilvl w:val="0"/>
          <w:numId w:val="0"/>
        </w:numPr>
        <w:ind w:left="0" w:hanging="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numPr>
          <w:ilvl w:val="0"/>
          <w:numId w:val="0"/>
        </w:numPr>
        <w:ind w:left="0" w:hanging="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numPr>
          <w:ilvl w:val="0"/>
          <w:numId w:val="0"/>
        </w:numPr>
        <w:ind w:left="0" w:hanging="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numPr>
          <w:ilvl w:val="0"/>
          <w:numId w:val="0"/>
        </w:numPr>
        <w:ind w:left="0" w:hanging="0"/>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numPr>
          <w:ilvl w:val="0"/>
          <w:numId w:val="0"/>
        </w:numPr>
        <w:ind w:left="0" w:hanging="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numPr>
          <w:ilvl w:val="0"/>
          <w:numId w:val="0"/>
        </w:numPr>
        <w:ind w:left="0" w:hanging="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numPr>
          <w:ilvl w:val="0"/>
          <w:numId w:val="0"/>
        </w:numPr>
        <w:ind w:left="0" w:hanging="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numPr>
          <w:ilvl w:val="0"/>
          <w:numId w:val="0"/>
        </w:numPr>
        <w:ind w:left="0" w:hanging="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numPr>
          <w:ilvl w:val="0"/>
          <w:numId w:val="0"/>
        </w:numPr>
        <w:ind w:left="0" w:hanging="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numPr>
          <w:ilvl w:val="0"/>
          <w:numId w:val="0"/>
        </w:numPr>
        <w:ind w:left="0" w:hanging="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numPr>
          <w:ilvl w:val="0"/>
          <w:numId w:val="0"/>
        </w:numPr>
        <w:ind w:left="0" w:hanging="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numPr>
          <w:ilvl w:val="0"/>
          <w:numId w:val="0"/>
        </w:numPr>
        <w:ind w:left="0" w:hanging="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numPr>
          <w:ilvl w:val="0"/>
          <w:numId w:val="0"/>
        </w:numPr>
        <w:ind w:left="0" w:hanging="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numPr>
          <w:ilvl w:val="0"/>
          <w:numId w:val="0"/>
        </w:numPr>
        <w:ind w:left="0" w:hanging="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numPr>
          <w:ilvl w:val="0"/>
          <w:numId w:val="0"/>
        </w:numPr>
        <w:ind w:left="0" w:hanging="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numPr>
          <w:ilvl w:val="0"/>
          <w:numId w:val="0"/>
        </w:numPr>
        <w:ind w:left="0" w:hanging="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numPr>
          <w:ilvl w:val="0"/>
          <w:numId w:val="0"/>
        </w:numPr>
        <w:ind w:left="0" w:hanging="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numPr>
          <w:ilvl w:val="0"/>
          <w:numId w:val="0"/>
        </w:numPr>
        <w:ind w:left="0" w:hanging="0"/>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numPr>
          <w:ilvl w:val="0"/>
          <w:numId w:val="0"/>
        </w:numPr>
        <w:ind w:left="0" w:hanging="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numPr>
          <w:ilvl w:val="0"/>
          <w:numId w:val="0"/>
        </w:numPr>
        <w:ind w:left="0" w:hanging="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numPr>
          <w:ilvl w:val="0"/>
          <w:numId w:val="0"/>
        </w:numPr>
        <w:ind w:left="0" w:hanging="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numPr>
          <w:ilvl w:val="0"/>
          <w:numId w:val="0"/>
        </w:numPr>
        <w:ind w:left="0" w:hanging="0"/>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numPr>
          <w:ilvl w:val="0"/>
          <w:numId w:val="0"/>
        </w:numPr>
        <w:ind w:left="0" w:hanging="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numPr>
          <w:ilvl w:val="0"/>
          <w:numId w:val="0"/>
        </w:numPr>
        <w:ind w:left="0" w:hanging="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numPr>
          <w:ilvl w:val="0"/>
          <w:numId w:val="0"/>
        </w:numPr>
        <w:ind w:left="0" w:hanging="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numPr>
          <w:ilvl w:val="0"/>
          <w:numId w:val="0"/>
        </w:numPr>
        <w:ind w:left="0" w:hanging="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numPr>
          <w:ilvl w:val="0"/>
          <w:numId w:val="0"/>
        </w:numPr>
        <w:ind w:left="0" w:hanging="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numPr>
          <w:ilvl w:val="0"/>
          <w:numId w:val="0"/>
        </w:numPr>
        <w:ind w:left="0" w:hanging="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numPr>
          <w:ilvl w:val="0"/>
          <w:numId w:val="0"/>
        </w:numPr>
        <w:ind w:left="0" w:hanging="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numPr>
          <w:ilvl w:val="0"/>
          <w:numId w:val="0"/>
        </w:numPr>
        <w:ind w:left="0" w:hanging="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numPr>
          <w:ilvl w:val="0"/>
          <w:numId w:val="0"/>
        </w:numPr>
        <w:ind w:left="0" w:hanging="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numPr>
          <w:ilvl w:val="0"/>
          <w:numId w:val="0"/>
        </w:numPr>
        <w:ind w:left="0" w:hanging="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б)</w:t>
      </w:r>
      <w:r>
        <w:rPr/>
        <w:fldChar w:fldCharType="end"/>
      </w:r>
      <w:r>
        <w:rPr/>
        <w:t>).</w:t>
      </w:r>
    </w:p>
    <w:p>
      <w:pPr>
        <w:pStyle w:val="Style26"/>
        <w:numPr>
          <w:ilvl w:val="0"/>
          <w:numId w:val="0"/>
        </w:numPr>
        <w:ind w:left="0" w:hanging="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numPr>
          <w:ilvl w:val="0"/>
          <w:numId w:val="0"/>
        </w:numPr>
        <w:ind w:left="0" w:hanging="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numPr>
          <w:ilvl w:val="0"/>
          <w:numId w:val="0"/>
        </w:numPr>
        <w:ind w:left="0" w:hanging="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r>
      <w:r>
        <w:rPr/>
        <w:fldChar w:fldCharType="end"/>
      </w:r>
      <w:r>
        <w:rPr/>
        <w:t>.</w:t>
      </w:r>
    </w:p>
    <w:p>
      <w:pPr>
        <w:pStyle w:val="Style26"/>
        <w:numPr>
          <w:ilvl w:val="0"/>
          <w:numId w:val="0"/>
        </w:numPr>
        <w:ind w:left="0" w:hanging="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numPr>
          <w:ilvl w:val="0"/>
          <w:numId w:val="0"/>
        </w:numPr>
        <w:ind w:left="0" w:hanging="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numPr>
          <w:ilvl w:val="0"/>
          <w:numId w:val="0"/>
        </w:numPr>
        <w:ind w:left="0" w:hanging="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numPr>
          <w:ilvl w:val="0"/>
          <w:numId w:val="0"/>
        </w:numPr>
        <w:ind w:left="0" w:hanging="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numPr>
          <w:ilvl w:val="0"/>
          <w:numId w:val="0"/>
        </w:numPr>
        <w:ind w:left="0" w:hanging="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numPr>
          <w:ilvl w:val="0"/>
          <w:numId w:val="0"/>
        </w:numPr>
        <w:ind w:left="0" w:hanging="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numPr>
          <w:ilvl w:val="0"/>
          <w:numId w:val="0"/>
        </w:numPr>
        <w:ind w:left="0" w:hanging="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numPr>
          <w:ilvl w:val="0"/>
          <w:numId w:val="0"/>
        </w:numPr>
        <w:ind w:left="0" w:hanging="0"/>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numPr>
          <w:ilvl w:val="0"/>
          <w:numId w:val="0"/>
        </w:numPr>
        <w:ind w:left="0" w:hanging="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numPr>
          <w:ilvl w:val="0"/>
          <w:numId w:val="0"/>
        </w:numPr>
        <w:ind w:left="0" w:hanging="0"/>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numPr>
          <w:ilvl w:val="0"/>
          <w:numId w:val="0"/>
        </w:numPr>
        <w:ind w:left="0" w:hanging="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r>
      <w:r>
        <w:rPr/>
        <w:fldChar w:fldCharType="end"/>
      </w:r>
      <w:r>
        <w:rPr/>
        <w:t> – </w:t>
      </w:r>
      <w:r>
        <w:rPr/>
        <w:fldChar w:fldCharType="begin"/>
      </w:r>
      <w:r>
        <w:rPr/>
        <w:instrText xml:space="preserve"> REF _Ref195007400 \r \h </w:instrText>
      </w:r>
      <w:r>
        <w:rPr/>
        <w:fldChar w:fldCharType="separate"/>
      </w:r>
      <w:r>
        <w:rPr/>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numPr>
          <w:ilvl w:val="0"/>
          <w:numId w:val="0"/>
        </w:numPr>
        <w:ind w:left="0" w:hanging="0"/>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numPr>
          <w:ilvl w:val="0"/>
          <w:numId w:val="0"/>
        </w:numPr>
        <w:ind w:left="0" w:hanging="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numPr>
          <w:ilvl w:val="0"/>
          <w:numId w:val="0"/>
        </w:numPr>
        <w:ind w:left="0" w:hanging="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numPr>
          <w:ilvl w:val="0"/>
          <w:numId w:val="0"/>
        </w:numPr>
        <w:ind w:left="0" w:hanging="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numPr>
          <w:ilvl w:val="0"/>
          <w:numId w:val="0"/>
        </w:numPr>
        <w:ind w:left="0" w:hanging="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numPr>
          <w:ilvl w:val="0"/>
          <w:numId w:val="0"/>
        </w:numPr>
        <w:ind w:left="0" w:hanging="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numPr>
          <w:ilvl w:val="0"/>
          <w:numId w:val="0"/>
        </w:numPr>
        <w:ind w:left="0" w:hanging="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numPr>
          <w:ilvl w:val="0"/>
          <w:numId w:val="0"/>
        </w:numPr>
        <w:ind w:left="0" w:hanging="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numPr>
          <w:ilvl w:val="0"/>
          <w:numId w:val="0"/>
        </w:numPr>
        <w:ind w:left="0" w:hanging="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numPr>
          <w:ilvl w:val="0"/>
          <w:numId w:val="0"/>
        </w:numPr>
        <w:ind w:left="0" w:hanging="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numPr>
          <w:ilvl w:val="0"/>
          <w:numId w:val="0"/>
        </w:numPr>
        <w:ind w:left="0" w:hanging="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numPr>
          <w:ilvl w:val="0"/>
          <w:numId w:val="0"/>
        </w:numPr>
        <w:ind w:left="0" w:hanging="0"/>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numPr>
          <w:ilvl w:val="0"/>
          <w:numId w:val="0"/>
        </w:numPr>
        <w:ind w:left="0" w:hanging="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numPr>
          <w:ilvl w:val="0"/>
          <w:numId w:val="0"/>
        </w:numPr>
        <w:ind w:left="0" w:hanging="0"/>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numPr>
          <w:ilvl w:val="0"/>
          <w:numId w:val="0"/>
        </w:numPr>
        <w:ind w:left="0" w:hanging="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numPr>
          <w:ilvl w:val="0"/>
          <w:numId w:val="0"/>
        </w:numPr>
        <w:ind w:left="0" w:hanging="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numPr>
          <w:ilvl w:val="0"/>
          <w:numId w:val="0"/>
        </w:numPr>
        <w:ind w:left="0" w:hanging="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numPr>
          <w:ilvl w:val="0"/>
          <w:numId w:val="0"/>
        </w:numPr>
        <w:ind w:left="0" w:hanging="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numPr>
          <w:ilvl w:val="0"/>
          <w:numId w:val="0"/>
        </w:numPr>
        <w:ind w:left="0" w:hanging="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numPr>
          <w:ilvl w:val="0"/>
          <w:numId w:val="0"/>
        </w:numPr>
        <w:ind w:left="0" w:hanging="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numPr>
          <w:ilvl w:val="0"/>
          <w:numId w:val="0"/>
        </w:numPr>
        <w:ind w:left="0" w:hanging="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numPr>
          <w:ilvl w:val="0"/>
          <w:numId w:val="0"/>
        </w:numPr>
        <w:ind w:left="0" w:hanging="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18.1л)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numPr>
          <w:ilvl w:val="0"/>
          <w:numId w:val="0"/>
        </w:numPr>
        <w:ind w:left="0" w:hanging="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numPr>
          <w:ilvl w:val="0"/>
          <w:numId w:val="0"/>
        </w:numPr>
        <w:ind w:left="0" w:hanging="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numPr>
          <w:ilvl w:val="0"/>
          <w:numId w:val="0"/>
        </w:numPr>
        <w:ind w:left="0" w:hanging="0"/>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numPr>
          <w:ilvl w:val="0"/>
          <w:numId w:val="0"/>
        </w:numPr>
        <w:ind w:left="0" w:hanging="0"/>
        <w:rPr/>
      </w:pPr>
      <w:r>
        <w:rPr/>
        <w:t>Подать заявку (принять участие в закупке) могут только Участники, предоставившие надлежащее обеспечение их заявок.</w:t>
      </w:r>
    </w:p>
    <w:p>
      <w:pPr>
        <w:pStyle w:val="Style26"/>
        <w:numPr>
          <w:ilvl w:val="0"/>
          <w:numId w:val="0"/>
        </w:numPr>
        <w:ind w:left="0" w:hanging="0"/>
        <w:rPr/>
      </w:pPr>
      <w:r>
        <w:rPr/>
        <w:t>Требование об обеспечении заявки в равной мере распространяется на всех Участников.</w:t>
      </w:r>
    </w:p>
    <w:p>
      <w:pPr>
        <w:pStyle w:val="Style26"/>
        <w:keepNext w:val="true"/>
        <w:numPr>
          <w:ilvl w:val="0"/>
          <w:numId w:val="0"/>
        </w:numPr>
        <w:ind w:left="0" w:hanging="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numPr>
          <w:ilvl w:val="0"/>
          <w:numId w:val="0"/>
        </w:numPr>
        <w:ind w:left="0" w:hanging="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numPr>
          <w:ilvl w:val="0"/>
          <w:numId w:val="0"/>
        </w:numPr>
        <w:ind w:left="0" w:hanging="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numPr>
          <w:ilvl w:val="0"/>
          <w:numId w:val="0"/>
        </w:numPr>
        <w:ind w:left="0" w:hanging="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numPr>
          <w:ilvl w:val="0"/>
          <w:numId w:val="0"/>
        </w:numPr>
        <w:ind w:left="0" w:hanging="0"/>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numPr>
          <w:ilvl w:val="0"/>
          <w:numId w:val="0"/>
        </w:numPr>
        <w:ind w:left="0" w:hanging="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numPr>
          <w:ilvl w:val="0"/>
          <w:numId w:val="0"/>
        </w:numPr>
        <w:ind w:left="0" w:hanging="0"/>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numPr>
          <w:ilvl w:val="0"/>
          <w:numId w:val="0"/>
        </w:numPr>
        <w:ind w:left="0" w:hanging="0"/>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numPr>
          <w:ilvl w:val="0"/>
          <w:numId w:val="0"/>
        </w:numPr>
        <w:ind w:left="0" w:hanging="0"/>
        <w:rPr/>
      </w:pPr>
      <w:r>
        <w:rPr/>
        <w:t>Договор не может быть заключен, если это запрещено законодательством о национальном режиме.</w:t>
      </w:r>
    </w:p>
    <w:p>
      <w:pPr>
        <w:pStyle w:val="Style26"/>
        <w:numPr>
          <w:ilvl w:val="0"/>
          <w:numId w:val="0"/>
        </w:numPr>
        <w:ind w:left="0" w:hanging="0"/>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numPr>
          <w:ilvl w:val="0"/>
          <w:numId w:val="0"/>
        </w:numPr>
        <w:ind w:left="0" w:hanging="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numPr>
          <w:ilvl w:val="0"/>
          <w:numId w:val="0"/>
        </w:numPr>
        <w:ind w:left="0" w:hanging="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numPr>
          <w:ilvl w:val="0"/>
          <w:numId w:val="0"/>
        </w:numPr>
        <w:ind w:left="0" w:hanging="0"/>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numPr>
          <w:ilvl w:val="0"/>
          <w:numId w:val="0"/>
        </w:numPr>
        <w:ind w:left="0" w:hanging="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numPr>
          <w:ilvl w:val="0"/>
          <w:numId w:val="0"/>
        </w:numPr>
        <w:ind w:left="0" w:hanging="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numPr>
          <w:ilvl w:val="0"/>
          <w:numId w:val="0"/>
        </w:numPr>
        <w:ind w:left="0" w:hanging="0"/>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numPr>
          <w:ilvl w:val="0"/>
          <w:numId w:val="0"/>
        </w:numPr>
        <w:ind w:left="0" w:hanging="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numPr>
          <w:ilvl w:val="0"/>
          <w:numId w:val="0"/>
        </w:numPr>
        <w:ind w:left="0" w:hanging="0"/>
        <w:rPr/>
      </w:pPr>
      <w:r>
        <w:rPr/>
        <w:t>В течение установленного в пункте </w:t>
      </w:r>
      <w:r>
        <w:rPr/>
        <w:fldChar w:fldCharType="begin"/>
      </w:r>
      <w:r>
        <w:rPr/>
        <w:instrText xml:space="preserve"> REF _Ref130293821 \r \h </w:instrText>
      </w:r>
      <w:r>
        <w:rPr/>
        <w:fldChar w:fldCharType="separate"/>
      </w:r>
      <w:r>
        <w:rPr/>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numPr>
          <w:ilvl w:val="0"/>
          <w:numId w:val="0"/>
        </w:numPr>
        <w:ind w:left="0" w:hanging="0"/>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numPr>
          <w:ilvl w:val="0"/>
          <w:numId w:val="0"/>
        </w:numPr>
        <w:ind w:left="0" w:hanging="0"/>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numPr>
          <w:ilvl w:val="0"/>
          <w:numId w:val="0"/>
        </w:numPr>
        <w:ind w:left="0" w:hanging="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numPr>
          <w:ilvl w:val="0"/>
          <w:numId w:val="0"/>
        </w:numPr>
        <w:ind w:left="0" w:hanging="0"/>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numPr>
          <w:ilvl w:val="0"/>
          <w:numId w:val="0"/>
        </w:numPr>
        <w:ind w:left="0" w:hanging="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numPr>
          <w:ilvl w:val="0"/>
          <w:numId w:val="0"/>
        </w:numPr>
        <w:ind w:left="0" w:hanging="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numPr>
          <w:ilvl w:val="0"/>
          <w:numId w:val="0"/>
        </w:numPr>
        <w:ind w:left="0" w:hanging="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numPr>
          <w:ilvl w:val="0"/>
          <w:numId w:val="0"/>
        </w:numPr>
        <w:ind w:left="0" w:hanging="0"/>
        <w:rPr/>
      </w:pPr>
      <w:r>
        <w:rPr/>
        <w:t>В соответствии с пунктом </w:t>
      </w:r>
      <w:r>
        <w:rPr/>
        <w:fldChar w:fldCharType="begin"/>
      </w:r>
      <w:r>
        <w:rPr/>
        <w:instrText xml:space="preserve"> REF _Ref49437111 \r \h </w:instrText>
      </w:r>
      <w:r>
        <w:rPr/>
        <w:fldChar w:fldCharType="separate"/>
      </w:r>
      <w:r>
        <w:rPr/>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numPr>
          <w:ilvl w:val="0"/>
          <w:numId w:val="0"/>
        </w:numPr>
        <w:ind w:left="0" w:hanging="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1036594416" r:id="rId12"/>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numPr>
          <w:ilvl w:val="0"/>
          <w:numId w:val="0"/>
        </w:numPr>
        <w:ind w:left="0" w:hanging="0"/>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120"/>
              <w:jc w:val="both"/>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членстве лиц:</w:t>
            </w:r>
          </w:p>
          <w:p>
            <w:pPr>
              <w:pStyle w:val="ListParagraph"/>
              <w:widowControl w:val="false"/>
              <w:numPr>
                <w:ilvl w:val="0"/>
                <w:numId w:val="3"/>
              </w:numPr>
              <w:tabs>
                <w:tab w:val="clear" w:pos="708"/>
                <w:tab w:val="left" w:pos="426" w:leader="none"/>
              </w:tabs>
              <w:spacing w:before="60" w:after="0"/>
              <w:ind w:left="379" w:hanging="379"/>
              <w:contextualSpacing/>
              <w:jc w:val="both"/>
              <w:rPr/>
            </w:pPr>
            <w:r>
              <w:rPr>
                <w:i/>
                <w:sz w:val="22"/>
                <w:szCs w:val="22"/>
              </w:rPr>
              <w:t>осуществляющих подготовку проектной документации</w:t>
            </w:r>
            <w:r>
              <w:rPr>
                <w:i/>
                <w:sz w:val="22"/>
                <w:szCs w:val="22"/>
                <w:vertAlign w:val="superscript"/>
              </w:rPr>
              <w:t>2</w:t>
            </w:r>
            <w:r>
              <w:rPr>
                <w:i/>
                <w:sz w:val="22"/>
                <w:szCs w:val="22"/>
              </w:rPr>
              <w:t>,</w:t>
            </w:r>
          </w:p>
          <w:p>
            <w:pPr>
              <w:pStyle w:val="ListParagraph"/>
              <w:widowControl w:val="false"/>
              <w:tabs>
                <w:tab w:val="clear" w:pos="708"/>
                <w:tab w:val="left" w:pos="426" w:leader="none"/>
              </w:tabs>
              <w:spacing w:before="60" w:after="0"/>
              <w:contextualSpacing/>
              <w:jc w:val="both"/>
              <w:rPr>
                <w:i/>
                <w:i/>
                <w:sz w:val="22"/>
                <w:szCs w:val="22"/>
              </w:rPr>
            </w:pPr>
            <w:r>
              <w:rPr>
                <w:i/>
                <w:sz w:val="22"/>
                <w:szCs w:val="22"/>
              </w:rPr>
            </w:r>
          </w:p>
          <w:p>
            <w:pPr>
              <w:pStyle w:val="ListParagraph"/>
              <w:widowControl w:val="false"/>
              <w:numPr>
                <w:ilvl w:val="0"/>
                <w:numId w:val="3"/>
              </w:numPr>
              <w:tabs>
                <w:tab w:val="clear" w:pos="708"/>
                <w:tab w:val="left" w:pos="426" w:leader="none"/>
              </w:tabs>
              <w:spacing w:before="60" w:after="0"/>
              <w:ind w:left="379" w:hanging="379"/>
              <w:contextualSpacing/>
              <w:jc w:val="both"/>
              <w:rPr/>
            </w:pPr>
            <w:r>
              <w:rPr>
                <w:i/>
                <w:sz w:val="22"/>
                <w:szCs w:val="22"/>
              </w:rPr>
              <w:t>выполняющих инженерные изыскания;</w:t>
            </w:r>
          </w:p>
          <w:p>
            <w:pPr>
              <w:pStyle w:val="Normal"/>
              <w:widowControl w:val="false"/>
              <w:tabs>
                <w:tab w:val="clear" w:pos="708"/>
                <w:tab w:val="left" w:pos="426" w:leader="none"/>
              </w:tabs>
              <w:spacing w:before="120" w:after="120"/>
              <w:jc w:val="both"/>
              <w:rPr/>
            </w:pPr>
            <w:r>
              <w:rPr>
                <w:rFonts w:eastAsia="Calibri"/>
                <w:i/>
                <w:sz w:val="22"/>
                <w:szCs w:val="22"/>
              </w:rPr>
              <w:t>и иметь право выполнять работы в отношении капитального строительства (кроме особо опасных, технически сложных и уникальных объектов, объектов использования атомной энергии)</w:t>
            </w:r>
            <w:r>
              <w:rPr>
                <w:i/>
                <w:sz w:val="22"/>
                <w:szCs w:val="22"/>
              </w:rPr>
              <w:t>.</w:t>
            </w:r>
          </w:p>
          <w:p>
            <w:pPr>
              <w:pStyle w:val="Normal"/>
              <w:widowControl w:val="false"/>
              <w:tabs>
                <w:tab w:val="clear" w:pos="708"/>
                <w:tab w:val="left" w:pos="426" w:leader="none"/>
              </w:tabs>
              <w:spacing w:before="120" w:after="120"/>
              <w:jc w:val="both"/>
              <w:rPr/>
            </w:pPr>
            <w:r>
              <w:rPr>
                <w:i/>
                <w:sz w:val="22"/>
                <w:szCs w:val="22"/>
              </w:rPr>
              <w:t>При этом:</w:t>
            </w:r>
          </w:p>
          <w:p>
            <w:pPr>
              <w:pStyle w:val="Normal"/>
              <w:widowControl w:val="false"/>
              <w:tabs>
                <w:tab w:val="clear" w:pos="708"/>
                <w:tab w:val="left" w:pos="426" w:leader="none"/>
              </w:tabs>
              <w:spacing w:before="120" w:after="120"/>
              <w:jc w:val="both"/>
              <w:rPr/>
            </w:pPr>
            <w:r>
              <w:rPr>
                <w:i/>
                <w:iCs/>
                <w:sz w:val="22"/>
                <w:szCs w:val="22"/>
                <w:u w:val="single"/>
              </w:rPr>
              <w:t>в отношении подготовки проектной документации:</w:t>
            </w:r>
          </w:p>
          <w:p>
            <w:pPr>
              <w:pStyle w:val="ListParagraph"/>
              <w:widowControl w:val="false"/>
              <w:numPr>
                <w:ilvl w:val="0"/>
                <w:numId w:val="3"/>
              </w:numPr>
              <w:tabs>
                <w:tab w:val="clear" w:pos="708"/>
                <w:tab w:val="left" w:pos="426" w:leader="none"/>
              </w:tabs>
              <w:spacing w:before="60" w:after="60"/>
              <w:ind w:left="380" w:hanging="380"/>
              <w:contextualSpacing/>
              <w:jc w:val="both"/>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(подготовка проектной документации);</w:t>
            </w:r>
          </w:p>
          <w:p>
            <w:pPr>
              <w:pStyle w:val="ListParagraph"/>
              <w:widowControl w:val="false"/>
              <w:numPr>
                <w:ilvl w:val="0"/>
                <w:numId w:val="3"/>
              </w:numPr>
              <w:tabs>
                <w:tab w:val="clear" w:pos="708"/>
                <w:tab w:val="left" w:pos="426" w:leader="none"/>
              </w:tabs>
              <w:spacing w:before="60" w:after="60"/>
              <w:ind w:left="380" w:hanging="380"/>
              <w:contextualSpacing/>
              <w:jc w:val="both"/>
              <w:rPr/>
            </w:pPr>
            <w:r>
              <w:rPr>
                <w:i/>
                <w:sz w:val="22"/>
                <w:szCs w:val="22"/>
              </w:rPr>
              <w:t>уровень</w:t>
            </w:r>
            <w:r>
              <w:rPr>
                <w:rFonts w:eastAsia="Times New Roman"/>
                <w:i/>
                <w:sz w:val="22"/>
                <w:szCs w:val="22"/>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(подготовка проектной документации).</w:t>
            </w:r>
          </w:p>
          <w:p>
            <w:pPr>
              <w:pStyle w:val="Normal"/>
              <w:widowControl w:val="false"/>
              <w:tabs>
                <w:tab w:val="clear" w:pos="708"/>
                <w:tab w:val="left" w:pos="426" w:leader="none"/>
              </w:tabs>
              <w:spacing w:before="120" w:after="120"/>
              <w:jc w:val="both"/>
              <w:rPr/>
            </w:pPr>
            <w:r>
              <w:rPr>
                <w:i/>
                <w:iCs/>
                <w:sz w:val="22"/>
                <w:szCs w:val="22"/>
                <w:u w:val="single"/>
              </w:rPr>
              <w:t>в отношении выполнения инженерных изысканий:</w:t>
            </w:r>
          </w:p>
          <w:p>
            <w:pPr>
              <w:pStyle w:val="ListParagraph"/>
              <w:widowControl w:val="false"/>
              <w:numPr>
                <w:ilvl w:val="0"/>
                <w:numId w:val="3"/>
              </w:numPr>
              <w:tabs>
                <w:tab w:val="clear" w:pos="708"/>
                <w:tab w:val="left" w:pos="426" w:leader="none"/>
              </w:tabs>
              <w:spacing w:before="60" w:after="60"/>
              <w:ind w:left="380" w:hanging="380"/>
              <w:contextualSpacing/>
              <w:jc w:val="both"/>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(по инженерным изысканиям);</w:t>
            </w:r>
          </w:p>
          <w:p>
            <w:pPr>
              <w:pStyle w:val="ListParagraph"/>
              <w:widowControl w:val="false"/>
              <w:numPr>
                <w:ilvl w:val="0"/>
                <w:numId w:val="3"/>
              </w:numPr>
              <w:tabs>
                <w:tab w:val="clear" w:pos="708"/>
                <w:tab w:val="left" w:pos="426" w:leader="none"/>
              </w:tabs>
              <w:spacing w:before="60" w:after="60"/>
              <w:ind w:left="380" w:hanging="380"/>
              <w:contextualSpacing/>
              <w:jc w:val="both"/>
              <w:rPr/>
            </w:pPr>
            <w:r>
              <w:rPr>
                <w:rFonts w:eastAsia="Times New Roman"/>
                <w:i/>
                <w:sz w:val="22"/>
                <w:szCs w:val="22"/>
              </w:rPr>
              <w:t>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(по инженерным изысканиям).</w:t>
            </w:r>
          </w:p>
          <w:p>
            <w:pPr>
              <w:pStyle w:val="Normal"/>
              <w:widowControl w:val="false"/>
              <w:tabs>
                <w:tab w:val="clear" w:pos="708"/>
                <w:tab w:val="left" w:pos="426" w:leader="none"/>
              </w:tabs>
              <w:spacing w:before="60" w:after="60"/>
              <w:jc w:val="both"/>
              <w:rPr>
                <w:sz w:val="20"/>
                <w:szCs w:val="20"/>
              </w:rPr>
            </w:pPr>
            <w:r>
              <w:rPr>
                <w:i/>
                <w:color w:val="800000"/>
                <w:sz w:val="20"/>
                <w:szCs w:val="20"/>
              </w:rPr>
              <w:t>*Не требуется членство в СРО в области инженерных изысканий Участникам закупки, перечисленным в ч. 2.1 ст. 47 ГрК РФ;</w:t>
            </w:r>
          </w:p>
          <w:p>
            <w:pPr>
              <w:pStyle w:val="Normal"/>
              <w:widowControl w:val="false"/>
              <w:tabs>
                <w:tab w:val="clear" w:pos="708"/>
                <w:tab w:val="left" w:pos="426" w:leader="none"/>
              </w:tabs>
              <w:spacing w:before="60" w:after="60"/>
              <w:jc w:val="both"/>
              <w:rPr>
                <w:i/>
                <w:i/>
                <w:color w:val="800000"/>
                <w:sz w:val="20"/>
                <w:szCs w:val="20"/>
              </w:rPr>
            </w:pPr>
            <w:r>
              <w:rPr>
                <w:i/>
                <w:color w:val="800000"/>
                <w:sz w:val="20"/>
                <w:szCs w:val="20"/>
              </w:rPr>
              <w:t>* Не требуется членство в СРО в области архитектурно-строительного проектирования Участникам закупки, перечисленным в ч. 4.1 ст. 48 ГрК РФ</w:t>
            </w:r>
          </w:p>
        </w:tc>
        <w:tc>
          <w:tcPr>
            <w:tcW w:w="8327" w:type="dxa"/>
            <w:tcBorders/>
          </w:tcPr>
          <w:p>
            <w:pPr>
              <w:pStyle w:val="Normal"/>
              <w:widowControl w:val="false"/>
              <w:tabs>
                <w:tab w:val="clear" w:pos="708"/>
                <w:tab w:val="left" w:pos="426" w:leader="none"/>
              </w:tabs>
              <w:spacing w:before="60" w:after="0"/>
              <w:jc w:val="both"/>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общедоступным ресурсам:</w:t>
            </w:r>
          </w:p>
          <w:p>
            <w:pPr>
              <w:pStyle w:val="Normal"/>
              <w:widowControl w:val="false"/>
              <w:numPr>
                <w:ilvl w:val="0"/>
                <w:numId w:val="3"/>
              </w:numPr>
              <w:tabs>
                <w:tab w:val="clear" w:pos="708"/>
                <w:tab w:val="left" w:pos="320" w:leader="none"/>
              </w:tabs>
              <w:spacing w:before="60" w:after="0"/>
              <w:ind w:left="320" w:hanging="3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Normal"/>
              <w:widowControl w:val="false"/>
              <w:tabs>
                <w:tab w:val="clear" w:pos="708"/>
                <w:tab w:val="left" w:pos="426" w:leader="none"/>
              </w:tabs>
              <w:spacing w:before="60" w:after="0"/>
              <w:jc w:val="both"/>
              <w:rPr>
                <w:rStyle w:val="Style18"/>
                <w:iCs/>
                <w:sz w:val="22"/>
                <w:szCs w:val="22"/>
              </w:rPr>
            </w:pPr>
            <w:r>
              <w:rPr>
                <w:iCs/>
                <w:sz w:val="22"/>
                <w:szCs w:val="22"/>
              </w:rPr>
            </w:r>
          </w:p>
        </w:tc>
      </w:tr>
    </w:tbl>
    <w:p>
      <w:pPr>
        <w:pStyle w:val="Style25"/>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numPr>
          <w:ilvl w:val="0"/>
          <w:numId w:val="0"/>
        </w:numPr>
        <w:ind w:left="0" w:hanging="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numPr>
          <w:ilvl w:val="0"/>
          <w:numId w:val="0"/>
        </w:numPr>
        <w:ind w:left="0" w:hanging="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6"/>
        <w:numPr>
          <w:ilvl w:val="0"/>
          <w:numId w:val="0"/>
        </w:numPr>
        <w:ind w:left="0" w:hanging="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numPr>
          <w:ilvl w:val="0"/>
          <w:numId w:val="0"/>
        </w:numPr>
        <w:ind w:left="0" w:hanging="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637850440" r:id="rId23"/>
        </w:object>
      </w:r>
    </w:p>
    <w:p>
      <w:pPr>
        <w:pStyle w:val="Style25"/>
        <w:rPr/>
      </w:pPr>
      <w:bookmarkStart w:id="343" w:name="_Ref130395475"/>
      <w:bookmarkStart w:id="344" w:name="_Toc228877722"/>
      <w:r>
        <w:rPr/>
        <w:t>Форма «Заверение об обстоятельствах»</w:t>
      </w:r>
      <w:bookmarkEnd w:id="343"/>
      <w:bookmarkEnd w:id="344"/>
    </w:p>
    <w:p>
      <w:pPr>
        <w:pStyle w:val="Style26"/>
        <w:numPr>
          <w:ilvl w:val="0"/>
          <w:numId w:val="0"/>
        </w:numPr>
        <w:ind w:left="0" w:hanging="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numPr>
          <w:ilvl w:val="0"/>
          <w:numId w:val="0"/>
        </w:numPr>
        <w:ind w:left="0" w:hanging="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numPr>
          <w:ilvl w:val="0"/>
          <w:numId w:val="0"/>
        </w:numPr>
        <w:ind w:left="0" w:hanging="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numPr>
          <w:ilvl w:val="0"/>
          <w:numId w:val="0"/>
        </w:numPr>
        <w:ind w:left="0" w:hanging="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827456394" r:id="rId25"/>
        </w:object>
      </w:r>
    </w:p>
    <w:p>
      <w:pPr>
        <w:pStyle w:val="Style24"/>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numPr>
          <w:ilvl w:val="0"/>
          <w:numId w:val="0"/>
        </w:numPr>
        <w:spacing w:before="120" w:after="120"/>
        <w:ind w:left="0" w:hanging="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Ref125365264"/>
      <w:bookmarkStart w:id="360" w:name="_Toc228877725"/>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28877731"/>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numPr>
          <w:ilvl w:val="0"/>
          <w:numId w:val="0"/>
        </w:numPr>
        <w:ind w:left="0" w:hanging="0"/>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15" w:type="dxa"/>
        <w:tblLayout w:type="fixed"/>
        <w:tblCellMar>
          <w:top w:w="55" w:type="dxa"/>
          <w:left w:w="42" w:type="dxa"/>
          <w:bottom w:w="55" w:type="dxa"/>
          <w:right w:w="57" w:type="dxa"/>
        </w:tblCellMar>
        <w:tblLook w:val="04a0" w:noVBand="1" w:noHBand="0" w:lastColumn="0" w:firstColumn="1" w:lastRow="0" w:firstRow="1"/>
      </w:tblPr>
      <w:tblGrid>
        <w:gridCol w:w="1153"/>
        <w:gridCol w:w="1370"/>
        <w:gridCol w:w="2113"/>
        <w:gridCol w:w="1185"/>
        <w:gridCol w:w="1450"/>
        <w:gridCol w:w="1969"/>
        <w:gridCol w:w="589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7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298"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69"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89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7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69"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89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1.</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«Ценовой критерий оценки первого уровня»/Цена</w:t>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 xml:space="preserve">Цена договора </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sz w:val="24"/>
                <w:szCs w:val="24"/>
              </w:rPr>
            </w:pPr>
            <w:r>
              <w:rPr>
                <w:sz w:val="24"/>
                <w:szCs w:val="24"/>
              </w:rPr>
            </w:r>
          </w:p>
          <w:p>
            <w:pPr>
              <w:pStyle w:val="Style30"/>
              <w:widowControl w:val="false"/>
              <w:spacing w:before="40" w:after="40"/>
              <w:ind w:left="57" w:right="227" w:hanging="0"/>
              <w:jc w:val="center"/>
              <w:rPr/>
            </w:pPr>
            <w:r>
              <w:rPr/>
            </w:r>
            <m:oMath xmlns:m="http://schemas.openxmlformats.org/officeDocument/2006/math">
              <m:r>
                <w:rPr>
                  <w:rFonts w:ascii="Cambria Math" w:hAnsi="Cambria Math"/>
                </w:rPr>
                <m:t xml:space="preserve">90</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i</m:t>
                      </m:r>
                    </m:sub>
                  </m:sSub>
                  <m:r>
                    <w:rPr>
                      <w:rFonts w:ascii="Cambria Math" w:hAnsi="Cambria Math"/>
                    </w:rPr>
                    <m:t xml:space="preserve">=</m:t>
                  </m:r>
                  <m:r>
                    <w:rPr>
                      <w:rFonts w:ascii="Cambria Math" w:hAnsi="Cambria Math"/>
                    </w:rPr>
                    <m:t xml:space="preserve">0,90</m:t>
                  </m:r>
                </m:e>
              </m:d>
            </m:oMath>
            <w:r>
              <w:rPr>
                <w:rStyle w:val="Style8"/>
                <w:rFonts w:eastAsia="Calibri"/>
                <w:i w:val="false"/>
                <w:iCs w:val="false"/>
                <w:sz w:val="24"/>
                <w:szCs w:val="24"/>
                <w:shd w:fill="FFFFFF" w:val="clear"/>
                <w:lang w:eastAsia="en-US"/>
              </w:rPr>
              <w:t>,</w:t>
            </w:r>
          </w:p>
          <w:p>
            <w:pPr>
              <w:pStyle w:val="Style30"/>
              <w:widowControl w:val="false"/>
              <w:spacing w:before="40" w:after="40"/>
              <w:ind w:left="57" w:right="227" w:hanging="0"/>
              <w:jc w:val="center"/>
              <w:rPr/>
            </w:pPr>
            <w:r>
              <w:rPr>
                <w:rStyle w:val="Style8"/>
                <w:rFonts w:eastAsia="Calibri"/>
                <w:i w:val="false"/>
                <w:iCs w:val="false"/>
                <w:sz w:val="24"/>
                <w:szCs w:val="24"/>
                <w:shd w:fill="FFFFFF" w:val="clear"/>
                <w:lang w:eastAsia="en-US"/>
              </w:rPr>
              <w:t xml:space="preserve">где </w:t>
            </w:r>
            <w:r>
              <w:rPr/>
            </w:r>
            <m:oMath xmlns:m="http://schemas.openxmlformats.org/officeDocument/2006/math">
              <m:sSub>
                <m:e>
                  <m:r>
                    <w:rPr>
                      <w:rFonts w:ascii="Cambria Math" w:hAnsi="Cambria Math"/>
                    </w:rPr>
                    <m:t xml:space="preserve">В</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значимость (вес) критерия оценки]</w:t>
            </w:r>
          </w:p>
        </w:tc>
        <w:tc>
          <w:tcPr>
            <w:tcW w:w="1969"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4"/>
                <w:szCs w:val="24"/>
                <w:shd w:fill="FFFFFF" w:val="clear"/>
                <w:lang w:eastAsia="en-US"/>
              </w:rPr>
              <w:t>Чем меньше цена заявки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4"/>
                <w:szCs w:val="24"/>
              </w:rPr>
            </w:pPr>
            <w:r>
              <w:rPr>
                <w:rFonts w:eastAsia="Calibri"/>
                <w:sz w:val="24"/>
                <w:szCs w:val="24"/>
                <w:shd w:fill="FFFFFF" w:val="clear"/>
                <w:lang w:eastAsia="en-US"/>
              </w:rPr>
              <w:t>Расчет оценки предпочтительности по частному критерию по методу:</w:t>
            </w:r>
          </w:p>
          <w:p>
            <w:pPr>
              <w:pStyle w:val="Style30"/>
              <w:widowControl w:val="false"/>
              <w:spacing w:before="40" w:after="40"/>
              <w:jc w:val="left"/>
              <w:rPr/>
            </w:pPr>
            <w:r>
              <w:rPr>
                <w:rStyle w:val="Style8"/>
                <w:rFonts w:eastAsia="Calibri"/>
                <w:i w:val="false"/>
                <w:iCs w:val="false"/>
                <w:sz w:val="24"/>
                <w:szCs w:val="24"/>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4"/>
                <w:szCs w:val="24"/>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4"/>
                <w:szCs w:val="24"/>
                <w:shd w:fill="FFFFFF" w:val="clear"/>
                <w:lang w:eastAsia="en-US"/>
              </w:rPr>
              <w:t>где:</w:t>
            </w:r>
          </w:p>
          <w:p>
            <w:pPr>
              <w:pStyle w:val="Style30"/>
              <w:widowControl w:val="false"/>
              <w:spacing w:before="40" w:after="40"/>
              <w:jc w:val="left"/>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рассчитанная оценка предпочтительности по данному частному критерию оценки в баллах;</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цена договора (заявки), указанная в заявке допущенного участника, руб. без учета НДС;</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min</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минимальная цена договора (заявки) среди всех допущенных заявок участников, руб. без учета НДС;</w:t>
            </w:r>
          </w:p>
          <w:p>
            <w:pPr>
              <w:pStyle w:val="Style30"/>
              <w:widowControl w:val="false"/>
              <w:spacing w:before="40" w:after="40"/>
              <w:jc w:val="left"/>
              <w:rPr/>
            </w:pPr>
            <w:r>
              <w:rPr/>
            </w:r>
            <m:oMath xmlns:m="http://schemas.openxmlformats.org/officeDocument/2006/math">
              <m:r>
                <w:rPr>
                  <w:rFonts w:ascii="Cambria Math" w:hAnsi="Cambria Math"/>
                </w:rPr>
                <m:t xml:space="preserve">Ш</m:t>
              </m:r>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максимально возможный балл (максимальная возможная оценка предпочтительности) по шкале оценок</w:t>
              <w:br/>
              <w:t>(</w:t>
            </w:r>
            <w:r>
              <w:rPr/>
            </w:r>
            <m:oMath xmlns:m="http://schemas.openxmlformats.org/officeDocument/2006/math">
              <m:r>
                <w:rPr>
                  <w:rFonts w:ascii="Cambria Math" w:hAnsi="Cambria Math"/>
                </w:rPr>
                <m:t xml:space="preserve">Ш</m:t>
              </m:r>
              <m:r>
                <w:rPr>
                  <w:rFonts w:ascii="Cambria Math" w:hAnsi="Cambria Math"/>
                </w:rPr>
                <m:t xml:space="preserve">=</m:t>
              </m:r>
              <m:r>
                <w:rPr>
                  <w:rFonts w:ascii="Cambria Math" w:hAnsi="Cambria Math"/>
                </w:rPr>
                <m:t xml:space="preserve">5</m:t>
              </m:r>
            </m:oMath>
            <w:r>
              <w:rPr>
                <w:rStyle w:val="Style8"/>
                <w:rFonts w:eastAsia="Calibri"/>
                <w:i w:val="false"/>
                <w:iCs w:val="false"/>
                <w:sz w:val="24"/>
                <w:szCs w:val="24"/>
                <w:shd w:fill="FFFFFF" w:val="clear"/>
                <w:lang w:eastAsia="en-US"/>
              </w:rPr>
              <w:t>)]</w:t>
            </w:r>
            <w:r>
              <w:rPr>
                <w:rFonts w:eastAsia="Calibri"/>
                <w:sz w:val="24"/>
                <w:szCs w:val="24"/>
                <w:shd w:fill="FFFFFF" w:val="clear"/>
                <w:lang w:eastAsia="en-US"/>
              </w:rPr>
              <w:t>.</w:t>
            </w:r>
          </w:p>
          <w:p>
            <w:pPr>
              <w:pStyle w:val="Style30"/>
              <w:widowControl w:val="false"/>
              <w:spacing w:before="40" w:after="40"/>
              <w:jc w:val="left"/>
              <w:rPr/>
            </w:pPr>
            <w:r>
              <w:rPr>
                <w:rStyle w:val="Style8"/>
                <w:rFonts w:eastAsia="Calibri"/>
                <w:i w:val="false"/>
                <w:iCs w:val="false"/>
                <w:sz w:val="24"/>
                <w:szCs w:val="24"/>
                <w:shd w:fill="FFFFFF" w:val="clear"/>
                <w:lang w:eastAsia="en-US"/>
              </w:rPr>
              <w:t xml:space="preserve">«Оценка предпочтительности заявок осуществляется в едином базисе сопоставления ценовых (стоимостных) предложений: без учета НДС». </w:t>
            </w:r>
          </w:p>
          <w:p>
            <w:pPr>
              <w:pStyle w:val="Style30"/>
              <w:widowControl w:val="false"/>
              <w:spacing w:before="40" w:after="40"/>
              <w:jc w:val="left"/>
              <w:rPr>
                <w:sz w:val="24"/>
                <w:szCs w:val="24"/>
              </w:rPr>
            </w:pPr>
            <w:r>
              <w:rPr>
                <w:rFonts w:eastAsia="Calibri"/>
                <w:sz w:val="24"/>
                <w:szCs w:val="24"/>
                <w:shd w:fill="FFFFFF" w:val="clear"/>
                <w:lang w:eastAsia="en-US"/>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2.</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4"/>
                <w:szCs w:val="24"/>
              </w:rPr>
            </w:pPr>
            <w:r>
              <w:rPr>
                <w:rFonts w:eastAsia="Calibri"/>
                <w:sz w:val="24"/>
                <w:szCs w:val="24"/>
                <w:lang w:eastAsia="en-US"/>
              </w:rPr>
              <w:t>«Неценовой критерий оценки первого уровня;</w:t>
              <w:br/>
              <w:t>Тех</w:t>
            </w:r>
          </w:p>
        </w:tc>
        <w:tc>
          <w:tcPr>
            <w:tcW w:w="2113"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before="120" w:after="60"/>
              <w:jc w:val="center"/>
              <w:rPr>
                <w:rFonts w:ascii="Times New Roman" w:hAnsi="Times New Roman" w:cs=""/>
                <w:kern w:val="0"/>
                <w:sz w:val="22"/>
                <w:szCs w:val="18"/>
                <w:lang w:val="ru-RU" w:eastAsia="en-US" w:bidi="ar-SA"/>
              </w:rPr>
            </w:pPr>
            <w:r>
              <w:rPr>
                <w:rFonts w:eastAsia="Calibri" w:cs=""/>
                <w:i/>
                <w:kern w:val="0"/>
                <w:sz w:val="22"/>
                <w:szCs w:val="18"/>
                <w:lang w:val="ru-RU" w:eastAsia="en-US" w:bidi="ar-SA"/>
              </w:rPr>
              <w:t>Квалификация (предпочтительность) Участника</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before="120" w:after="60"/>
              <w:jc w:val="center"/>
              <w:rPr>
                <w:rFonts w:ascii="Times New Roman" w:hAnsi="Times New Roman" w:cs=""/>
                <w:kern w:val="0"/>
                <w:sz w:val="22"/>
                <w:szCs w:val="18"/>
                <w:lang w:val="ru-RU" w:eastAsia="en-US" w:bidi="ar-SA"/>
              </w:rPr>
            </w:pPr>
            <w:r>
              <w:rPr>
                <w:rFonts w:eastAsia="Calibri" w:cs=""/>
                <w:i/>
                <w:kern w:val="0"/>
                <w:sz w:val="22"/>
                <w:szCs w:val="18"/>
                <w:lang w:val="ru-RU" w:eastAsia="en-US" w:bidi="ar-SA"/>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before="40" w:after="40"/>
              <w:jc w:val="center"/>
              <w:rPr>
                <w:rFonts w:ascii="Times New Roman" w:hAnsi="Times New Roman" w:eastAsia="Calibri" w:cs=""/>
                <w:kern w:val="0"/>
                <w:sz w:val="30"/>
                <w:szCs w:val="18"/>
                <w:lang w:val="ru-RU" w:eastAsia="en-US" w:bidi="ar-SA"/>
              </w:rPr>
            </w:pPr>
            <w:r>
              <w:rPr>
                <w:rFonts w:eastAsia="Calibri" w:cs=""/>
                <w:kern w:val="0"/>
                <w:sz w:val="22"/>
                <w:szCs w:val="18"/>
                <w:lang w:val="ru-RU" w:eastAsia="en-US" w:bidi="ar-SA"/>
              </w:rPr>
              <w:t>0,5%</w:t>
              <w:br/>
              <w:t>(В</w:t>
            </w:r>
            <w:r>
              <w:rPr>
                <w:rFonts w:eastAsia="Calibri" w:cs=""/>
                <w:kern w:val="0"/>
                <w:sz w:val="22"/>
                <w:szCs w:val="18"/>
                <w:vertAlign w:val="subscript"/>
                <w:lang w:val="ru-RU" w:eastAsia="en-US" w:bidi="ar-SA"/>
              </w:rPr>
              <w:t>2</w:t>
            </w:r>
            <w:r>
              <w:rPr>
                <w:rFonts w:eastAsia="Calibri" w:cs=""/>
                <w:kern w:val="0"/>
                <w:sz w:val="22"/>
                <w:szCs w:val="18"/>
                <w:lang w:val="ru-RU" w:eastAsia="en-US" w:bidi="ar-SA"/>
              </w:rPr>
              <w:t xml:space="preserve"> = 0,05)</w:t>
            </w:r>
          </w:p>
        </w:tc>
        <w:tc>
          <w:tcPr>
            <w:tcW w:w="1969"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before="120" w:after="60"/>
              <w:jc w:val="center"/>
              <w:rPr>
                <w:rFonts w:ascii="Times New Roman" w:hAnsi="Times New Roman" w:cs=""/>
                <w:kern w:val="0"/>
                <w:sz w:val="22"/>
                <w:szCs w:val="18"/>
                <w:lang w:val="ru-RU" w:eastAsia="en-US" w:bidi="ar-SA"/>
              </w:rPr>
            </w:pPr>
            <w:r>
              <w:rPr>
                <w:rFonts w:eastAsia="Calibri" w:cs=""/>
                <w:i/>
                <w:kern w:val="0"/>
                <w:sz w:val="22"/>
                <w:szCs w:val="18"/>
                <w:lang w:val="ru-RU" w:eastAsia="en-US" w:bidi="ar-SA"/>
              </w:rPr>
              <w:t xml:space="preserve"> </w:t>
            </w:r>
            <w:r>
              <w:rPr>
                <w:rFonts w:eastAsia="Calibri" w:cs=""/>
                <w:i/>
                <w:kern w:val="0"/>
                <w:sz w:val="22"/>
                <w:szCs w:val="18"/>
                <w:lang w:val="ru-RU" w:eastAsia="en-US" w:bidi="ar-SA"/>
              </w:rPr>
              <w:t>Чем выше квалификация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uppressAutoHyphens w:val="true"/>
              <w:spacing w:before="120" w:after="60"/>
              <w:ind w:left="57" w:right="57" w:hanging="0"/>
              <w:jc w:val="both"/>
              <w:rPr>
                <w:rFonts w:ascii="Times New Roman" w:hAnsi="Times New Roman" w:cs=""/>
                <w:kern w:val="0"/>
                <w:sz w:val="22"/>
                <w:szCs w:val="18"/>
                <w:lang w:val="ru-RU" w:eastAsia="en-US" w:bidi="ar-SA"/>
              </w:rPr>
            </w:pPr>
            <w:r>
              <w:rPr>
                <w:rFonts w:eastAsia="Calibri" w:cs=""/>
                <w:spacing w:val="-2"/>
                <w:kern w:val="0"/>
                <w:sz w:val="22"/>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120" w:after="60"/>
              <w:ind w:left="57" w:right="57" w:hanging="0"/>
              <w:jc w:val="both"/>
              <w:rPr>
                <w:rFonts w:ascii="Times New Roman" w:hAnsi="Times New Roman" w:cs=""/>
                <w:kern w:val="0"/>
                <w:sz w:val="22"/>
                <w:szCs w:val="18"/>
                <w:lang w:val="ru-RU" w:eastAsia="en-US" w:bidi="ar-SA"/>
              </w:rPr>
            </w:pPr>
            <w:r>
              <w:rPr>
                <w:rFonts w:eastAsia="Calibri" w:cs=""/>
                <w:spacing w:val="-2"/>
                <w:kern w:val="0"/>
                <w:sz w:val="22"/>
                <w:szCs w:val="18"/>
                <w:lang w:val="ru-RU" w:eastAsia="en-US" w:bidi="ar-SA"/>
              </w:rPr>
              <w:t xml:space="preserve"> </w:t>
            </w:r>
            <w:r>
              <w:rPr>
                <w:rFonts w:eastAsia="Calibri" w:cs=""/>
                <w:spacing w:val="-2"/>
                <w:kern w:val="0"/>
                <w:sz w:val="22"/>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ранее выполненных договорах в рамках одного или нескольких договоров по форме «Справка об опыте участника», приведенной в Документации о закупке с обязательным предоставлением подтверждающих наличие требуемого опыта по выполнению комплекса работ по  строительству электрических сетей напряжением 6/10 кВ и выше  за последние 5 (пять) лет документов, а именно::</w:t>
            </w:r>
          </w:p>
          <w:p>
            <w:pPr>
              <w:pStyle w:val="Normal"/>
              <w:widowControl w:val="false"/>
              <w:suppressAutoHyphens w:val="true"/>
              <w:spacing w:before="120" w:after="60"/>
              <w:ind w:left="57" w:right="57" w:hanging="0"/>
              <w:jc w:val="both"/>
              <w:rPr>
                <w:rFonts w:ascii="Times New Roman" w:hAnsi="Times New Roman" w:cs=""/>
                <w:kern w:val="0"/>
                <w:sz w:val="22"/>
                <w:szCs w:val="18"/>
                <w:lang w:val="ru-RU" w:eastAsia="en-US" w:bidi="ar-SA"/>
              </w:rPr>
            </w:pPr>
            <w:r>
              <w:rPr>
                <w:rFonts w:eastAsia="Calibri" w:cs=""/>
                <w:spacing w:val="-2"/>
                <w:kern w:val="0"/>
                <w:sz w:val="22"/>
                <w:szCs w:val="18"/>
                <w:lang w:val="ru-RU" w:eastAsia="en-US" w:bidi="ar-SA"/>
              </w:rPr>
              <w:t xml:space="preserve"> </w:t>
            </w:r>
            <w:r>
              <w:rPr>
                <w:rFonts w:eastAsia="Calibri" w:cs=""/>
                <w:spacing w:val="-2"/>
                <w:kern w:val="0"/>
                <w:sz w:val="22"/>
                <w:szCs w:val="18"/>
                <w:lang w:val="ru-RU" w:eastAsia="en-US" w:bidi="ar-SA"/>
              </w:rPr>
              <w:t>- копии договоров, подписанных с обеих сторон с указанием стоимости и наименования выполненных работ/ услуг;</w:t>
            </w:r>
          </w:p>
          <w:p>
            <w:pPr>
              <w:pStyle w:val="Normal"/>
              <w:widowControl w:val="false"/>
              <w:suppressAutoHyphens w:val="true"/>
              <w:spacing w:before="120" w:after="60"/>
              <w:ind w:left="57" w:right="57" w:hanging="0"/>
              <w:jc w:val="both"/>
              <w:rPr>
                <w:rFonts w:ascii="Times New Roman" w:hAnsi="Times New Roman" w:cs=""/>
                <w:kern w:val="0"/>
                <w:sz w:val="22"/>
                <w:szCs w:val="18"/>
                <w:lang w:val="ru-RU" w:eastAsia="en-US" w:bidi="ar-SA"/>
              </w:rPr>
            </w:pPr>
            <w:r>
              <w:rPr>
                <w:rFonts w:eastAsia="Calibri" w:cs=""/>
                <w:spacing w:val="-2"/>
                <w:kern w:val="0"/>
                <w:sz w:val="22"/>
                <w:szCs w:val="18"/>
                <w:lang w:val="ru-RU" w:eastAsia="en-US" w:bidi="ar-SA"/>
              </w:rPr>
              <w:t>- копии актов выполненных работ по форме КС-2 подписанных с обеих сторон с указанием стоимости и наименования выполненных</w:t>
            </w:r>
            <w:bookmarkStart w:id="389" w:name="_GoBack"/>
            <w:bookmarkEnd w:id="389"/>
            <w:r>
              <w:rPr>
                <w:rFonts w:eastAsia="Calibri" w:cs=""/>
                <w:spacing w:val="-2"/>
                <w:kern w:val="0"/>
                <w:sz w:val="22"/>
                <w:szCs w:val="18"/>
                <w:lang w:val="ru-RU" w:eastAsia="en-US" w:bidi="ar-SA"/>
              </w:rPr>
              <w:t xml:space="preserve">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свидетельствующих о выполнении работ/услуг, подтверждающих опыт на общую сумму:</w:t>
            </w:r>
          </w:p>
          <w:tbl>
            <w:tblPr>
              <w:tblW w:w="4951" w:type="dxa"/>
              <w:jc w:val="left"/>
              <w:tblInd w:w="124" w:type="dxa"/>
              <w:tblLayout w:type="fixed"/>
              <w:tblCellMar>
                <w:top w:w="0" w:type="dxa"/>
                <w:left w:w="108" w:type="dxa"/>
                <w:bottom w:w="0" w:type="dxa"/>
                <w:right w:w="108" w:type="dxa"/>
              </w:tblCellMar>
              <w:tblLook w:val="04a0" w:noVBand="1" w:noHBand="0" w:lastColumn="0" w:firstColumn="1" w:lastRow="0" w:firstRow="1"/>
            </w:tblPr>
            <w:tblGrid>
              <w:gridCol w:w="1225"/>
              <w:gridCol w:w="3725"/>
            </w:tblGrid>
            <w:tr>
              <w:trPr>
                <w:trHeight w:val="675" w:hRule="atLeast"/>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 xml:space="preserve">                              </w:t>
                  </w:r>
                  <w:r>
                    <w:rPr>
                      <w:sz w:val="22"/>
                      <w:szCs w:val="18"/>
                    </w:rPr>
                    <w:t>Б</w:t>
                  </w:r>
                  <w:r>
                    <w:rPr>
                      <w:position w:val="-1"/>
                      <w:sz w:val="22"/>
                      <w:szCs w:val="18"/>
                    </w:rPr>
                    <w:t xml:space="preserve">2. </w:t>
                  </w:r>
                  <w:r>
                    <w:rPr>
                      <w:sz w:val="22"/>
                      <w:szCs w:val="18"/>
                    </w:rPr>
                    <w:t>= 0</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964" w:hanging="0"/>
                    <w:jc w:val="left"/>
                    <w:rPr>
                      <w:sz w:val="22"/>
                      <w:szCs w:val="18"/>
                    </w:rPr>
                  </w:pPr>
                  <w:r>
                    <w:rPr>
                      <w:rFonts w:cs="Times New Roman" w:ascii="Times New Roman" w:hAnsi="Times New Roman"/>
                      <w:sz w:val="22"/>
                      <w:szCs w:val="18"/>
                    </w:rPr>
                    <w:t>от 0 %(опыт отсутствует, либо не подтвержден) от НМЦ, без учета НДС, до 30% НМЦ без учета НДС (включительно);</w:t>
                  </w:r>
                </w:p>
              </w:tc>
            </w:tr>
            <w:tr>
              <w:trPr>
                <w:trHeight w:val="684" w:hRule="atLeast"/>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 xml:space="preserve">                                   </w:t>
                  </w:r>
                  <w:r>
                    <w:rPr>
                      <w:sz w:val="22"/>
                      <w:szCs w:val="18"/>
                    </w:rPr>
                    <w:t>Б</w:t>
                  </w:r>
                  <w:r>
                    <w:rPr>
                      <w:position w:val="-1"/>
                      <w:sz w:val="22"/>
                      <w:szCs w:val="18"/>
                    </w:rPr>
                    <w:t>2.</w:t>
                  </w:r>
                  <w:r>
                    <w:rPr>
                      <w:sz w:val="22"/>
                      <w:szCs w:val="18"/>
                    </w:rPr>
                    <w:t xml:space="preserve"> = 1</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sz w:val="22"/>
                      <w:szCs w:val="18"/>
                    </w:rPr>
                  </w:pPr>
                  <w:r>
                    <w:rPr>
                      <w:rFonts w:cs="Times New Roman" w:ascii="Times New Roman" w:hAnsi="Times New Roman"/>
                      <w:sz w:val="22"/>
                      <w:szCs w:val="18"/>
                    </w:rPr>
                    <w:t>более 30% НМЦ «без учета НДС», до 40% НМЦ  без учета НДС (включительно);</w:t>
                  </w:r>
                </w:p>
              </w:tc>
            </w:tr>
            <w:tr>
              <w:trPr>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 xml:space="preserve">                                   </w:t>
                  </w:r>
                  <w:r>
                    <w:rPr>
                      <w:sz w:val="22"/>
                      <w:szCs w:val="18"/>
                    </w:rPr>
                    <w:t>Б</w:t>
                  </w:r>
                  <w:r>
                    <w:rPr>
                      <w:position w:val="-1"/>
                      <w:sz w:val="22"/>
                      <w:szCs w:val="18"/>
                    </w:rPr>
                    <w:t>2.</w:t>
                  </w:r>
                  <w:r>
                    <w:rPr>
                      <w:sz w:val="22"/>
                      <w:szCs w:val="18"/>
                    </w:rPr>
                    <w:t xml:space="preserve"> = 2</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sz w:val="22"/>
                      <w:szCs w:val="18"/>
                    </w:rPr>
                  </w:pPr>
                  <w:r>
                    <w:rPr>
                      <w:rFonts w:cs="Times New Roman" w:ascii="Times New Roman" w:hAnsi="Times New Roman"/>
                      <w:sz w:val="22"/>
                      <w:szCs w:val="18"/>
                    </w:rPr>
                    <w:t>более 40% НМЦ «без учета НДС», до 50% НМЦ  без учета НДС (включительно);</w:t>
                  </w:r>
                </w:p>
              </w:tc>
            </w:tr>
            <w:tr>
              <w:trPr>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 xml:space="preserve">                                   </w:t>
                  </w:r>
                  <w:r>
                    <w:rPr>
                      <w:sz w:val="22"/>
                      <w:szCs w:val="18"/>
                    </w:rPr>
                    <w:t>Б</w:t>
                  </w:r>
                  <w:r>
                    <w:rPr>
                      <w:position w:val="-1"/>
                      <w:sz w:val="22"/>
                      <w:szCs w:val="18"/>
                    </w:rPr>
                    <w:t>2.</w:t>
                  </w:r>
                  <w:r>
                    <w:rPr>
                      <w:sz w:val="22"/>
                      <w:szCs w:val="18"/>
                    </w:rPr>
                    <w:t>  = 3</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77" w:hanging="0"/>
                    <w:jc w:val="left"/>
                    <w:rPr>
                      <w:sz w:val="22"/>
                      <w:szCs w:val="18"/>
                    </w:rPr>
                  </w:pPr>
                  <w:r>
                    <w:rPr>
                      <w:rFonts w:cs="Times New Roman" w:ascii="Times New Roman" w:hAnsi="Times New Roman"/>
                      <w:sz w:val="22"/>
                      <w:szCs w:val="18"/>
                    </w:rPr>
                    <w:t>более 50% НМЦ «без учета НДС», до 60% НМЦ  без учета НДС (включительно);</w:t>
                  </w:r>
                </w:p>
              </w:tc>
            </w:tr>
            <w:tr>
              <w:trPr>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Б</w:t>
                  </w:r>
                  <w:r>
                    <w:rPr>
                      <w:position w:val="-1"/>
                      <w:sz w:val="22"/>
                      <w:szCs w:val="18"/>
                    </w:rPr>
                    <w:t>2.</w:t>
                  </w:r>
                  <w:r>
                    <w:rPr>
                      <w:sz w:val="22"/>
                      <w:szCs w:val="18"/>
                    </w:rPr>
                    <w:t xml:space="preserve"> = 4</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964" w:hanging="0"/>
                    <w:jc w:val="left"/>
                    <w:rPr>
                      <w:sz w:val="22"/>
                      <w:szCs w:val="18"/>
                    </w:rPr>
                  </w:pPr>
                  <w:r>
                    <w:rPr>
                      <w:rFonts w:cs="Times New Roman" w:ascii="Times New Roman" w:hAnsi="Times New Roman"/>
                      <w:sz w:val="22"/>
                      <w:szCs w:val="18"/>
                    </w:rPr>
                    <w:t>более 60% НМЦ «без учета НДС», до 70% НМЦ  без учета НДС (включительно);</w:t>
                  </w:r>
                </w:p>
              </w:tc>
            </w:tr>
            <w:tr>
              <w:trPr>
                <w:cantSplit w:val="true"/>
              </w:trPr>
              <w:tc>
                <w:tcPr>
                  <w:tcW w:w="12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30"/>
                      <w:szCs w:val="18"/>
                    </w:rPr>
                  </w:pPr>
                  <w:r>
                    <w:rPr>
                      <w:sz w:val="22"/>
                      <w:szCs w:val="18"/>
                    </w:rPr>
                    <w:t xml:space="preserve"> </w:t>
                  </w:r>
                  <w:r>
                    <w:rPr>
                      <w:sz w:val="22"/>
                      <w:szCs w:val="18"/>
                    </w:rPr>
                    <w:t>Б</w:t>
                  </w:r>
                  <w:r>
                    <w:rPr>
                      <w:position w:val="-1"/>
                      <w:sz w:val="22"/>
                      <w:szCs w:val="18"/>
                    </w:rPr>
                    <w:t xml:space="preserve">2. </w:t>
                  </w:r>
                  <w:r>
                    <w:rPr>
                      <w:sz w:val="22"/>
                      <w:szCs w:val="18"/>
                    </w:rPr>
                    <w:t>= 5</w:t>
                  </w:r>
                </w:p>
              </w:tc>
              <w:tc>
                <w:tcPr>
                  <w:tcW w:w="3725"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left="113" w:right="1020" w:hanging="0"/>
                    <w:jc w:val="left"/>
                    <w:rPr/>
                  </w:pPr>
                  <w:r>
                    <w:rPr>
                      <w:rFonts w:eastAsia="Arial Unicode MS" w:cs="Times New Roman" w:ascii="Times New Roman" w:hAnsi="Times New Roman"/>
                      <w:sz w:val="22"/>
                      <w:szCs w:val="18"/>
                    </w:rPr>
                    <w:t>более</w:t>
                  </w:r>
                  <w:r>
                    <w:rPr>
                      <w:rStyle w:val="Annotationreference"/>
                      <w:rFonts w:eastAsia="Arial Unicode MS" w:cs="Times New Roman" w:ascii="Times New Roman" w:hAnsi="Times New Roman"/>
                      <w:sz w:val="22"/>
                      <w:szCs w:val="18"/>
                    </w:rPr>
                    <w:t xml:space="preserve"> 70% НМЦ без учета НДС;</w:t>
                  </w:r>
                </w:p>
              </w:tc>
            </w:tr>
          </w:tbl>
          <w:p>
            <w:pPr>
              <w:pStyle w:val="22"/>
              <w:keepNext w:val="true"/>
              <w:widowControl w:val="false"/>
              <w:suppressAutoHyphens w:val="true"/>
              <w:spacing w:lineRule="auto" w:line="240" w:before="60" w:after="60"/>
              <w:jc w:val="left"/>
              <w:rPr>
                <w:rFonts w:eastAsia="Calibri"/>
                <w:kern w:val="0"/>
                <w:sz w:val="22"/>
                <w:szCs w:val="18"/>
                <w:lang w:val="ru-RU" w:eastAsia="en-US" w:bidi="ar-SA"/>
              </w:rPr>
            </w:pPr>
            <w:r>
              <w:rPr>
                <w:rFonts w:eastAsia="Calibri" w:cs="Times New Roman" w:ascii="Times New Roman" w:hAnsi="Times New Roman"/>
                <w:kern w:val="0"/>
                <w:sz w:val="22"/>
                <w:szCs w:val="18"/>
                <w:lang w:val="ru-RU" w:eastAsia="en-US" w:bidi="ar-SA"/>
              </w:rPr>
              <w:t>где:</w:t>
            </w:r>
          </w:p>
          <w:p>
            <w:pPr>
              <w:pStyle w:val="BodyText"/>
              <w:widowControl w:val="false"/>
              <w:suppressAutoHyphens w:val="true"/>
              <w:spacing w:lineRule="auto" w:line="240" w:before="0" w:after="0"/>
              <w:ind w:left="57" w:right="57" w:hanging="0"/>
              <w:jc w:val="both"/>
              <w:rPr>
                <w:rFonts w:ascii="Times New Roman" w:hAnsi="Times New Roman" w:eastAsia="Calibri"/>
                <w:kern w:val="0"/>
                <w:sz w:val="30"/>
                <w:szCs w:val="18"/>
                <w:lang w:val="ru-RU" w:eastAsia="en-US" w:bidi="ar-SA"/>
              </w:rPr>
            </w:pPr>
            <w:r>
              <w:rPr>
                <w:rFonts w:eastAsia="Calibri" w:cs="Times New Roman"/>
                <w:spacing w:val="-2"/>
                <w:kern w:val="0"/>
                <w:sz w:val="22"/>
                <w:szCs w:val="18"/>
                <w:lang w:val="ru-RU" w:eastAsia="en-US" w:bidi="ar-SA"/>
              </w:rPr>
              <w:t>Б</w:t>
            </w:r>
            <w:r>
              <w:rPr>
                <w:rFonts w:eastAsia="Calibri" w:cs="Times New Roman"/>
                <w:spacing w:val="-2"/>
                <w:kern w:val="0"/>
                <w:position w:val="-1"/>
                <w:sz w:val="22"/>
                <w:szCs w:val="18"/>
                <w:lang w:val="ru-RU" w:eastAsia="en-US" w:bidi="ar-SA"/>
              </w:rPr>
              <w:t>2</w:t>
            </w:r>
            <w:r>
              <w:rPr>
                <w:rFonts w:eastAsia="Calibri" w:cs="Times New Roman"/>
                <w:spacing w:val="-2"/>
                <w:kern w:val="0"/>
                <w:sz w:val="22"/>
                <w:szCs w:val="18"/>
                <w:lang w:val="ru-RU" w:eastAsia="en-US" w:bidi="ar-SA"/>
              </w:rPr>
              <w:t>  - рассчитанная оценка предпочтительности по данному частному критерию оценки в баллах.</w:t>
            </w:r>
          </w:p>
          <w:p>
            <w:pPr>
              <w:pStyle w:val="BodyText"/>
              <w:widowControl w:val="false"/>
              <w:suppressAutoHyphens w:val="true"/>
              <w:spacing w:lineRule="auto" w:line="240" w:before="0" w:after="0"/>
              <w:ind w:left="57" w:right="57" w:hanging="0"/>
              <w:jc w:val="both"/>
              <w:rPr>
                <w:rFonts w:ascii="Times New Roman" w:hAnsi="Times New Roman"/>
                <w:kern w:val="0"/>
                <w:sz w:val="22"/>
                <w:szCs w:val="18"/>
                <w:lang w:val="ru-RU" w:eastAsia="en-US" w:bidi="ar-SA"/>
              </w:rPr>
            </w:pPr>
            <w:r>
              <w:rPr>
                <w:rFonts w:eastAsia="Calibri" w:cs="Times New Roman"/>
                <w:spacing w:val="-2"/>
                <w:kern w:val="0"/>
                <w:sz w:val="22"/>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suppressAutoHyphens w:val="true"/>
              <w:spacing w:lineRule="auto" w:line="240" w:before="60" w:after="60"/>
              <w:ind w:left="0" w:hanging="0"/>
              <w:rPr>
                <w:rFonts w:eastAsia="Calibri"/>
                <w:kern w:val="0"/>
                <w:sz w:val="22"/>
                <w:szCs w:val="18"/>
                <w:lang w:val="ru-RU" w:eastAsia="en-US" w:bidi="ar-SA"/>
              </w:rPr>
            </w:pPr>
            <w:r>
              <w:rPr>
                <w:rFonts w:eastAsia="Calibri" w:cs="Times New Roman" w:ascii="Times New Roman" w:hAnsi="Times New Roman"/>
                <w:kern w:val="0"/>
                <w:sz w:val="22"/>
                <w:szCs w:val="18"/>
                <w:lang w:val="ru-RU" w:eastAsia="en-US" w:bidi="ar-SA"/>
              </w:rPr>
              <w:t xml:space="preserve"> </w:t>
            </w:r>
            <w:r>
              <w:rPr>
                <w:rFonts w:eastAsia="Calibri" w:cs="Times New Roman" w:ascii="Times New Roman" w:hAnsi="Times New Roman"/>
                <w:kern w:val="0"/>
                <w:sz w:val="22"/>
                <w:szCs w:val="18"/>
                <w:lang w:val="ru-RU" w:eastAsia="en-US" w:bidi="ar-SA"/>
              </w:rPr>
              <w:t>Опыт, несоответствующий установленным выше требованиям не оценивается.</w:t>
            </w:r>
          </w:p>
          <w:p>
            <w:pPr>
              <w:pStyle w:val="22"/>
              <w:widowControl w:val="false"/>
              <w:suppressAutoHyphens w:val="true"/>
              <w:spacing w:lineRule="auto" w:line="240" w:before="60" w:after="60"/>
              <w:ind w:left="0" w:hanging="0"/>
              <w:rPr>
                <w:rFonts w:eastAsia="Calibri"/>
                <w:kern w:val="0"/>
                <w:sz w:val="22"/>
                <w:szCs w:val="18"/>
                <w:lang w:val="ru-RU" w:eastAsia="en-US" w:bidi="ar-SA"/>
              </w:rPr>
            </w:pPr>
            <w:r>
              <w:rPr>
                <w:rFonts w:eastAsia="Calibri" w:cs="Times New Roman" w:ascii="Times New Roman" w:hAnsi="Times New Roman"/>
                <w:kern w:val="0"/>
                <w:sz w:val="22"/>
                <w:szCs w:val="18"/>
                <w:lang w:val="ru-RU" w:eastAsia="en-US" w:bidi="ar-SA"/>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3.</w:t>
            </w:r>
          </w:p>
        </w:tc>
        <w:tc>
          <w:tcPr>
            <w:tcW w:w="137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r>
              <w:rPr>
                <w:rFonts w:eastAsia="Times New Roman"/>
                <w:sz w:val="22"/>
                <w:szCs w:val="22"/>
                <w:lang w:eastAsia="ru-RU"/>
              </w:rPr>
              <w:t>Неценовой критерий оценки первого уровня / ОРГ</w:t>
            </w:r>
          </w:p>
        </w:tc>
        <w:tc>
          <w:tcPr>
            <w:tcW w:w="2113"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bookmarkStart w:id="390" w:name="Финсостояние"/>
            <w:r>
              <w:rPr>
                <w:rFonts w:eastAsia="Times New Roman"/>
                <w:sz w:val="22"/>
                <w:szCs w:val="22"/>
                <w:lang w:eastAsia="ru-RU"/>
              </w:rPr>
              <w:t>Финансовое состояние (устойчивость) Участника</w:t>
            </w:r>
            <w:bookmarkEnd w:id="390"/>
          </w:p>
        </w:tc>
        <w:tc>
          <w:tcPr>
            <w:tcW w:w="1185"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rFonts w:eastAsia="Times New Roman"/>
                <w:sz w:val="22"/>
                <w:szCs w:val="22"/>
                <w:lang w:eastAsia="ru-RU"/>
              </w:rPr>
            </w:pPr>
            <w:r>
              <w:rPr>
                <w:rFonts w:eastAsia="Times New Roman"/>
                <w:sz w:val="22"/>
                <w:szCs w:val="22"/>
                <w:lang w:eastAsia="ru-RU"/>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5%</w:t>
              <w:br/>
              <w:t>(В3 = 0,5)</w:t>
            </w:r>
          </w:p>
        </w:tc>
        <w:tc>
          <w:tcPr>
            <w:tcW w:w="1969"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pPr>
            <w:r>
              <w:rPr>
                <w:rStyle w:val="Style20"/>
                <w:color w:val="000000"/>
                <w:sz w:val="22"/>
                <w:szCs w:val="22"/>
              </w:rPr>
              <w:t>Чем выше результат оценки финансового состояния (устойчивости)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pPr>
            <w:r>
              <w:rPr>
                <w:rStyle w:val="Style20"/>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rPr/>
            </w:pPr>
            <w:r>
              <w:rPr>
                <w:rStyle w:val="Style20"/>
                <w:sz w:val="22"/>
                <w:szCs w:val="22"/>
              </w:rPr>
              <w:t xml:space="preserve">Порядок осуществления оценки (значение оцениваемого параметра), в зависимости от полученного Участником (с </w:t>
            </w:r>
            <w:r>
              <w:rPr>
                <w:rStyle w:val="Style20"/>
                <w:i/>
                <w:sz w:val="22"/>
                <w:szCs w:val="22"/>
                <w:lang w:val="en-US"/>
              </w:rPr>
              <w:t>i</w:t>
            </w:r>
            <w:r>
              <w:rPr>
                <w:rStyle w:val="Style20"/>
                <w:sz w:val="22"/>
                <w:szCs w:val="22"/>
              </w:rPr>
              <w:t xml:space="preserve">-ой заявкой) значения расчетного балла </w:t>
            </w:r>
            <w:bookmarkStart w:id="391" w:name="_Hlk140493522"/>
            <w:r>
              <w:rPr>
                <w:rStyle w:val="Style20"/>
                <w:sz w:val="22"/>
                <w:szCs w:val="22"/>
              </w:rPr>
              <w:t>(интегрального показателя финансового состояния)</w:t>
            </w:r>
            <w:bookmarkEnd w:id="391"/>
            <w:r>
              <w:rPr>
                <w:rStyle w:val="Style20"/>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tabs>
                <w:tab w:val="clear" w:pos="708"/>
              </w:tabs>
              <w:spacing w:before="120" w:after="0"/>
              <w:ind w:left="62" w:right="0" w:hanging="0"/>
              <w:rPr/>
            </w:pPr>
            <w:r>
              <w:rPr>
                <w:rStyle w:val="Style20"/>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3"/>
            </w:r>
            <w:r>
              <w:rPr>
                <w:rStyle w:val="Style20"/>
                <w:rFonts w:eastAsia="Calibri"/>
                <w:sz w:val="22"/>
                <w:szCs w:val="22"/>
              </w:rPr>
              <w:t xml:space="preserve"> установлен Приложением №4 к Положению об аккредитации;</w:t>
            </w:r>
          </w:p>
          <w:p>
            <w:pPr>
              <w:pStyle w:val="Normal"/>
              <w:widowControl w:val="false"/>
              <w:tabs>
                <w:tab w:val="clear" w:pos="708"/>
              </w:tabs>
              <w:spacing w:before="120" w:after="0"/>
              <w:ind w:left="62" w:right="0" w:hanging="0"/>
              <w:rPr/>
            </w:pPr>
            <w:r>
              <w:rPr>
                <w:rStyle w:val="Style20"/>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tgtFrame="_top">
              <w:r>
                <w:rPr>
                  <w:rStyle w:val="Hyperlink"/>
                  <w:rFonts w:eastAsia="Calibri"/>
                  <w:sz w:val="22"/>
                  <w:szCs w:val="22"/>
                </w:rPr>
                <w:t>https://bo.nalog.ru</w:t>
              </w:r>
            </w:hyperlink>
            <w:r>
              <w:rPr>
                <w:rStyle w:val="Style20"/>
                <w:rFonts w:eastAsia="Calibri"/>
                <w:sz w:val="22"/>
                <w:szCs w:val="22"/>
              </w:rPr>
              <w:t xml:space="preserve">) за предыдущий отчетный период (год) </w:t>
            </w:r>
            <w:r>
              <w:rPr>
                <w:rStyle w:val="Style20"/>
                <w:sz w:val="22"/>
                <w:szCs w:val="22"/>
              </w:rPr>
              <w:t>по состоянию на дату окончания срока подачи заявок</w:t>
            </w:r>
            <w:r>
              <w:rPr>
                <w:rStyle w:val="Style20"/>
                <w:rFonts w:eastAsia="Calibri"/>
                <w:sz w:val="22"/>
                <w:szCs w:val="22"/>
              </w:rPr>
              <w:t>.</w:t>
            </w:r>
          </w:p>
          <w:p>
            <w:pPr>
              <w:pStyle w:val="Normal"/>
              <w:widowControl w:val="false"/>
              <w:spacing w:before="120" w:after="0"/>
              <w:rPr/>
            </w:pPr>
            <w:r>
              <w:rPr>
                <w:rStyle w:val="Style20"/>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rStyle w:val="Style20"/>
                <w:sz w:val="22"/>
                <w:szCs w:val="22"/>
              </w:rPr>
              <w:t xml:space="preserve">(по формам ОКУД 0710001, 0710002) </w:t>
            </w:r>
            <w:r>
              <w:rPr>
                <w:rStyle w:val="Style20"/>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rStyle w:val="Style20"/>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Style w:val="Style20"/>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tabs>
                <w:tab w:val="clear" w:pos="708"/>
              </w:tabs>
              <w:spacing w:before="120" w:after="0"/>
              <w:ind w:left="346" w:right="0" w:hanging="0"/>
              <w:rPr/>
            </w:pPr>
            <w:r>
              <w:rPr>
                <w:rStyle w:val="Style20"/>
                <w:sz w:val="22"/>
                <w:szCs w:val="22"/>
              </w:rPr>
              <w:t>Если Участник в соответствии с законодательством формирует отчетность по </w:t>
            </w:r>
            <w:r>
              <w:rPr>
                <w:rStyle w:val="Style20"/>
                <w:rFonts w:eastAsia="Calibri"/>
                <w:sz w:val="22"/>
                <w:szCs w:val="22"/>
              </w:rPr>
              <w:t>формам</w:t>
            </w:r>
            <w:r>
              <w:rPr>
                <w:rStyle w:val="Style20"/>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jc w:val="both"/>
              <w:rPr/>
            </w:pPr>
            <w:r>
              <w:rPr>
                <w:rStyle w:val="Style20"/>
                <w:rFonts w:eastAsia="Calibri"/>
                <w:color w:val="000000"/>
                <w:sz w:val="22"/>
                <w:szCs w:val="22"/>
              </w:rPr>
              <w:t>Оценка предпочтительности по частному критерию</w:t>
            </w:r>
            <w:r>
              <w:rPr>
                <w:rStyle w:val="Style20"/>
                <w:color w:val="000000"/>
                <w:sz w:val="22"/>
                <w:szCs w:val="22"/>
              </w:rPr>
              <w:t xml:space="preserve"> осуществляется в соответствии со следующей </w:t>
            </w:r>
            <w:r>
              <w:rPr>
                <w:rStyle w:val="Style20"/>
                <w:rFonts w:eastAsia="Calibri"/>
                <w:color w:val="000000"/>
                <w:sz w:val="22"/>
                <w:szCs w:val="22"/>
              </w:rPr>
              <w:t>шкалой</w:t>
            </w:r>
            <w:r>
              <w:rPr>
                <w:rStyle w:val="Style20"/>
                <w:color w:val="000000"/>
                <w:sz w:val="22"/>
                <w:szCs w:val="22"/>
              </w:rPr>
              <w:t>:</w:t>
            </w:r>
          </w:p>
          <w:tbl>
            <w:tblPr>
              <w:tblW w:w="6122" w:type="dxa"/>
              <w:jc w:val="left"/>
              <w:tblInd w:w="3" w:type="dxa"/>
              <w:tblLayout w:type="fixed"/>
              <w:tblCellMar>
                <w:top w:w="55" w:type="dxa"/>
                <w:left w:w="57" w:type="dxa"/>
                <w:bottom w:w="55" w:type="dxa"/>
                <w:right w:w="57" w:type="dxa"/>
              </w:tblCellMar>
            </w:tblPr>
            <w:tblGrid>
              <w:gridCol w:w="1078"/>
              <w:gridCol w:w="5043"/>
            </w:tblGrid>
            <w:tr>
              <w:trPr/>
              <w:tc>
                <w:tcPr>
                  <w:tcW w:w="1078" w:type="dxa"/>
                  <w:tcBorders>
                    <w:top w:val="single" w:sz="4" w:space="0" w:color="000000"/>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0</w:t>
                  </w:r>
                </w:p>
              </w:tc>
              <w:tc>
                <w:tcPr>
                  <w:tcW w:w="50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before="120" w:after="0"/>
                    <w:ind w:left="57" w:right="397" w:hanging="0"/>
                    <w:rPr/>
                  </w:pPr>
                  <w:r>
                    <w:rPr>
                      <w:rStyle w:val="Style20"/>
                      <w:rFonts w:eastAsia="Calibri"/>
                      <w:sz w:val="22"/>
                      <w:szCs w:val="22"/>
                    </w:rPr>
                    <w:t>Результат оценки финансового состояния (устойчивости): менее 0,45 балла – Кризисное финансовое состояние;</w:t>
                  </w:r>
                </w:p>
                <w:p>
                  <w:pPr>
                    <w:pStyle w:val="Normal"/>
                    <w:widowControl w:val="false"/>
                    <w:rPr/>
                  </w:pPr>
                  <w:r>
                    <w:rPr>
                      <w:rStyle w:val="Style20"/>
                      <w:rFonts w:eastAsia="Calibri"/>
                      <w:i/>
                      <w:iCs/>
                      <w:sz w:val="22"/>
                      <w:szCs w:val="22"/>
                    </w:rPr>
                    <w:t>или</w:t>
                  </w:r>
                </w:p>
                <w:p>
                  <w:pPr>
                    <w:pStyle w:val="Normal"/>
                    <w:widowControl w:val="false"/>
                    <w:tabs>
                      <w:tab w:val="clear" w:pos="708"/>
                    </w:tabs>
                    <w:ind w:left="113" w:right="454" w:hanging="0"/>
                    <w:rPr/>
                  </w:pPr>
                  <w:r>
                    <w:rPr>
                      <w:rStyle w:val="Style20"/>
                      <w:rFonts w:eastAsia="Calibri"/>
                      <w:sz w:val="22"/>
                      <w:szCs w:val="22"/>
                    </w:rPr>
                    <w:t>в случае отсутствия исходных данных для оценки финансового состояния Участника, в том числе если он является:</w:t>
                  </w:r>
                </w:p>
                <w:p>
                  <w:pPr>
                    <w:pStyle w:val="-2"/>
                    <w:widowControl w:val="false"/>
                    <w:spacing w:lineRule="auto" w:line="240" w:before="40" w:after="40"/>
                    <w:ind w:left="56" w:right="397" w:hanging="0"/>
                    <w:jc w:val="left"/>
                    <w:rPr>
                      <w:sz w:val="22"/>
                      <w:szCs w:val="22"/>
                    </w:rPr>
                  </w:pPr>
                  <w:r>
                    <w:rPr>
                      <w:sz w:val="22"/>
                      <w:szCs w:val="22"/>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2"/>
                    <w:widowControl w:val="false"/>
                    <w:spacing w:lineRule="auto" w:line="240" w:before="40" w:after="40"/>
                    <w:ind w:left="56" w:right="340" w:hanging="0"/>
                    <w:jc w:val="left"/>
                    <w:rPr/>
                  </w:pPr>
                  <w:r>
                    <w:rPr>
                      <w:rStyle w:val="Style20"/>
                      <w:sz w:val="22"/>
                      <w:szCs w:val="22"/>
                      <w:lang w:eastAsia="ru-RU"/>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3</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454" w:hanging="0"/>
                    <w:jc w:val="left"/>
                    <w:rPr/>
                  </w:pPr>
                  <w:r>
                    <w:rPr>
                      <w:rStyle w:val="Style20"/>
                      <w:rFonts w:eastAsia="Times New Roman"/>
                      <w:sz w:val="22"/>
                      <w:szCs w:val="22"/>
                      <w:lang w:eastAsia="ru-RU"/>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5</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510" w:hanging="0"/>
                    <w:jc w:val="left"/>
                    <w:rPr/>
                  </w:pPr>
                  <w:r>
                    <w:rPr>
                      <w:rStyle w:val="Style20"/>
                      <w:rFonts w:eastAsia="Times New Roman"/>
                      <w:sz w:val="22"/>
                      <w:szCs w:val="22"/>
                      <w:lang w:eastAsia="ru-RU"/>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rPr/>
            </w:pPr>
            <w:r>
              <w:rPr>
                <w:rStyle w:val="Style20"/>
                <w:color w:val="000000"/>
                <w:sz w:val="22"/>
                <w:szCs w:val="22"/>
              </w:rPr>
              <w:t>где:</w:t>
            </w:r>
          </w:p>
          <w:p>
            <w:pPr>
              <w:pStyle w:val="22"/>
              <w:widowControl w:val="false"/>
              <w:numPr>
                <w:ilvl w:val="0"/>
                <w:numId w:val="0"/>
              </w:numPr>
              <w:tabs>
                <w:tab w:val="left" w:pos="742" w:leader="none"/>
                <w:tab w:val="left" w:pos="1167" w:leader="none"/>
              </w:tabs>
              <w:spacing w:lineRule="auto" w:line="240"/>
              <w:ind w:left="720" w:right="0" w:hanging="0"/>
              <w:jc w:val="left"/>
              <w:rPr/>
            </w:pPr>
            <w:r>
              <w:rPr>
                <w:rStyle w:val="Style20"/>
                <w:sz w:val="22"/>
                <w:szCs w:val="22"/>
                <w:lang w:eastAsia="ru-RU"/>
              </w:rPr>
              <w:t>Б</w:t>
            </w:r>
            <w:r>
              <w:rPr>
                <w:rStyle w:val="Style20"/>
                <w:position w:val="-2"/>
                <w:sz w:val="22"/>
                <w:szCs w:val="22"/>
                <w:lang w:eastAsia="ru-RU"/>
              </w:rPr>
              <w:t>3</w:t>
            </w:r>
            <w:r>
              <w:rPr>
                <w:rStyle w:val="Style20"/>
                <w:sz w:val="22"/>
                <w:szCs w:val="22"/>
                <w:lang w:eastAsia="ru-RU"/>
              </w:rPr>
              <w:tab/>
              <w:t>–</w:t>
              <w:tab/>
              <w:t>рассчитанная оценка предпочтительности по данному частному критерию оценки в баллах.</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(Приложение № 4), представленному в заявке такого Коллективного участника на участие в закупке.). </w:t>
            </w:r>
          </w:p>
          <w:p>
            <w:pPr>
              <w:pStyle w:val="Style39"/>
              <w:widowControl w:val="false"/>
              <w:numPr>
                <w:ilvl w:val="0"/>
                <w:numId w:val="0"/>
              </w:numPr>
              <w:tabs>
                <w:tab w:val="clear" w:pos="75"/>
                <w:tab w:val="left" w:pos="435" w:leader="none"/>
              </w:tabs>
              <w:ind w:left="0" w:right="0" w:hanging="0"/>
              <w:rPr>
                <w:rFonts w:ascii="Times New Roman" w:hAnsi="Times New Roman"/>
                <w:szCs w:val="22"/>
              </w:rPr>
            </w:pPr>
            <w:r>
              <w:rPr>
                <w:szCs w:val="22"/>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1"/>
              <w:widowControl w:val="false"/>
              <w:tabs>
                <w:tab w:val="clear" w:pos="708"/>
              </w:tabs>
              <w:spacing w:lineRule="auto" w:line="240" w:before="96" w:after="96"/>
              <w:ind w:left="0" w:right="0" w:hanging="0"/>
              <w:contextualSpacing w:val="false"/>
              <w:jc w:val="left"/>
              <w:rPr/>
            </w:pPr>
            <w:r>
              <w:rPr>
                <w:rStyle w:val="Style20"/>
                <w:color w:val="000000"/>
                <w:sz w:val="22"/>
                <w:szCs w:val="22"/>
                <w:lang w:eastAsia="ru-RU"/>
              </w:rPr>
              <w:t>Шкала оценок от 0 до 5 баллов.</w:t>
            </w:r>
          </w:p>
        </w:tc>
      </w:tr>
    </w:tbl>
    <w:p>
      <w:pPr>
        <w:pStyle w:val="Style26"/>
        <w:numPr>
          <w:ilvl w:val="0"/>
          <w:numId w:val="0"/>
        </w:numPr>
        <w:ind w:left="0" w:hanging="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numPr>
          <w:ilvl w:val="0"/>
          <w:numId w:val="0"/>
        </w:numPr>
        <w:ind w:left="0" w:hanging="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numPr>
          <w:ilvl w:val="0"/>
          <w:numId w:val="0"/>
        </w:numPr>
        <w:ind w:left="0" w:hanging="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2" w:name="_Ref125360420"/>
      <w:bookmarkStart w:id="393" w:name="_Toc228877733"/>
      <w:bookmarkStart w:id="394" w:name="Прил09_ОбоснованиеНМЦ"/>
      <w:bookmarkEnd w:id="394"/>
      <w:r>
        <w:rPr/>
        <w:t>Приложение № 9 – Обоснование НМЦ</w:t>
      </w:r>
      <w:bookmarkEnd w:id="392"/>
      <w:bookmarkEnd w:id="393"/>
    </w:p>
    <w:p>
      <w:pPr>
        <w:pStyle w:val="Style25"/>
        <w:rPr/>
      </w:pPr>
      <w:bookmarkStart w:id="395" w:name="_Toc228877734"/>
      <w:r>
        <w:rPr/>
        <w:t>Пояснения к Обоснованию НМЦ</w:t>
      </w:r>
      <w:bookmarkEnd w:id="395"/>
    </w:p>
    <w:p>
      <w:pPr>
        <w:pStyle w:val="Style26"/>
        <w:numPr>
          <w:ilvl w:val="0"/>
          <w:numId w:val="0"/>
        </w:numPr>
        <w:ind w:left="0" w:hanging="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6" w:name="_Toc228877735"/>
      <w:bookmarkStart w:id="397" w:name="Прил10_ФормаЗаявкиНаАккредитацию"/>
      <w:bookmarkEnd w:id="397"/>
      <w:r>
        <w:rPr/>
        <w:t>Приложение № 10 – Форма Заявки на аккредитацию</w:t>
      </w:r>
      <w:bookmarkEnd w:id="396"/>
    </w:p>
    <w:p>
      <w:pPr>
        <w:pStyle w:val="Style25"/>
        <w:rPr/>
      </w:pPr>
      <w:bookmarkStart w:id="398" w:name="_Toc228877736"/>
      <w:r>
        <w:rPr/>
        <w:t>Пояснения к форме Заявки на аккредитацию</w:t>
      </w:r>
      <w:bookmarkEnd w:id="398"/>
    </w:p>
    <w:p>
      <w:pPr>
        <w:pStyle w:val="Style26"/>
        <w:numPr>
          <w:ilvl w:val="0"/>
          <w:numId w:val="0"/>
        </w:numPr>
        <w:ind w:left="0" w:hanging="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numPr>
          <w:ilvl w:val="0"/>
          <w:numId w:val="0"/>
        </w:numPr>
        <w:ind w:left="0" w:hanging="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9"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9"/>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585092934" r:id="rId36"/>
        </w:object>
      </w:r>
    </w:p>
    <w:p>
      <w:pPr>
        <w:pStyle w:val="Style24"/>
        <w:rPr/>
      </w:pPr>
      <w:bookmarkStart w:id="400" w:name="_Toc228877737"/>
      <w:bookmarkStart w:id="401" w:name="Прил11_Данные_бухотчетность"/>
      <w:r>
        <w:rPr/>
        <w:t xml:space="preserve">Приложение № 11 </w:t>
      </w:r>
      <w:bookmarkEnd w:id="401"/>
      <w:r>
        <w:rPr/>
        <w:t>– форма Данных бухгалтерской (финансовой) отчетности</w:t>
      </w:r>
      <w:bookmarkEnd w:id="400"/>
    </w:p>
    <w:p>
      <w:pPr>
        <w:pStyle w:val="Style25"/>
        <w:rPr/>
      </w:pPr>
      <w:bookmarkStart w:id="402" w:name="_Toc228877738"/>
      <w:r>
        <w:rPr/>
        <w:t>Пояснения к форме Данных бухгалтерской (финансовой) отчетности</w:t>
      </w:r>
      <w:bookmarkEnd w:id="402"/>
      <w:r>
        <w:rPr/>
        <w:t xml:space="preserve"> </w:t>
      </w:r>
    </w:p>
    <w:p>
      <w:pPr>
        <w:pStyle w:val="Style26"/>
        <w:numPr>
          <w:ilvl w:val="0"/>
          <w:numId w:val="0"/>
        </w:numPr>
        <w:ind w:left="0" w:hanging="0"/>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3" w:name="_MON_1821256687"/>
      <w:bookmarkStart w:id="404" w:name="_MON_1821256687"/>
      <w:bookmarkEnd w:id="404"/>
    </w:p>
    <w:p>
      <w:pPr>
        <w:pStyle w:val="Normal"/>
        <w:jc w:val="center"/>
        <w:rPr/>
      </w:pPr>
      <w:bookmarkStart w:id="405" w:name="_Hlk210644436"/>
      <w:bookmarkStart w:id="406" w:name="_MON_1821256687_Копия_1"/>
      <w:bookmarkEnd w:id="406"/>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432343720" r:id="rId38"/>
        </w:object>
      </w:r>
      <w:bookmarkEnd w:id="405"/>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83251200"/>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09333606"/>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51976312"/>
    </w:sdtPr>
    <w:sdtContent>
      <w:p>
        <w:pPr>
          <w:pStyle w:val="Footer"/>
          <w:spacing w:before="120" w:after="0"/>
          <w:rPr/>
        </w:pPr>
        <w:r>
          <w:rPr/>
          <w:fldChar w:fldCharType="begin"/>
        </w:r>
        <w:r>
          <w:rPr/>
          <w:instrText xml:space="preserve"> PAGE </w:instrText>
        </w:r>
        <w:r>
          <w:rPr/>
          <w:fldChar w:fldCharType="separate"/>
        </w:r>
        <w:r>
          <w:rPr/>
          <w:t>47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39157486"/>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6235490"/>
    </w:sdtPr>
    <w:sdtContent>
      <w:p>
        <w:pPr>
          <w:pStyle w:val="Footer"/>
          <w:spacing w:before="120" w:after="0"/>
          <w:rPr/>
        </w:pPr>
        <w:r>
          <w:rPr/>
          <w:fldChar w:fldCharType="begin"/>
        </w:r>
        <w:r>
          <w:rPr/>
          <w:instrText xml:space="preserve"> PAGE </w:instrText>
        </w:r>
        <w:r>
          <w:rPr/>
          <w:fldChar w:fldCharType="separate"/>
        </w:r>
        <w:r>
          <w:rPr/>
          <w:t>59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17714209"/>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68598669"/>
    </w:sdtPr>
    <w:sdtContent>
      <w:p>
        <w:pPr>
          <w:pStyle w:val="Footer"/>
          <w:spacing w:before="120" w:after="0"/>
          <w:rPr/>
        </w:pPr>
        <w:r>
          <w:rPr/>
          <w:fldChar w:fldCharType="begin"/>
        </w:r>
        <w:r>
          <w:rPr/>
          <w:instrText xml:space="preserve"> PAGE </w:instrText>
        </w:r>
        <w:r>
          <w:rPr/>
          <w:fldChar w:fldCharType="separate"/>
        </w:r>
        <w:r>
          <w:rPr/>
          <w:t>78</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39"/>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75"/>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FootnoteReference1">
    <w:name w:val="Footnote Reference1"/>
    <w:basedOn w:val="Style20"/>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paragraph" w:styleId="Style39">
    <w:name w:val="[РусГидро] Пункт"/>
    <w:basedOn w:val="Style38"/>
    <w:qFormat/>
    <w:pPr>
      <w:numPr>
        <w:ilvl w:val="2"/>
        <w:numId w:val="1"/>
      </w:numPr>
      <w:tabs>
        <w:tab w:val="left" w:pos="75" w:leader="none"/>
      </w:tabs>
      <w:suppressAutoHyphens w:val="true"/>
      <w:spacing w:before="120" w:after="0"/>
      <w:jc w:val="both"/>
      <w:outlineLvl w:val="2"/>
    </w:pPr>
    <w:rPr>
      <w:rFonts w:eastAsia="Calibri" w:cs="Times New Roman"/>
      <w:szCs w:val="26"/>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Application>AlterOffice/3.3.1.3$Linux_X86_64 LibreOffice_project/90d829a0d92d6015ad4fa014ce4f460a7fe6c0ba</Application>
  <AppVersion>15.0000</AppVersion>
  <Pages>78</Pages>
  <Words>18976</Words>
  <Characters>130831</Characters>
  <CharactersWithSpaces>146645</CharactersWithSpaces>
  <Paragraphs>1078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ignatova_ta</cp:lastModifiedBy>
  <dcterms:modified xsi:type="dcterms:W3CDTF">2026-09-11T13:33:19Z</dcterms:modified>
  <cp:revision>167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