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header2.xml" ContentType="application/vnd.openxmlformats-officedocument.wordprocessingml.header+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header3.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rPr>
          <w:sz w:val="22"/>
          <w:szCs w:val="22"/>
          <w:lang w:val="en-US"/>
        </w:rPr>
      </w:pPr>
      <w:r>
        <w:rPr>
          <w:sz w:val="22"/>
          <w:szCs w:val="22"/>
          <w:lang w:val="en-US"/>
        </w:rPr>
      </w:r>
    </w:p>
    <w:p>
      <w:pPr>
        <w:pStyle w:val="Normal"/>
        <w:keepNext w:val="true"/>
        <w:keepLines/>
        <w:rPr>
          <w:sz w:val="22"/>
          <w:szCs w:val="22"/>
        </w:rPr>
      </w:pPr>
      <w:r>
        <w:rPr>
          <w:sz w:val="22"/>
          <w:szCs w:val="22"/>
        </w:rPr>
      </w:r>
    </w:p>
    <w:p>
      <w:pPr>
        <w:pStyle w:val="Normal"/>
        <w:keepNext w:val="true"/>
        <w:keepLines/>
        <w:rPr>
          <w:sz w:val="22"/>
          <w:szCs w:val="22"/>
        </w:rPr>
      </w:pPr>
      <w:r>
        <w:rPr>
          <w:sz w:val="22"/>
          <w:szCs w:val="22"/>
        </w:rPr>
      </w:r>
    </w:p>
    <w:p>
      <w:pPr>
        <w:pStyle w:val="Normal"/>
        <w:keepNext w:val="true"/>
        <w:keepLines/>
        <w:rPr>
          <w:sz w:val="22"/>
          <w:szCs w:val="22"/>
        </w:rPr>
      </w:pPr>
      <w:r>
        <w:rPr>
          <w:sz w:val="22"/>
          <w:szCs w:val="22"/>
        </w:rPr>
      </w:r>
    </w:p>
    <w:p>
      <w:pPr>
        <w:pStyle w:val="Normal"/>
        <w:keepNext w:val="true"/>
        <w:keepLines/>
        <w:rPr>
          <w:sz w:val="22"/>
          <w:szCs w:val="22"/>
        </w:rPr>
      </w:pPr>
      <w:r>
        <w:rPr>
          <w:sz w:val="22"/>
          <w:szCs w:val="22"/>
        </w:rPr>
      </w:r>
    </w:p>
    <w:p>
      <w:pPr>
        <w:pStyle w:val="Normal"/>
        <w:keepNext w:val="true"/>
        <w:keepLines/>
        <w:jc w:val="center"/>
        <w:rPr>
          <w:rFonts w:eastAsia="Calibri"/>
          <w:b/>
          <w:sz w:val="22"/>
          <w:szCs w:val="22"/>
        </w:rPr>
      </w:pPr>
      <w:r>
        <w:rPr>
          <w:rFonts w:eastAsia="Calibri"/>
          <w:b/>
          <w:sz w:val="22"/>
          <w:szCs w:val="22"/>
        </w:rPr>
        <w:t>Технические требования на поставку МТР</w:t>
      </w:r>
    </w:p>
    <w:p>
      <w:pPr>
        <w:pStyle w:val="Normal"/>
        <w:keepNext w:val="true"/>
        <w:keepLines/>
        <w:jc w:val="center"/>
        <w:rPr>
          <w:rFonts w:eastAsia="Calibri"/>
          <w:b/>
          <w:bCs/>
          <w:i/>
          <w:i/>
          <w:iCs/>
          <w:sz w:val="22"/>
          <w:szCs w:val="22"/>
        </w:rPr>
      </w:pPr>
      <w:r>
        <w:rPr>
          <w:rFonts w:eastAsia="Calibri"/>
          <w:b/>
          <w:bCs/>
          <w:i/>
          <w:iCs/>
          <w:sz w:val="22"/>
          <w:szCs w:val="22"/>
        </w:rPr>
      </w:r>
    </w:p>
    <w:p>
      <w:pPr>
        <w:pStyle w:val="Normal"/>
        <w:bidi w:val="0"/>
        <w:jc w:val="center"/>
        <w:rPr>
          <w:b/>
          <w:bCs/>
          <w:i/>
          <w:i/>
          <w:iCs/>
          <w:sz w:val="22"/>
          <w:szCs w:val="22"/>
        </w:rPr>
      </w:pPr>
      <w:r>
        <w:rPr>
          <w:b/>
          <w:bCs/>
          <w:i/>
          <w:iCs/>
          <w:strike w:val="false"/>
          <w:dstrike w:val="false"/>
          <w:outline w:val="false"/>
          <w:shadow w:val="false"/>
          <w:sz w:val="22"/>
          <w:szCs w:val="22"/>
          <w:u w:val="none"/>
          <w:em w:val="none"/>
        </w:rPr>
        <w:t>ОКПД2 27.32.13 Поставка контрольных и силовых кабеля и проводов в рамках ремонтной, инвестиционной и эксплуатационной  программ филиалов АО "ДРСК": "Амурские электрические сети", "Приморские электрические сети", "Хабаровские электрические сети" , "Электрические сети Еврейской Автономной Области" и и "Южно-Якутские электрические сети"</w:t>
      </w:r>
    </w:p>
    <w:p>
      <w:pPr>
        <w:pStyle w:val="Normal"/>
        <w:bidi w:val="0"/>
        <w:jc w:val="center"/>
        <w:rPr>
          <w:b/>
          <w:bCs/>
          <w:i/>
          <w:i/>
          <w:iCs/>
          <w:strike w:val="false"/>
          <w:dstrike w:val="false"/>
          <w:outline w:val="false"/>
          <w:shadow w:val="false"/>
          <w:sz w:val="22"/>
          <w:szCs w:val="22"/>
          <w:u w:val="none"/>
          <w:em w:val="none"/>
        </w:rPr>
      </w:pPr>
      <w:r>
        <w:rPr>
          <w:b/>
          <w:bCs/>
          <w:i/>
          <w:iCs/>
          <w:strike w:val="false"/>
          <w:dstrike w:val="false"/>
          <w:outline w:val="false"/>
          <w:shadow w:val="false"/>
          <w:sz w:val="22"/>
          <w:szCs w:val="22"/>
          <w:u w:val="none"/>
          <w:em w:val="none"/>
        </w:rPr>
      </w:r>
    </w:p>
    <w:p>
      <w:pPr>
        <w:pStyle w:val="Normal"/>
        <w:widowControl w:val="false"/>
        <w:tabs>
          <w:tab w:val="clear" w:pos="708"/>
          <w:tab w:val="left" w:pos="426" w:leader="none"/>
        </w:tabs>
        <w:spacing w:before="120" w:after="0"/>
        <w:jc w:val="center"/>
        <w:rPr>
          <w:rStyle w:val="Style8"/>
          <w:b w:val="false"/>
          <w:i w:val="false"/>
          <w:i w:val="false"/>
          <w:sz w:val="22"/>
          <w:szCs w:val="22"/>
          <w:shd w:fill="auto" w:val="clear"/>
        </w:rPr>
      </w:pPr>
      <w:r>
        <w:rPr>
          <w:b w:val="false"/>
          <w:i w:val="false"/>
          <w:sz w:val="22"/>
          <w:szCs w:val="22"/>
          <w:shd w:fill="auto" w:val="clear"/>
        </w:rPr>
      </w:r>
    </w:p>
    <w:p>
      <w:pPr>
        <w:pStyle w:val="Normal"/>
        <w:widowControl w:val="false"/>
        <w:tabs>
          <w:tab w:val="clear" w:pos="708"/>
          <w:tab w:val="left" w:pos="426" w:leader="none"/>
        </w:tabs>
        <w:spacing w:before="120" w:after="0"/>
        <w:jc w:val="center"/>
        <w:rPr>
          <w:rStyle w:val="Style8"/>
          <w:b w:val="false"/>
          <w:i w:val="false"/>
          <w:i w:val="false"/>
          <w:sz w:val="22"/>
          <w:szCs w:val="22"/>
          <w:shd w:fill="auto" w:val="clear"/>
        </w:rPr>
      </w:pPr>
      <w:r>
        <w:rPr>
          <w:b w:val="false"/>
          <w:i w:val="false"/>
          <w:sz w:val="22"/>
          <w:szCs w:val="22"/>
          <w:shd w:fill="auto" w:val="clear"/>
        </w:rPr>
      </w:r>
    </w:p>
    <w:p>
      <w:pPr>
        <w:pStyle w:val="Normal"/>
        <w:keepNext w:val="true"/>
        <w:keepLines/>
        <w:jc w:val="center"/>
        <w:rPr>
          <w:rFonts w:eastAsia="Calibri"/>
          <w:b/>
          <w:i/>
          <w:i/>
          <w:sz w:val="22"/>
          <w:szCs w:val="22"/>
        </w:rPr>
      </w:pPr>
      <w:r>
        <w:rPr>
          <w:rFonts w:eastAsia="Calibri"/>
          <w:b/>
          <w:i/>
          <w:sz w:val="22"/>
          <w:szCs w:val="22"/>
        </w:rPr>
        <w:t xml:space="preserve">Лот № </w:t>
      </w:r>
    </w:p>
    <w:p>
      <w:pPr>
        <w:pStyle w:val="Normal"/>
        <w:jc w:val="center"/>
        <w:rPr>
          <w:rFonts w:eastAsia="Calibri"/>
          <w:b/>
          <w:i/>
          <w:i/>
          <w:sz w:val="22"/>
          <w:szCs w:val="22"/>
        </w:rPr>
      </w:pPr>
      <w:r>
        <w:rPr>
          <w:rFonts w:eastAsia="Calibri"/>
          <w:b/>
          <w:i/>
          <w:sz w:val="22"/>
          <w:szCs w:val="22"/>
        </w:rPr>
      </w:r>
    </w:p>
    <w:p>
      <w:pPr>
        <w:pStyle w:val="Normal"/>
        <w:jc w:val="center"/>
        <w:rPr>
          <w:rFonts w:eastAsia="Calibri"/>
          <w:b/>
          <w:i/>
          <w:i/>
          <w:sz w:val="22"/>
          <w:szCs w:val="22"/>
        </w:rPr>
      </w:pPr>
      <w:r>
        <w:rPr>
          <w:rFonts w:eastAsia="Calibri"/>
          <w:b/>
          <w:i/>
          <w:sz w:val="22"/>
          <w:szCs w:val="22"/>
        </w:rPr>
      </w:r>
    </w:p>
    <w:p>
      <w:pPr>
        <w:pStyle w:val="Normal"/>
        <w:keepNext w:val="true"/>
        <w:keepLines/>
        <w:jc w:val="both"/>
        <w:rPr>
          <w:sz w:val="22"/>
          <w:szCs w:val="22"/>
        </w:rPr>
      </w:pPr>
      <w:r>
        <w:rPr>
          <w:sz w:val="22"/>
          <w:szCs w:val="22"/>
        </w:rPr>
      </w:r>
    </w:p>
    <w:p>
      <w:pPr>
        <w:pStyle w:val="Normal"/>
        <w:rPr>
          <w:sz w:val="22"/>
          <w:szCs w:val="22"/>
        </w:rPr>
      </w:pPr>
      <w:r>
        <w:rPr>
          <w:sz w:val="22"/>
          <w:szCs w:val="22"/>
        </w:rPr>
      </w:r>
      <w:r>
        <w:br w:type="page"/>
      </w:r>
    </w:p>
    <w:p>
      <w:pPr>
        <w:pStyle w:val="Heading1"/>
        <w:keepLines/>
        <w:numPr>
          <w:ilvl w:val="0"/>
          <w:numId w:val="3"/>
        </w:numPr>
        <w:spacing w:before="120" w:after="0"/>
        <w:ind w:left="357" w:hanging="357"/>
        <w:jc w:val="center"/>
        <w:rPr>
          <w:sz w:val="22"/>
          <w:szCs w:val="22"/>
          <w:lang w:val="ru-RU"/>
        </w:rPr>
      </w:pPr>
      <w:bookmarkStart w:id="0" w:name="_Toc75446566"/>
      <w:bookmarkStart w:id="1" w:name="_Toc51339692"/>
      <w:r>
        <w:rPr>
          <w:sz w:val="22"/>
          <w:szCs w:val="22"/>
          <w:lang w:val="ru-RU"/>
        </w:rPr>
        <w:t>Общие сведения</w:t>
      </w:r>
      <w:bookmarkEnd w:id="0"/>
      <w:bookmarkEnd w:id="1"/>
    </w:p>
    <w:p>
      <w:pPr>
        <w:pStyle w:val="Heading4"/>
        <w:numPr>
          <w:ilvl w:val="1"/>
          <w:numId w:val="3"/>
        </w:numPr>
        <w:rPr/>
      </w:pPr>
      <w:bookmarkStart w:id="2" w:name="_Toc46743505"/>
      <w:bookmarkStart w:id="3" w:name="_Toc134780799"/>
      <w:r>
        <w:rPr/>
        <w:t>Обозначения и сокращения</w:t>
      </w:r>
      <w:bookmarkEnd w:id="2"/>
      <w:bookmarkEnd w:id="3"/>
    </w:p>
    <w:tbl>
      <w:tblPr>
        <w:tblW w:w="14533"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1566"/>
        <w:gridCol w:w="2244"/>
        <w:gridCol w:w="10723"/>
      </w:tblGrid>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 xml:space="preserve">№ </w:t>
            </w:r>
            <w:r>
              <w:rPr>
                <w:rFonts w:ascii="Times New Roman" w:hAnsi="Times New Roman"/>
                <w:i w:val="false"/>
                <w:sz w:val="22"/>
                <w:szCs w:val="22"/>
              </w:rPr>
              <w:t>п/п</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Буквенное обозначение</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Расшифровка</w:t>
            </w:r>
          </w:p>
        </w:tc>
      </w:tr>
      <w:tr>
        <w:trPr/>
        <w:tc>
          <w:tcPr>
            <w:tcW w:w="1453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1.1. ВВГ, ВВГнг, ВВГ-Пнг(А)-LS, ВВГнг-FRLS, -0,66кВ, -1кВ</w:t>
            </w:r>
          </w:p>
        </w:tc>
      </w:tr>
      <w:tr>
        <w:trPr>
          <w:trHeight w:val="240" w:hRule="atLeast"/>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1.1.1</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Изоляция из поливинилхлоридного (ПВХ) пластиката</w:t>
            </w:r>
          </w:p>
        </w:tc>
      </w:tr>
      <w:tr>
        <w:trPr>
          <w:trHeight w:val="287" w:hRule="atLeast"/>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1.1.2</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Оболочка из ПВХ пластиката</w:t>
            </w:r>
          </w:p>
        </w:tc>
      </w:tr>
      <w:tr>
        <w:trPr>
          <w:trHeight w:val="70" w:hRule="atLeast"/>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1.1.3</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Г</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Не имеет брони</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1.1.4</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Э</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экран из медных лент</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1.1.5</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П</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Плоская конструкция</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1.1.6</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нг</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ПВХ пластикат пониженной пожарной опасности</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1.1.7</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(А)</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Индекс пожарной опасности, означает что кабель не распространяет горение при групповой прокладке (прокладке в пучках)</w:t>
            </w:r>
          </w:p>
        </w:tc>
      </w:tr>
      <w:tr>
        <w:trPr>
          <w:trHeight w:val="70" w:hRule="atLeast"/>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1.1.8</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FR</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Стоек к воздействию открытого огня.</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1.1.9</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lang w:val="en-US"/>
              </w:rPr>
            </w:pPr>
            <w:r>
              <w:rPr>
                <w:rFonts w:ascii="Times New Roman" w:hAnsi="Times New Roman"/>
                <w:i w:val="false"/>
                <w:sz w:val="22"/>
                <w:szCs w:val="22"/>
                <w:lang w:val="en-US"/>
              </w:rPr>
              <w:t>LS</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 имеет пониженное дымовыделение при горении (тлении)</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1.1.10</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0,66кВ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 рассчитан на напряжение до 660 Вольт</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1.1.11</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1кВ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 рассчитан на напряжение до 1000 Вольт.</w:t>
            </w:r>
          </w:p>
        </w:tc>
      </w:tr>
      <w:tr>
        <w:trPr/>
        <w:tc>
          <w:tcPr>
            <w:tcW w:w="1453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b/>
                <w:sz w:val="22"/>
                <w:szCs w:val="22"/>
              </w:rPr>
              <w:t>1.2. КГ, КГхл</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1.2.1</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К</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1.2.2</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хл</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гибкий</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1.2.3</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0,38кВ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 рассчитан на напряжение до 380 Вольт</w:t>
            </w:r>
          </w:p>
        </w:tc>
      </w:tr>
      <w:tr>
        <w:trPr/>
        <w:tc>
          <w:tcPr>
            <w:tcW w:w="1566" w:type="dxa"/>
            <w:tcBorders>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1.2.4</w:t>
            </w:r>
          </w:p>
        </w:tc>
        <w:tc>
          <w:tcPr>
            <w:tcW w:w="2244" w:type="dxa"/>
            <w:tcBorders>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0,66кВ</w:t>
            </w:r>
          </w:p>
        </w:tc>
        <w:tc>
          <w:tcPr>
            <w:tcW w:w="10723" w:type="dxa"/>
            <w:tcBorders>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 рассчитан на напряжение до 660 Вольт</w:t>
            </w:r>
          </w:p>
        </w:tc>
      </w:tr>
      <w:tr>
        <w:trPr/>
        <w:tc>
          <w:tcPr>
            <w:tcW w:w="1453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1.3. КВВГ, КВВГЭнг(А)-LS, КВВГнг(А) -LS,  КВВГЭнг(A)-FRLS,  КВВГЭнг-LS</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1.3.1</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К</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кабель контрольный</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1.3.2</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изоляция из ПВХ пластиката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1.3.3</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оболочка из ПВХ пластиката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1.3.4</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Г</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не имеет брони</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1.3.5</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Э</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экран из медной фольги</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1.3.6</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нг</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имеет пониженную пожарную опасность</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1.3.7</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(А)</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категория пожарной безопасности</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1.3.8</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lang w:val="en-US"/>
              </w:rPr>
              <w:t>FR</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Стоек к воздействию открытого огня.</w:t>
            </w:r>
          </w:p>
        </w:tc>
      </w:tr>
      <w:tr>
        <w:trPr/>
        <w:tc>
          <w:tcPr>
            <w:tcW w:w="1566" w:type="dxa"/>
            <w:tcBorders>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1.3.9</w:t>
            </w:r>
          </w:p>
        </w:tc>
        <w:tc>
          <w:tcPr>
            <w:tcW w:w="2244" w:type="dxa"/>
            <w:tcBorders>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lang w:val="en-US"/>
              </w:rPr>
              <w:t>LS</w:t>
            </w:r>
          </w:p>
        </w:tc>
        <w:tc>
          <w:tcPr>
            <w:tcW w:w="1072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имеет низкое выделение дыма</w:t>
            </w:r>
          </w:p>
        </w:tc>
      </w:tr>
      <w:tr>
        <w:trPr/>
        <w:tc>
          <w:tcPr>
            <w:tcW w:w="1453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1.4. ПВС</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1.4.1</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П</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провод</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1.4.2</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изоляция и оболочка из ПВХ пластиката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1.4.3</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С</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соединительный</w:t>
            </w:r>
          </w:p>
        </w:tc>
      </w:tr>
      <w:tr>
        <w:trPr/>
        <w:tc>
          <w:tcPr>
            <w:tcW w:w="1453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1.5. ПуВ (ПВ1); ПуГВ (ПВ3, ПВ4); ПуГВнг(А)-LS</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1.5.1</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Пу (П)</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провод установочный</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1.5.2</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Г</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повышенная гибкость</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1.5.3</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изоляция из поливинилхлорида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1.5.4</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1</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однопроволочная жила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1.5.5</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3</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повышенная гибкость</w:t>
            </w:r>
          </w:p>
        </w:tc>
      </w:tr>
      <w:tr>
        <w:trPr>
          <w:trHeight w:val="70" w:hRule="atLeast"/>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1.5.6</w:t>
            </w:r>
          </w:p>
        </w:tc>
        <w:tc>
          <w:tcPr>
            <w:tcW w:w="2244"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4</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класс гибкости изделия</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1.5.7</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нг</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имеет пониженную пожарную опасность</w:t>
            </w:r>
          </w:p>
        </w:tc>
      </w:tr>
      <w:tr>
        <w:trPr>
          <w:trHeight w:val="391" w:hRule="atLeast"/>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1.5.8</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(А)</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категория пожарной безопасности</w:t>
            </w:r>
          </w:p>
        </w:tc>
      </w:tr>
      <w:tr>
        <w:trPr>
          <w:trHeight w:val="409" w:hRule="atLeast"/>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1.5.9</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lang w:val="en-US"/>
              </w:rPr>
              <w:t>LS</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имеет низкое выделение дыма</w:t>
            </w:r>
          </w:p>
        </w:tc>
      </w:tr>
      <w:tr>
        <w:trPr/>
        <w:tc>
          <w:tcPr>
            <w:tcW w:w="1453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1.7. АВБбШв; ВБШвнг(А)-LS; ВБбШвнг(А)-LS (-0,66кВ;-1кВ; -6 кВ)</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1.7.1</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А</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алюминиевая токопроводящая жила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1.7.2</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изоляция из ПВХ пластиката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1.7.3</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Б</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броня из стальных оцинкованных лент</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1.7.4</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б</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не имеет подушку между броней и внутренней оболочкой</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1.7.5</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Шв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оболочка выполнена из поливинилхлорида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1.7.6</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нг</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имеет пониженную пожарную опасность</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1.7.7</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(А)</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категория пожарной безопасности</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1.7.8</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lang w:val="en-US"/>
              </w:rPr>
              <w:t>LS</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имеет низкое выделение дыма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1.7.9</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lang w:val="en-US"/>
              </w:rPr>
            </w:pPr>
            <w:r>
              <w:rPr>
                <w:rFonts w:ascii="Times New Roman" w:hAnsi="Times New Roman"/>
                <w:i w:val="false"/>
                <w:sz w:val="22"/>
                <w:szCs w:val="22"/>
              </w:rPr>
              <w:t>1кВ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 рассчитан на напряжение до 1000 Вольт.</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1.7.10</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lang w:val="en-US"/>
              </w:rPr>
            </w:pPr>
            <w:r>
              <w:rPr>
                <w:rFonts w:ascii="Times New Roman" w:hAnsi="Times New Roman"/>
                <w:i w:val="false"/>
                <w:sz w:val="22"/>
                <w:szCs w:val="22"/>
              </w:rPr>
              <w:t>6кВ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 рассчитан на напряжение до 6000 Вольт.</w:t>
            </w:r>
          </w:p>
        </w:tc>
      </w:tr>
      <w:tr>
        <w:trPr/>
        <w:tc>
          <w:tcPr>
            <w:tcW w:w="1566" w:type="dxa"/>
            <w:tcBorders>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1.7.11</w:t>
            </w:r>
          </w:p>
        </w:tc>
        <w:tc>
          <w:tcPr>
            <w:tcW w:w="2244" w:type="dxa"/>
            <w:tcBorders>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0,66кВ</w:t>
            </w:r>
          </w:p>
        </w:tc>
        <w:tc>
          <w:tcPr>
            <w:tcW w:w="10723" w:type="dxa"/>
            <w:tcBorders>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Кабель рассчитан на напряжение до 660 Вольт.</w:t>
            </w:r>
          </w:p>
        </w:tc>
      </w:tr>
      <w:tr>
        <w:trPr/>
        <w:tc>
          <w:tcPr>
            <w:tcW w:w="1453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1.8. АПВ</w:t>
            </w:r>
          </w:p>
        </w:tc>
      </w:tr>
      <w:tr>
        <w:trPr>
          <w:trHeight w:val="260" w:hRule="atLeast"/>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1.8.1</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А</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алюминиевая жила</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1.8.2</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П</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провод</w:t>
            </w:r>
          </w:p>
        </w:tc>
      </w:tr>
      <w:tr>
        <w:trPr/>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Style26"/>
              <w:widowControl w:val="false"/>
              <w:tabs>
                <w:tab w:val="left" w:pos="284" w:leader="none"/>
                <w:tab w:val="left" w:pos="1134" w:leader="none"/>
              </w:tabs>
              <w:spacing w:lineRule="auto" w:line="240" w:before="120" w:after="0"/>
              <w:ind w:left="0" w:right="800" w:hanging="0"/>
              <w:rPr>
                <w:rFonts w:ascii="Times New Roman" w:hAnsi="Times New Roman"/>
                <w:i w:val="false"/>
                <w:i w:val="false"/>
                <w:sz w:val="22"/>
                <w:szCs w:val="22"/>
              </w:rPr>
            </w:pPr>
            <w:r>
              <w:rPr>
                <w:rFonts w:ascii="Times New Roman" w:hAnsi="Times New Roman"/>
                <w:i w:val="false"/>
                <w:sz w:val="22"/>
                <w:szCs w:val="22"/>
              </w:rPr>
              <w:t>1.8.3</w:t>
            </w:r>
          </w:p>
        </w:tc>
        <w:tc>
          <w:tcPr>
            <w:tcW w:w="22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6"/>
              <w:widowControl w:val="false"/>
              <w:tabs>
                <w:tab w:val="left" w:pos="284" w:leader="none"/>
                <w:tab w:val="left" w:pos="1134" w:leader="none"/>
              </w:tabs>
              <w:spacing w:lineRule="auto" w:line="240" w:before="120" w:after="0"/>
              <w:ind w:left="0" w:right="800" w:hanging="0"/>
              <w:jc w:val="center"/>
              <w:rPr>
                <w:rFonts w:ascii="Times New Roman" w:hAnsi="Times New Roman"/>
                <w:i w:val="false"/>
                <w:i w:val="false"/>
                <w:sz w:val="22"/>
                <w:szCs w:val="22"/>
              </w:rPr>
            </w:pPr>
            <w:r>
              <w:rPr>
                <w:rFonts w:ascii="Times New Roman" w:hAnsi="Times New Roman"/>
                <w:i w:val="false"/>
                <w:sz w:val="22"/>
                <w:szCs w:val="22"/>
              </w:rPr>
              <w:t>В</w:t>
            </w:r>
          </w:p>
        </w:tc>
        <w:tc>
          <w:tcPr>
            <w:tcW w:w="107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поливинилхлоридная изоляция</w:t>
            </w:r>
          </w:p>
        </w:tc>
      </w:tr>
    </w:tbl>
    <w:p>
      <w:pPr>
        <w:pStyle w:val="Normal"/>
        <w:rPr>
          <w:lang w:eastAsia="x-none"/>
        </w:rPr>
      </w:pPr>
      <w:r>
        <w:rPr>
          <w:lang w:eastAsia="x-none"/>
        </w:rPr>
      </w:r>
    </w:p>
    <w:p>
      <w:pPr>
        <w:pStyle w:val="Heading4"/>
        <w:numPr>
          <w:ilvl w:val="1"/>
          <w:numId w:val="3"/>
        </w:numPr>
        <w:spacing w:before="120" w:after="0"/>
        <w:rPr>
          <w:sz w:val="22"/>
          <w:szCs w:val="22"/>
        </w:rPr>
      </w:pPr>
      <w:bookmarkStart w:id="4" w:name="_Toc46743506"/>
      <w:bookmarkStart w:id="5" w:name="_Toc75446568"/>
      <w:r>
        <w:rPr>
          <w:sz w:val="22"/>
          <w:szCs w:val="22"/>
        </w:rPr>
        <w:t>Наименование закупаемой продукции</w:t>
      </w:r>
      <w:bookmarkEnd w:id="4"/>
      <w:bookmarkEnd w:id="5"/>
    </w:p>
    <w:p>
      <w:pPr>
        <w:pStyle w:val="Normal"/>
        <w:widowControl w:val="false"/>
        <w:tabs>
          <w:tab w:val="clear" w:pos="708"/>
          <w:tab w:val="left" w:pos="426" w:leader="none"/>
        </w:tabs>
        <w:spacing w:before="120" w:after="0"/>
        <w:jc w:val="both"/>
        <w:rPr>
          <w:b/>
          <w:i/>
          <w:i/>
          <w:sz w:val="22"/>
          <w:szCs w:val="22"/>
        </w:rPr>
      </w:pPr>
      <w:r>
        <w:rPr>
          <w:b/>
          <w:bCs/>
          <w:i/>
          <w:iCs/>
          <w:strike w:val="false"/>
          <w:dstrike w:val="false"/>
          <w:outline w:val="false"/>
          <w:shadow w:val="false"/>
          <w:sz w:val="22"/>
          <w:szCs w:val="22"/>
          <w:u w:val="none"/>
          <w:em w:val="none"/>
        </w:rPr>
        <w:t>ОКПД2 27.32.13 Поставка контрольных и силовых кабеля и проводов в рамках ремонтной, инвестиционной и эксплуатационной  программ филиалов АО "ДРСК": "Амурские электрические сети", "Приморские электрические сети", "Хабаровские электрические сети" , "Электрические сети Еврейской Автономной Области" и и "Южно-Якутские электрические сети"</w:t>
      </w:r>
      <w:r>
        <w:rPr>
          <w:b/>
          <w:i/>
          <w:sz w:val="22"/>
          <w:szCs w:val="22"/>
        </w:rPr>
        <w:t xml:space="preserve"> </w:t>
      </w:r>
    </w:p>
    <w:p>
      <w:pPr>
        <w:pStyle w:val="Heading1"/>
        <w:keepLines/>
        <w:numPr>
          <w:ilvl w:val="0"/>
          <w:numId w:val="3"/>
        </w:numPr>
        <w:spacing w:before="120" w:after="0"/>
        <w:ind w:left="357" w:hanging="357"/>
        <w:jc w:val="center"/>
        <w:rPr>
          <w:iCs/>
          <w:caps/>
          <w:sz w:val="22"/>
          <w:szCs w:val="22"/>
          <w:lang w:val="ru-RU"/>
        </w:rPr>
      </w:pPr>
      <w:bookmarkStart w:id="6" w:name="_Toc51339693"/>
      <w:bookmarkStart w:id="7" w:name="_Toc75446573"/>
      <w:bookmarkStart w:id="8" w:name="_Toc50125126"/>
      <w:bookmarkStart w:id="9" w:name="_Toc46743510"/>
      <w:bookmarkEnd w:id="8"/>
      <w:bookmarkEnd w:id="9"/>
      <w:r>
        <w:rPr>
          <w:iCs/>
          <w:sz w:val="22"/>
          <w:szCs w:val="22"/>
        </w:rPr>
        <w:t>Требования к продукции</w:t>
      </w:r>
      <w:bookmarkEnd w:id="6"/>
      <w:bookmarkEnd w:id="7"/>
    </w:p>
    <w:p>
      <w:pPr>
        <w:pStyle w:val="Heading4"/>
        <w:numPr>
          <w:ilvl w:val="1"/>
          <w:numId w:val="3"/>
        </w:numPr>
        <w:spacing w:before="120" w:after="0"/>
        <w:rPr>
          <w:sz w:val="22"/>
          <w:szCs w:val="22"/>
        </w:rPr>
      </w:pPr>
      <w:bookmarkStart w:id="10" w:name="_Toc75446574"/>
      <w:r>
        <w:rPr>
          <w:sz w:val="22"/>
          <w:szCs w:val="22"/>
        </w:rPr>
        <w:t xml:space="preserve">Требования к объемам и срокам </w:t>
      </w:r>
      <w:r>
        <w:rPr>
          <w:sz w:val="22"/>
          <w:szCs w:val="22"/>
          <w:lang w:val="ru-RU"/>
        </w:rPr>
        <w:t>поставки</w:t>
      </w:r>
      <w:bookmarkEnd w:id="10"/>
    </w:p>
    <w:p>
      <w:pPr>
        <w:pStyle w:val="Heading3"/>
        <w:numPr>
          <w:ilvl w:val="2"/>
          <w:numId w:val="3"/>
        </w:numPr>
        <w:spacing w:before="120" w:after="0"/>
        <w:rPr>
          <w:sz w:val="22"/>
          <w:szCs w:val="22"/>
        </w:rPr>
      </w:pPr>
      <w:bookmarkStart w:id="11" w:name="_Toc75446575"/>
      <w:r>
        <w:rPr>
          <w:sz w:val="22"/>
          <w:szCs w:val="22"/>
          <w:lang w:val="ru-RU"/>
        </w:rPr>
        <w:t>Перечень и объем закупаемой продукции</w:t>
      </w:r>
      <w:bookmarkEnd w:id="11"/>
    </w:p>
    <w:p>
      <w:pPr>
        <w:pStyle w:val="Heading1"/>
        <w:keepLines/>
        <w:numPr>
          <w:ilvl w:val="0"/>
          <w:numId w:val="0"/>
        </w:numPr>
        <w:spacing w:before="240" w:after="0"/>
        <w:ind w:left="0" w:hanging="0"/>
        <w:rPr>
          <w:sz w:val="22"/>
          <w:szCs w:val="22"/>
          <w:lang w:val="ru-RU"/>
        </w:rPr>
      </w:pPr>
      <w:bookmarkStart w:id="12" w:name="_Toc75446576"/>
      <w:bookmarkStart w:id="13" w:name="_Toc51339695"/>
      <w:r>
        <w:rPr>
          <w:sz w:val="22"/>
          <w:szCs w:val="22"/>
        </w:rPr>
        <w:t xml:space="preserve">Таблица </w:t>
      </w:r>
      <w:r>
        <w:rPr>
          <w:sz w:val="22"/>
          <w:szCs w:val="22"/>
          <w:lang w:val="ru-RU"/>
        </w:rPr>
        <w:t>1.</w:t>
      </w:r>
      <w:r>
        <w:rPr>
          <w:sz w:val="22"/>
          <w:szCs w:val="22"/>
        </w:rPr>
        <w:t xml:space="preserve"> </w:t>
      </w:r>
      <w:r>
        <w:rPr>
          <w:sz w:val="22"/>
          <w:szCs w:val="22"/>
          <w:lang w:val="ru-RU"/>
        </w:rPr>
        <w:t xml:space="preserve">Перечень </w:t>
      </w:r>
      <w:bookmarkEnd w:id="13"/>
      <w:r>
        <w:rPr>
          <w:sz w:val="22"/>
          <w:szCs w:val="22"/>
          <w:lang w:val="ru-RU"/>
        </w:rPr>
        <w:t>и объем закупаемой продукции</w:t>
      </w:r>
      <w:bookmarkEnd w:id="12"/>
    </w:p>
    <w:tbl>
      <w:tblPr>
        <w:tblW w:w="14572"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565"/>
        <w:gridCol w:w="11739"/>
        <w:gridCol w:w="1134"/>
        <w:gridCol w:w="1133"/>
      </w:tblGrid>
      <w:tr>
        <w:trPr/>
        <w:tc>
          <w:tcPr>
            <w:tcW w:w="5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2"/>
                <w:szCs w:val="22"/>
              </w:rPr>
            </w:pPr>
            <w:r>
              <w:rPr>
                <w:b/>
                <w:sz w:val="22"/>
                <w:szCs w:val="22"/>
              </w:rPr>
              <w:t>№</w:t>
            </w:r>
          </w:p>
          <w:p>
            <w:pPr>
              <w:pStyle w:val="Normal"/>
              <w:keepNext w:val="true"/>
              <w:widowControl w:val="false"/>
              <w:suppressAutoHyphens w:val="true"/>
              <w:jc w:val="center"/>
              <w:rPr>
                <w:b/>
                <w:sz w:val="22"/>
                <w:szCs w:val="22"/>
              </w:rPr>
            </w:pPr>
            <w:r>
              <w:rPr>
                <w:b/>
                <w:sz w:val="22"/>
                <w:szCs w:val="22"/>
              </w:rPr>
              <w:t>п/п</w:t>
            </w:r>
          </w:p>
        </w:tc>
        <w:tc>
          <w:tcPr>
            <w:tcW w:w="14006"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2"/>
                <w:szCs w:val="22"/>
              </w:rPr>
            </w:pPr>
            <w:r>
              <w:rPr>
                <w:b/>
                <w:sz w:val="22"/>
                <w:szCs w:val="22"/>
              </w:rPr>
              <w:t>Требование Заказчика</w:t>
            </w:r>
          </w:p>
        </w:tc>
      </w:tr>
      <w:tr>
        <w:trPr/>
        <w:tc>
          <w:tcPr>
            <w:tcW w:w="5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2"/>
                <w:szCs w:val="22"/>
              </w:rPr>
            </w:pPr>
            <w:r>
              <w:rPr>
                <w:b/>
                <w:sz w:val="22"/>
                <w:szCs w:val="22"/>
              </w:rPr>
              <w:t>Наименование продукции</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2"/>
                <w:szCs w:val="22"/>
              </w:rPr>
            </w:pPr>
            <w:r>
              <w:rPr>
                <w:b/>
                <w:sz w:val="22"/>
                <w:szCs w:val="22"/>
              </w:rPr>
              <w:t>Ед. измер.</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2"/>
                <w:szCs w:val="22"/>
              </w:rPr>
            </w:pPr>
            <w:r>
              <w:rPr>
                <w:b/>
                <w:sz w:val="22"/>
                <w:szCs w:val="22"/>
              </w:rPr>
              <w:t>Кол-во</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1</w:t>
            </w:r>
          </w:p>
        </w:tc>
        <w:tc>
          <w:tcPr>
            <w:tcW w:w="117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3</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4</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suppressAutoHyphens w:val="true"/>
              <w:ind w:left="360" w:hanging="0"/>
              <w:rPr>
                <w:sz w:val="22"/>
                <w:szCs w:val="22"/>
              </w:rPr>
            </w:pPr>
            <w:r>
              <w:rPr>
                <w:sz w:val="22"/>
                <w:szCs w:val="22"/>
              </w:rPr>
            </w:r>
          </w:p>
        </w:tc>
        <w:tc>
          <w:tcPr>
            <w:tcW w:w="1400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i/>
                <w:i/>
                <w:sz w:val="22"/>
                <w:szCs w:val="22"/>
              </w:rPr>
            </w:pPr>
            <w:r>
              <w:rPr>
                <w:b/>
                <w:i/>
                <w:sz w:val="22"/>
                <w:szCs w:val="22"/>
              </w:rPr>
              <w:t>1. Филиал АО «ДРСК» «Амурские электрические сети»</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ВВГнг(A) 4х2.5 мк-0.66кВ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0,620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ВВГнг(A)-LS 3х2.5-1кВ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1,158</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ВВГнг(A)-LS 3х4-1кВ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0,894</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КВВГнг-LS 4х2.5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0,535</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КВВГнг(A)-LS 7х1.5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0,320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10х1.5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0,350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10х2.5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0,250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4х1.5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1,176</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5х1.5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1,500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5х2.5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0,390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7х2.5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0,400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 4x4-1кВ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1,095</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 5x10-1кВ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0,548</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3x10-0.66кВ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154</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3x2.5-0.66кВ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1 340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3x6-1кВ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0,568</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3х16-1кВ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1,688</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4x150-1кВ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2,048</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4x2.5-0.66/1кВ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6,934</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4х50-1кВ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0,548</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5х4-1кВ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4,340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5х6-1кВ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1,677</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ПуВ 1x1.5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1,250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ПуВ 1x2.5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0,700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1x1.5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4,100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1x2.5 450/750В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1,200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suppressAutoHyphens w:val="true"/>
              <w:ind w:left="360" w:hanging="0"/>
              <w:rPr>
                <w:sz w:val="22"/>
                <w:szCs w:val="22"/>
              </w:rPr>
            </w:pPr>
            <w:r>
              <w:rPr>
                <w:sz w:val="22"/>
                <w:szCs w:val="22"/>
              </w:rPr>
            </w:r>
          </w:p>
        </w:tc>
        <w:tc>
          <w:tcPr>
            <w:tcW w:w="1400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sz w:val="22"/>
                <w:szCs w:val="22"/>
              </w:rPr>
            </w:pPr>
            <w:r>
              <w:rPr>
                <w:b/>
                <w:i/>
                <w:sz w:val="22"/>
                <w:szCs w:val="22"/>
              </w:rPr>
              <w:t>2. Филиал АО «ДРСК» «Приморские электрические сети»</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ВВГнг(A)-LS 3х2.5-1кВ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0,400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10х1.5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0,300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10х2.5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0,250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19х1.5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5х1.5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0,150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КВВГнг-LS 10х2.5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0,390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4х1.5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0,600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4х2.5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0,110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7х2.5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0,230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АВБШв 4х95мс(N)-1кВ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0,300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 2x1.5-1кВ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260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 3х2.5-0.66кВ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350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3x2.5-0.66кВ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900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АПВ 1x50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0,567</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ПуВ 1x1.5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3,400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ПуВ 1x2.5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0,560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1x1</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2,590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1x2.5 450/750В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0,640</w:t>
            </w:r>
          </w:p>
        </w:tc>
      </w:tr>
      <w:tr>
        <w:trPr/>
        <w:tc>
          <w:tcPr>
            <w:tcW w:w="1457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i/>
                <w:i/>
                <w:sz w:val="22"/>
                <w:szCs w:val="22"/>
              </w:rPr>
            </w:pPr>
            <w:r>
              <w:rPr>
                <w:b/>
                <w:i/>
                <w:sz w:val="22"/>
                <w:szCs w:val="22"/>
              </w:rPr>
              <w:t>3.1 Филиал АО «ДРСК» «Хабаровские электрические сети» г. Хабаровск</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10х1.5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0,100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10х2.5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0,570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7х1.5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0,120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КВВГнг(A)-LS 7х1.5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 10х2.5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72</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 7х1.5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0,540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КВВГЭнг-LS 19х1.5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0,330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10х2.5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0,420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 2x1.5-1кВ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200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 2x4-0.66кВ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0,280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 3x2.5-0.66кВ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0,310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 3х2.5-0.66кВ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270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3x10-0.66кВ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240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резиновой изоляцией КГ-ХЛ 4х6-0.38/0.66кВ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0,120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ПВ3 1x2.5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181</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ПуВнг(A)-LS 1х1.5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ПуВнг(A)-LS 1х2.5 380В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0,750</w:t>
            </w:r>
          </w:p>
        </w:tc>
      </w:tr>
      <w:tr>
        <w:trPr>
          <w:trHeight w:val="328" w:hRule="atLeast"/>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1x1.5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1,600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0"/>
              </w:numPr>
              <w:suppressAutoHyphens w:val="true"/>
              <w:jc w:val="center"/>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1x2.5 450/750В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0,250</w:t>
            </w:r>
          </w:p>
        </w:tc>
      </w:tr>
      <w:tr>
        <w:trPr/>
        <w:tc>
          <w:tcPr>
            <w:tcW w:w="1457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2"/>
                <w:szCs w:val="22"/>
              </w:rPr>
            </w:pPr>
            <w:r>
              <w:rPr>
                <w:b/>
                <w:i/>
                <w:sz w:val="22"/>
                <w:szCs w:val="22"/>
              </w:rPr>
              <w:t>3.2 Филиал АО «ДРСК» «Хабаровские электрические сети» г. Комсомольск – на – Амуре</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1"/>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10х2.5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0,780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1"/>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10х1.5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1,020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1"/>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10х2.5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0,480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1"/>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ПуВнг(A)-LS 1х1.5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1 020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1"/>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1x1.5 ГОСТ 31947</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0,150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1"/>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 1x2.5 450/750В</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0,610</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1"/>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ПуГВнг(A)-LS 1х2.5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370</w:t>
            </w:r>
          </w:p>
        </w:tc>
      </w:tr>
      <w:tr>
        <w:trPr/>
        <w:tc>
          <w:tcPr>
            <w:tcW w:w="1457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2"/>
                <w:szCs w:val="22"/>
              </w:rPr>
            </w:pPr>
            <w:r>
              <w:rPr>
                <w:b/>
                <w:i/>
                <w:sz w:val="22"/>
                <w:szCs w:val="22"/>
              </w:rPr>
              <w:t>4. Филиал АО «ДРСК» «Электрические сети ЕАО»</w:t>
            </w:r>
          </w:p>
        </w:tc>
      </w:tr>
      <w:tr>
        <w:trPr/>
        <w:tc>
          <w:tcPr>
            <w:tcW w:w="56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
              </w:numPr>
              <w:suppressAutoHyphens w:val="true"/>
              <w:rPr>
                <w:sz w:val="22"/>
                <w:szCs w:val="22"/>
              </w:rPr>
            </w:pPr>
            <w:r>
              <w:rPr>
                <w:sz w:val="22"/>
                <w:szCs w:val="22"/>
              </w:rPr>
            </w:r>
          </w:p>
        </w:tc>
        <w:tc>
          <w:tcPr>
            <w:tcW w:w="11739"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10х1.5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0,150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2"/>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 10х2.5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2"/>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АВБбШв 3х120-6кВ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2"/>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АВБбШв 4х120-1кВ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2"/>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АВБШв 4х95мс(N)-1кВ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2"/>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АВБШвнг(A)-LS 3х95-6кВ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0,200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12"/>
              </w:numPr>
              <w:suppressAutoHyphens w:val="true"/>
              <w:rPr>
                <w:sz w:val="22"/>
                <w:szCs w:val="22"/>
              </w:rPr>
            </w:pPr>
            <w:r>
              <w:rPr>
                <w:sz w:val="22"/>
                <w:szCs w:val="22"/>
              </w:rPr>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Провод установочный ПВ1 1х6</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0,500</w:t>
            </w:r>
          </w:p>
        </w:tc>
      </w:tr>
      <w:tr>
        <w:trPr/>
        <w:tc>
          <w:tcPr>
            <w:tcW w:w="14571" w:type="dxa"/>
            <w:gridSpan w:val="4"/>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sz w:val="22"/>
                <w:szCs w:val="22"/>
              </w:rPr>
            </w:pPr>
            <w:r>
              <w:rPr>
                <w:b/>
                <w:i/>
                <w:sz w:val="22"/>
                <w:szCs w:val="22"/>
              </w:rPr>
              <w:t>5. Филиал АО «ДРСК» «Южно-Якутские электрические сети»</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hanging="0"/>
              <w:rPr>
                <w:sz w:val="22"/>
                <w:szCs w:val="22"/>
              </w:rPr>
            </w:pPr>
            <w:r>
              <w:rPr>
                <w:sz w:val="22"/>
                <w:szCs w:val="22"/>
              </w:rPr>
              <w:t>1.</w:t>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КВВГЭнг-LS 5х1.5 ГОСТ 26411-85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0,240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hanging="0"/>
              <w:rPr>
                <w:sz w:val="22"/>
                <w:szCs w:val="22"/>
              </w:rPr>
            </w:pPr>
            <w:r>
              <w:rPr>
                <w:sz w:val="22"/>
                <w:szCs w:val="22"/>
              </w:rPr>
              <w:t>2.</w:t>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контрольный КВВГЭнг(A)-LS 14х1.5</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0,140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hanging="0"/>
              <w:rPr>
                <w:sz w:val="22"/>
                <w:szCs w:val="22"/>
              </w:rPr>
            </w:pPr>
            <w:r>
              <w:rPr>
                <w:sz w:val="22"/>
                <w:szCs w:val="22"/>
              </w:rPr>
              <w:t>3.</w:t>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изоляцией из ПВХ ВВГнг(A)-LS 2х0.75-0.66кВ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км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6,120</w:t>
            </w:r>
          </w:p>
        </w:tc>
      </w:tr>
      <w:tr>
        <w:trPr/>
        <w:tc>
          <w:tcPr>
            <w:tcW w:w="565" w:type="dxa"/>
            <w:tcBorders>
              <w:left w:val="single" w:sz="4" w:space="0" w:color="000000"/>
              <w:bottom w:val="single" w:sz="4" w:space="0" w:color="000000"/>
              <w:right w:val="single" w:sz="4" w:space="0" w:color="000000"/>
            </w:tcBorders>
            <w:vAlign w:val="center"/>
          </w:tcPr>
          <w:p>
            <w:pPr>
              <w:pStyle w:val="ListParagraph"/>
              <w:widowControl w:val="false"/>
              <w:numPr>
                <w:ilvl w:val="0"/>
                <w:numId w:val="0"/>
              </w:numPr>
              <w:suppressAutoHyphens w:val="true"/>
              <w:ind w:left="0" w:hanging="0"/>
              <w:rPr>
                <w:sz w:val="22"/>
                <w:szCs w:val="22"/>
              </w:rPr>
            </w:pPr>
            <w:r>
              <w:rPr>
                <w:sz w:val="22"/>
                <w:szCs w:val="22"/>
              </w:rPr>
              <w:t>4.</w:t>
            </w:r>
          </w:p>
        </w:tc>
        <w:tc>
          <w:tcPr>
            <w:tcW w:w="11739" w:type="dxa"/>
            <w:tcBorders>
              <w:left w:val="single" w:sz="4" w:space="0" w:color="000000"/>
              <w:bottom w:val="single" w:sz="4" w:space="0" w:color="000000"/>
              <w:right w:val="single" w:sz="4" w:space="0" w:color="000000"/>
            </w:tcBorders>
            <w:vAlign w:val="center"/>
          </w:tcPr>
          <w:p>
            <w:pPr>
              <w:pStyle w:val="Style34"/>
              <w:widowControl w:val="false"/>
              <w:rPr>
                <w:sz w:val="22"/>
                <w:szCs w:val="22"/>
              </w:rPr>
            </w:pPr>
            <w:r>
              <w:rPr>
                <w:sz w:val="22"/>
                <w:szCs w:val="22"/>
              </w:rPr>
              <w:t>Кабель силовой с резиновой изоляцией КГ-ХЛ 4х1.5-0.66кВ</w:t>
            </w:r>
          </w:p>
        </w:tc>
        <w:tc>
          <w:tcPr>
            <w:tcW w:w="1134"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м</w:t>
            </w:r>
          </w:p>
        </w:tc>
        <w:tc>
          <w:tcPr>
            <w:tcW w:w="1133" w:type="dxa"/>
            <w:tcBorders>
              <w:left w:val="single" w:sz="4" w:space="0" w:color="000000"/>
              <w:bottom w:val="single" w:sz="4" w:space="0" w:color="000000"/>
              <w:right w:val="single" w:sz="4" w:space="0" w:color="000000"/>
            </w:tcBorders>
            <w:vAlign w:val="center"/>
          </w:tcPr>
          <w:p>
            <w:pPr>
              <w:pStyle w:val="Style34"/>
              <w:widowControl w:val="false"/>
              <w:jc w:val="center"/>
              <w:rPr>
                <w:sz w:val="22"/>
                <w:szCs w:val="22"/>
              </w:rPr>
            </w:pPr>
            <w:r>
              <w:rPr>
                <w:sz w:val="22"/>
                <w:szCs w:val="22"/>
              </w:rPr>
              <w:t>100</w:t>
            </w:r>
          </w:p>
        </w:tc>
      </w:tr>
    </w:tbl>
    <w:p>
      <w:pPr>
        <w:pStyle w:val="Heading3"/>
        <w:numPr>
          <w:ilvl w:val="2"/>
          <w:numId w:val="3"/>
        </w:numPr>
        <w:spacing w:before="120" w:after="0"/>
        <w:rPr>
          <w:sz w:val="22"/>
          <w:szCs w:val="22"/>
          <w:lang w:val="ru-RU"/>
        </w:rPr>
      </w:pPr>
      <w:bookmarkStart w:id="14" w:name="_Toc75446578"/>
      <w:bookmarkStart w:id="15" w:name="_Toc51339696"/>
      <w:r>
        <w:rPr>
          <w:sz w:val="22"/>
          <w:szCs w:val="22"/>
          <w:lang w:val="ru-RU"/>
        </w:rPr>
        <w:t xml:space="preserve">Требования </w:t>
      </w:r>
      <w:bookmarkEnd w:id="15"/>
      <w:r>
        <w:rPr>
          <w:sz w:val="22"/>
          <w:szCs w:val="22"/>
          <w:lang w:val="ru-RU"/>
        </w:rPr>
        <w:t xml:space="preserve">к срокам поставки продукции </w:t>
      </w:r>
      <w:bookmarkEnd w:id="14"/>
    </w:p>
    <w:p>
      <w:pPr>
        <w:pStyle w:val="Heading1"/>
        <w:keepLines/>
        <w:numPr>
          <w:ilvl w:val="0"/>
          <w:numId w:val="0"/>
        </w:numPr>
        <w:spacing w:before="240" w:after="0"/>
        <w:ind w:left="0" w:hanging="0"/>
        <w:rPr>
          <w:sz w:val="22"/>
          <w:szCs w:val="22"/>
          <w:lang w:val="ru-RU"/>
        </w:rPr>
      </w:pPr>
      <w:bookmarkStart w:id="16" w:name="_Toc75446579"/>
      <w:bookmarkStart w:id="17" w:name="_Toc50125127"/>
      <w:bookmarkStart w:id="18" w:name="_Toc51339697"/>
      <w:bookmarkStart w:id="19" w:name="_Toc50125126_Копия_1"/>
      <w:bookmarkEnd w:id="19"/>
      <w:r>
        <w:rPr>
          <w:sz w:val="22"/>
          <w:szCs w:val="22"/>
        </w:rPr>
        <w:t xml:space="preserve">Таблица </w:t>
      </w:r>
      <w:r>
        <w:rPr>
          <w:sz w:val="22"/>
          <w:szCs w:val="22"/>
          <w:lang w:val="ru-RU"/>
        </w:rPr>
        <w:t>2</w:t>
      </w:r>
      <w:r>
        <w:rPr>
          <w:sz w:val="22"/>
          <w:szCs w:val="22"/>
        </w:rPr>
        <w:t xml:space="preserve">. </w:t>
      </w:r>
      <w:bookmarkStart w:id="20" w:name="_Hlk50465284"/>
      <w:r>
        <w:rPr>
          <w:sz w:val="22"/>
          <w:szCs w:val="22"/>
        </w:rPr>
        <w:t xml:space="preserve">Требования по срокам </w:t>
      </w:r>
      <w:bookmarkEnd w:id="17"/>
      <w:bookmarkEnd w:id="18"/>
      <w:bookmarkEnd w:id="20"/>
      <w:r>
        <w:rPr>
          <w:sz w:val="22"/>
          <w:szCs w:val="22"/>
          <w:lang w:val="ru-RU"/>
        </w:rPr>
        <w:t>поставки продукции</w:t>
      </w:r>
      <w:bookmarkEnd w:id="16"/>
      <w:r>
        <w:rPr>
          <w:sz w:val="22"/>
          <w:szCs w:val="22"/>
          <w:lang w:val="ru-RU"/>
        </w:rPr>
        <w:t xml:space="preserve"> </w:t>
      </w:r>
    </w:p>
    <w:tbl>
      <w:tblPr>
        <w:tblW w:w="14566"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674"/>
        <w:gridCol w:w="7937"/>
        <w:gridCol w:w="5955"/>
      </w:tblGrid>
      <w:tr>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2"/>
                <w:szCs w:val="22"/>
              </w:rPr>
              <w:t xml:space="preserve">№ </w:t>
            </w:r>
            <w:r>
              <w:rPr>
                <w:b/>
                <w:sz w:val="22"/>
                <w:szCs w:val="22"/>
              </w:rPr>
              <w:t>п/п</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2"/>
                <w:szCs w:val="22"/>
              </w:rPr>
            </w:pPr>
            <w:r>
              <w:rPr>
                <w:b/>
                <w:sz w:val="22"/>
                <w:szCs w:val="22"/>
              </w:rPr>
              <w:t>Требования к началу срока поставки продукции</w:t>
            </w:r>
          </w:p>
        </w:tc>
        <w:tc>
          <w:tcPr>
            <w:tcW w:w="59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2"/>
                <w:szCs w:val="22"/>
              </w:rPr>
            </w:pPr>
            <w:r>
              <w:rPr>
                <w:b/>
                <w:sz w:val="22"/>
                <w:szCs w:val="22"/>
              </w:rPr>
              <w:t>Требования к окончанию срока поставки продукции</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
                <w:sz w:val="22"/>
                <w:szCs w:val="22"/>
              </w:rPr>
              <w:t>1</w:t>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Style28"/>
              <w:keepNext w:val="false"/>
              <w:widowControl w:val="false"/>
              <w:spacing w:before="40" w:after="0"/>
              <w:jc w:val="center"/>
              <w:rPr>
                <w:szCs w:val="22"/>
              </w:rPr>
            </w:pPr>
            <w:r>
              <w:rPr>
                <w:b/>
                <w:szCs w:val="22"/>
              </w:rPr>
              <w:t>2</w:t>
            </w:r>
          </w:p>
        </w:tc>
        <w:tc>
          <w:tcPr>
            <w:tcW w:w="5955" w:type="dxa"/>
            <w:tcBorders>
              <w:top w:val="single" w:sz="4" w:space="0" w:color="000000"/>
              <w:left w:val="single" w:sz="4" w:space="0" w:color="000000"/>
              <w:bottom w:val="single" w:sz="4" w:space="0" w:color="000000"/>
              <w:right w:val="single" w:sz="4" w:space="0" w:color="000000"/>
            </w:tcBorders>
            <w:vAlign w:val="center"/>
          </w:tcPr>
          <w:p>
            <w:pPr>
              <w:pStyle w:val="Style28"/>
              <w:keepNext w:val="false"/>
              <w:widowControl w:val="false"/>
              <w:spacing w:before="40" w:after="0"/>
              <w:jc w:val="center"/>
              <w:rPr>
                <w:szCs w:val="22"/>
              </w:rPr>
            </w:pPr>
            <w:r>
              <w:rPr>
                <w:b/>
                <w:szCs w:val="22"/>
              </w:rPr>
              <w:t>3</w:t>
            </w:r>
          </w:p>
        </w:tc>
      </w:tr>
      <w:tr>
        <w:trPr>
          <w:trHeight w:val="72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8"/>
              </w:numPr>
              <w:suppressAutoHyphens w:val="true"/>
              <w:rPr>
                <w:sz w:val="22"/>
                <w:szCs w:val="22"/>
              </w:rPr>
            </w:pPr>
            <w:r>
              <w:rPr>
                <w:sz w:val="22"/>
                <w:szCs w:val="22"/>
              </w:rPr>
            </w:r>
          </w:p>
        </w:tc>
        <w:tc>
          <w:tcPr>
            <w:tcW w:w="79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i/>
                <w:sz w:val="22"/>
                <w:szCs w:val="22"/>
              </w:rPr>
              <w:t>С 11.01.2027г.</w:t>
            </w:r>
          </w:p>
        </w:tc>
        <w:tc>
          <w:tcPr>
            <w:tcW w:w="59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bCs/>
                <w:sz w:val="22"/>
                <w:szCs w:val="22"/>
              </w:rPr>
              <w:t>в течение 80 (девяноста) календарных дней с момента начала поставки</w:t>
            </w:r>
          </w:p>
        </w:tc>
      </w:tr>
    </w:tbl>
    <w:p>
      <w:pPr>
        <w:pStyle w:val="Heading4"/>
        <w:numPr>
          <w:ilvl w:val="1"/>
          <w:numId w:val="3"/>
        </w:numPr>
        <w:spacing w:before="120" w:after="0"/>
        <w:rPr>
          <w:sz w:val="22"/>
          <w:szCs w:val="22"/>
        </w:rPr>
      </w:pPr>
      <w:bookmarkStart w:id="21" w:name="_Toc75446581"/>
      <w:bookmarkStart w:id="22" w:name="_Toc46743511"/>
      <w:bookmarkStart w:id="23" w:name="_Toc46743510_Копия_1"/>
      <w:bookmarkEnd w:id="23"/>
      <w:r>
        <w:rPr>
          <w:sz w:val="22"/>
          <w:szCs w:val="22"/>
        </w:rPr>
        <w:t xml:space="preserve">Требования к </w:t>
      </w:r>
      <w:bookmarkEnd w:id="22"/>
      <w:r>
        <w:rPr>
          <w:sz w:val="22"/>
          <w:szCs w:val="22"/>
          <w:lang w:val="ru-RU"/>
        </w:rPr>
        <w:t>качеству продукции</w:t>
      </w:r>
      <w:bookmarkEnd w:id="21"/>
    </w:p>
    <w:p>
      <w:pPr>
        <w:pStyle w:val="Heading1"/>
        <w:keepLines/>
        <w:numPr>
          <w:ilvl w:val="0"/>
          <w:numId w:val="0"/>
        </w:numPr>
        <w:spacing w:before="240" w:after="0"/>
        <w:ind w:left="0" w:hanging="0"/>
        <w:rPr>
          <w:sz w:val="22"/>
          <w:szCs w:val="22"/>
        </w:rPr>
      </w:pPr>
      <w:r>
        <w:rPr>
          <w:sz w:val="22"/>
          <w:szCs w:val="22"/>
        </w:rPr>
        <w:t xml:space="preserve"> </w:t>
      </w:r>
      <w:bookmarkStart w:id="24" w:name="_Toc75446582"/>
      <w:r>
        <w:rPr>
          <w:sz w:val="22"/>
          <w:szCs w:val="22"/>
        </w:rPr>
        <w:t>Таблица </w:t>
      </w:r>
      <w:r>
        <w:rPr>
          <w:sz w:val="22"/>
          <w:szCs w:val="22"/>
          <w:lang w:val="ru-RU"/>
        </w:rPr>
        <w:t>3</w:t>
      </w:r>
      <w:r>
        <w:rPr>
          <w:sz w:val="22"/>
          <w:szCs w:val="22"/>
        </w:rPr>
        <w:t xml:space="preserve">. Требования к </w:t>
      </w:r>
      <w:r>
        <w:rPr>
          <w:sz w:val="22"/>
          <w:szCs w:val="22"/>
          <w:lang w:val="ru-RU"/>
        </w:rPr>
        <w:t>продукции</w:t>
      </w:r>
      <w:bookmarkEnd w:id="24"/>
      <w:r>
        <w:rPr>
          <w:sz w:val="22"/>
          <w:szCs w:val="22"/>
        </w:rPr>
        <w:t xml:space="preserve"> </w:t>
      </w:r>
    </w:p>
    <w:p>
      <w:pPr>
        <w:pStyle w:val="Normal"/>
        <w:widowControl w:val="false"/>
        <w:tabs>
          <w:tab w:val="clear" w:pos="708"/>
          <w:tab w:val="left" w:pos="426" w:leader="none"/>
        </w:tabs>
        <w:spacing w:before="120" w:after="0"/>
        <w:jc w:val="both"/>
        <w:rPr>
          <w:rStyle w:val="Style8"/>
          <w:b w:val="false"/>
          <w:iCs/>
          <w:sz w:val="22"/>
          <w:szCs w:val="22"/>
        </w:rPr>
      </w:pPr>
      <w:r>
        <w:rPr>
          <w:b/>
          <w:bCs/>
          <w:i/>
          <w:iCs/>
          <w:sz w:val="22"/>
          <w:szCs w:val="22"/>
        </w:rPr>
        <w:t xml:space="preserve">Наименование продукции </w:t>
      </w:r>
      <w:r>
        <w:rPr>
          <w:rFonts w:eastAsia="Calibri"/>
          <w:i/>
          <w:sz w:val="22"/>
          <w:szCs w:val="22"/>
          <w:lang w:eastAsia="x-none"/>
        </w:rPr>
        <w:t>«</w:t>
      </w:r>
      <w:r>
        <w:rPr>
          <w:rFonts w:eastAsia="Calibri"/>
          <w:b/>
          <w:bCs/>
          <w:i/>
          <w:iCs/>
          <w:strike w:val="false"/>
          <w:dstrike w:val="false"/>
          <w:outline w:val="false"/>
          <w:shadow w:val="false"/>
          <w:sz w:val="22"/>
          <w:szCs w:val="22"/>
          <w:u w:val="none"/>
          <w:em w:val="none"/>
          <w:lang w:eastAsia="x-none"/>
        </w:rPr>
        <w:t>ОКПД2 27.32.13 Поставка контрольных и силовых кабеля и проводов в рамках ремонтной, инвестиционной и эксплуатационной  программ филиалов АО "ДРСК": "Амурские электрические сети", "Приморские электрические сети", "Хабаровские электрические сети" , "Электрические сети Еврейской Автономной Области" и и "Южно-Якутские электрические сети"</w:t>
      </w:r>
      <w:r>
        <w:rPr>
          <w:rFonts w:eastAsia="Calibri"/>
          <w:i/>
          <w:sz w:val="22"/>
          <w:szCs w:val="22"/>
          <w:lang w:eastAsia="x-none"/>
        </w:rPr>
        <w:t>»</w:t>
      </w:r>
      <w:r>
        <w:rPr>
          <w:rStyle w:val="Style8"/>
          <w:b w:val="false"/>
          <w:iCs/>
          <w:sz w:val="22"/>
          <w:szCs w:val="22"/>
        </w:rPr>
        <w:t xml:space="preserve"> </w:t>
      </w:r>
    </w:p>
    <w:p>
      <w:pPr>
        <w:pStyle w:val="Normal"/>
        <w:widowControl w:val="false"/>
        <w:tabs>
          <w:tab w:val="clear" w:pos="708"/>
          <w:tab w:val="left" w:pos="426" w:leader="none"/>
        </w:tabs>
        <w:spacing w:before="120" w:after="0"/>
        <w:jc w:val="both"/>
        <w:rPr>
          <w:rStyle w:val="Style8"/>
          <w:sz w:val="22"/>
          <w:szCs w:val="22"/>
          <w:shd w:fill="auto" w:val="clear"/>
        </w:rPr>
      </w:pPr>
      <w:r>
        <w:rPr>
          <w:sz w:val="22"/>
          <w:szCs w:val="22"/>
          <w:shd w:fill="auto" w:val="clear"/>
        </w:rPr>
      </w:r>
    </w:p>
    <w:tbl>
      <w:tblPr>
        <w:tblStyle w:val="af0"/>
        <w:tblW w:w="14489" w:type="dxa"/>
        <w:jc w:val="left"/>
        <w:tblInd w:w="363" w:type="dxa"/>
        <w:tblLayout w:type="fixed"/>
        <w:tblCellMar>
          <w:top w:w="0" w:type="dxa"/>
          <w:left w:w="108" w:type="dxa"/>
          <w:bottom w:w="0" w:type="dxa"/>
          <w:right w:w="108" w:type="dxa"/>
        </w:tblCellMar>
        <w:tblLook w:val="04a0" w:noVBand="1" w:noHBand="0" w:lastColumn="0" w:firstColumn="1" w:lastRow="0" w:firstRow="1"/>
      </w:tblPr>
      <w:tblGrid>
        <w:gridCol w:w="553"/>
        <w:gridCol w:w="2731"/>
        <w:gridCol w:w="5392"/>
        <w:gridCol w:w="1689"/>
        <w:gridCol w:w="2706"/>
        <w:gridCol w:w="1417"/>
      </w:tblGrid>
      <w:tr>
        <w:trPr/>
        <w:tc>
          <w:tcPr>
            <w:tcW w:w="553" w:type="dxa"/>
            <w:vMerge w:val="restart"/>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 xml:space="preserve">№ </w:t>
            </w:r>
            <w:r>
              <w:rPr>
                <w:rFonts w:eastAsia="Times New Roman" w:cs="Times New Roman"/>
                <w:b/>
                <w:bCs/>
                <w:kern w:val="0"/>
                <w:sz w:val="22"/>
                <w:szCs w:val="22"/>
                <w:lang w:val="ru-RU" w:eastAsia="ru-RU" w:bidi="ar-SA"/>
              </w:rPr>
              <w:t>п/п</w:t>
            </w:r>
          </w:p>
        </w:tc>
        <w:tc>
          <w:tcPr>
            <w:tcW w:w="2731" w:type="dxa"/>
            <w:vMerge w:val="restart"/>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Наименование параметра</w:t>
            </w:r>
          </w:p>
        </w:tc>
        <w:tc>
          <w:tcPr>
            <w:tcW w:w="5392" w:type="dxa"/>
            <w:vMerge w:val="restart"/>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Требование заказчика</w:t>
            </w:r>
          </w:p>
        </w:tc>
        <w:tc>
          <w:tcPr>
            <w:tcW w:w="4395" w:type="dxa"/>
            <w:gridSpan w:val="2"/>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Способ подтверждения участником соответствия требованиям</w:t>
            </w:r>
          </w:p>
        </w:tc>
        <w:tc>
          <w:tcPr>
            <w:tcW w:w="1417" w:type="dxa"/>
            <w:vMerge w:val="restart"/>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Предложение участника по характеристикам и параметрам</w:t>
            </w:r>
          </w:p>
        </w:tc>
      </w:tr>
      <w:tr>
        <w:trPr/>
        <w:tc>
          <w:tcPr>
            <w:tcW w:w="553"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c>
          <w:tcPr>
            <w:tcW w:w="2731"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c>
          <w:tcPr>
            <w:tcW w:w="5392"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c>
          <w:tcPr>
            <w:tcW w:w="1689"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Согласие с требованием/ указание характеристик</w:t>
            </w:r>
          </w:p>
        </w:tc>
        <w:tc>
          <w:tcPr>
            <w:tcW w:w="2706" w:type="dxa"/>
            <w:tcBorders/>
            <w:vAlign w:val="center"/>
          </w:tcPr>
          <w:p>
            <w:pPr>
              <w:pStyle w:val="Normal"/>
              <w:widowControl w:val="false"/>
              <w:suppressAutoHyphens w:val="true"/>
              <w:spacing w:before="0" w:after="0"/>
              <w:jc w:val="center"/>
              <w:rPr>
                <w:b/>
                <w:bCs/>
                <w:sz w:val="22"/>
                <w:szCs w:val="22"/>
              </w:rPr>
            </w:pPr>
            <w:r>
              <w:rPr>
                <w:rFonts w:eastAsia="Times New Roman" w:cs="Times New Roman"/>
                <w:b/>
                <w:bCs/>
                <w:kern w:val="0"/>
                <w:sz w:val="22"/>
                <w:szCs w:val="22"/>
                <w:lang w:val="ru-RU" w:eastAsia="ru-RU" w:bidi="ar-SA"/>
              </w:rPr>
              <w:t>Предоставление подтверждающего документа ил</w:t>
            </w:r>
            <w:bookmarkStart w:id="25" w:name="_GoBack"/>
            <w:bookmarkEnd w:id="25"/>
            <w:r>
              <w:rPr>
                <w:rFonts w:eastAsia="Times New Roman" w:cs="Times New Roman"/>
                <w:b/>
                <w:bCs/>
                <w:kern w:val="0"/>
                <w:sz w:val="22"/>
                <w:szCs w:val="22"/>
                <w:lang w:val="ru-RU" w:eastAsia="ru-RU" w:bidi="ar-SA"/>
              </w:rPr>
              <w:t>и иной способ подтверждения</w:t>
            </w:r>
          </w:p>
        </w:tc>
        <w:tc>
          <w:tcPr>
            <w:tcW w:w="1417" w:type="dxa"/>
            <w:vMerge w:val="continue"/>
            <w:tcBorders/>
            <w:vAlign w:val="center"/>
          </w:tcPr>
          <w:p>
            <w:pPr>
              <w:pStyle w:val="Normal"/>
              <w:widowControl w:val="false"/>
              <w:suppressAutoHyphens w:val="true"/>
              <w:spacing w:before="0" w:after="0"/>
              <w:jc w:val="left"/>
              <w:rPr>
                <w:b/>
                <w:bCs/>
                <w:sz w:val="22"/>
                <w:szCs w:val="22"/>
              </w:rPr>
            </w:pPr>
            <w:r>
              <w:rPr>
                <w:b/>
                <w:bCs/>
                <w:sz w:val="22"/>
                <w:szCs w:val="22"/>
              </w:rPr>
            </w:r>
          </w:p>
        </w:tc>
      </w:tr>
      <w:tr>
        <w:trPr/>
        <w:tc>
          <w:tcPr>
            <w:tcW w:w="553" w:type="dxa"/>
            <w:tcBorders/>
            <w:vAlign w:val="center"/>
          </w:tcPr>
          <w:p>
            <w:pPr>
              <w:pStyle w:val="Normal"/>
              <w:widowControl w:val="false"/>
              <w:suppressAutoHyphens w:val="true"/>
              <w:spacing w:before="60" w:after="0"/>
              <w:jc w:val="center"/>
              <w:rPr>
                <w:sz w:val="22"/>
                <w:szCs w:val="22"/>
              </w:rPr>
            </w:pPr>
            <w:r>
              <w:rPr>
                <w:rFonts w:eastAsia="Times New Roman" w:cs="Times New Roman"/>
                <w:b/>
                <w:kern w:val="0"/>
                <w:sz w:val="22"/>
                <w:szCs w:val="22"/>
                <w:lang w:val="ru-RU" w:eastAsia="ru-RU" w:bidi="ar-SA"/>
              </w:rPr>
              <w:t>1</w:t>
            </w:r>
          </w:p>
        </w:tc>
        <w:tc>
          <w:tcPr>
            <w:tcW w:w="2731" w:type="dxa"/>
            <w:tcBorders/>
            <w:vAlign w:val="center"/>
          </w:tcPr>
          <w:p>
            <w:pPr>
              <w:pStyle w:val="Normal"/>
              <w:widowControl w:val="false"/>
              <w:suppressAutoHyphens w:val="true"/>
              <w:spacing w:before="0" w:after="0"/>
              <w:jc w:val="center"/>
              <w:rPr>
                <w:b/>
                <w:sz w:val="22"/>
                <w:szCs w:val="22"/>
              </w:rPr>
            </w:pPr>
            <w:r>
              <w:rPr>
                <w:rFonts w:eastAsia="Times New Roman" w:cs="Times New Roman"/>
                <w:b/>
                <w:kern w:val="0"/>
                <w:sz w:val="22"/>
                <w:szCs w:val="22"/>
                <w:lang w:val="ru-RU" w:eastAsia="ru-RU" w:bidi="ar-SA"/>
              </w:rPr>
              <w:t>2</w:t>
            </w:r>
          </w:p>
        </w:tc>
        <w:tc>
          <w:tcPr>
            <w:tcW w:w="5392" w:type="dxa"/>
            <w:tcBorders/>
            <w:vAlign w:val="center"/>
          </w:tcPr>
          <w:p>
            <w:pPr>
              <w:pStyle w:val="Normal"/>
              <w:widowControl w:val="false"/>
              <w:suppressAutoHyphens w:val="true"/>
              <w:spacing w:before="0" w:after="0"/>
              <w:jc w:val="center"/>
              <w:rPr>
                <w:b/>
                <w:sz w:val="22"/>
                <w:szCs w:val="22"/>
              </w:rPr>
            </w:pPr>
            <w:r>
              <w:rPr>
                <w:rFonts w:eastAsia="Times New Roman" w:cs="Times New Roman"/>
                <w:b/>
                <w:kern w:val="0"/>
                <w:sz w:val="22"/>
                <w:szCs w:val="22"/>
                <w:lang w:val="ru-RU" w:eastAsia="ru-RU" w:bidi="ar-SA"/>
              </w:rPr>
              <w:t>3</w:t>
            </w:r>
          </w:p>
        </w:tc>
        <w:tc>
          <w:tcPr>
            <w:tcW w:w="1689" w:type="dxa"/>
            <w:tcBorders/>
            <w:vAlign w:val="center"/>
          </w:tcPr>
          <w:p>
            <w:pPr>
              <w:pStyle w:val="Normal"/>
              <w:widowControl w:val="false"/>
              <w:suppressAutoHyphens w:val="true"/>
              <w:spacing w:before="0" w:after="0"/>
              <w:jc w:val="center"/>
              <w:rPr>
                <w:b/>
                <w:sz w:val="22"/>
                <w:szCs w:val="22"/>
              </w:rPr>
            </w:pPr>
            <w:r>
              <w:rPr>
                <w:rFonts w:eastAsia="Times New Roman" w:cs="Times New Roman"/>
                <w:b/>
                <w:kern w:val="0"/>
                <w:sz w:val="22"/>
                <w:szCs w:val="22"/>
                <w:lang w:val="ru-RU" w:eastAsia="ru-RU" w:bidi="ar-SA"/>
              </w:rPr>
              <w:t>4</w:t>
            </w:r>
          </w:p>
        </w:tc>
        <w:tc>
          <w:tcPr>
            <w:tcW w:w="2706" w:type="dxa"/>
            <w:tcBorders/>
            <w:vAlign w:val="center"/>
          </w:tcPr>
          <w:p>
            <w:pPr>
              <w:pStyle w:val="Normal"/>
              <w:widowControl w:val="false"/>
              <w:suppressAutoHyphens w:val="true"/>
              <w:spacing w:before="0" w:after="0"/>
              <w:jc w:val="center"/>
              <w:rPr>
                <w:b/>
                <w:sz w:val="22"/>
                <w:szCs w:val="22"/>
              </w:rPr>
            </w:pPr>
            <w:r>
              <w:rPr>
                <w:rFonts w:eastAsia="Times New Roman" w:cs="Times New Roman"/>
                <w:b/>
                <w:kern w:val="0"/>
                <w:sz w:val="22"/>
                <w:szCs w:val="22"/>
                <w:lang w:val="ru-RU" w:eastAsia="ru-RU" w:bidi="ar-SA"/>
              </w:rPr>
              <w:t>5</w:t>
            </w:r>
          </w:p>
        </w:tc>
        <w:tc>
          <w:tcPr>
            <w:tcW w:w="1417" w:type="dxa"/>
            <w:tcBorders/>
            <w:vAlign w:val="center"/>
          </w:tcPr>
          <w:p>
            <w:pPr>
              <w:pStyle w:val="Normal"/>
              <w:widowControl w:val="false"/>
              <w:suppressAutoHyphens w:val="true"/>
              <w:spacing w:before="0" w:after="0"/>
              <w:jc w:val="center"/>
              <w:rPr>
                <w:b/>
                <w:sz w:val="22"/>
                <w:szCs w:val="22"/>
              </w:rPr>
            </w:pPr>
            <w:r>
              <w:rPr>
                <w:rFonts w:eastAsia="Times New Roman" w:cs="Times New Roman"/>
                <w:b/>
                <w:kern w:val="0"/>
                <w:sz w:val="22"/>
                <w:szCs w:val="22"/>
                <w:lang w:val="ru-RU" w:eastAsia="ru-RU" w:bidi="ar-SA"/>
              </w:rPr>
              <w:t>6</w:t>
            </w:r>
          </w:p>
        </w:tc>
      </w:tr>
      <w:tr>
        <w:trPr>
          <w:trHeight w:val="541" w:hRule="atLeast"/>
        </w:trPr>
        <w:tc>
          <w:tcPr>
            <w:tcW w:w="553" w:type="dxa"/>
            <w:tcBorders/>
            <w:vAlign w:val="center"/>
          </w:tcPr>
          <w:p>
            <w:pPr>
              <w:pStyle w:val="ListParagraph"/>
              <w:widowControl w:val="false"/>
              <w:numPr>
                <w:ilvl w:val="0"/>
                <w:numId w:val="6"/>
              </w:numPr>
              <w:suppressAutoHyphens w:val="true"/>
              <w:spacing w:before="60" w:after="0"/>
              <w:contextualSpacing/>
              <w:jc w:val="center"/>
              <w:rPr>
                <w:sz w:val="22"/>
                <w:szCs w:val="22"/>
              </w:rPr>
            </w:pPr>
            <w:r>
              <w:rPr>
                <w:sz w:val="22"/>
                <w:szCs w:val="22"/>
              </w:rPr>
            </w:r>
          </w:p>
        </w:tc>
        <w:tc>
          <w:tcPr>
            <w:tcW w:w="13935" w:type="dxa"/>
            <w:gridSpan w:val="5"/>
            <w:tcBorders/>
            <w:vAlign w:val="center"/>
          </w:tcPr>
          <w:p>
            <w:pPr>
              <w:pStyle w:val="Normal"/>
              <w:widowControl w:val="false"/>
              <w:suppressAutoHyphens w:val="true"/>
              <w:spacing w:before="60" w:after="0"/>
              <w:jc w:val="left"/>
              <w:rPr>
                <w:b/>
                <w:sz w:val="22"/>
                <w:szCs w:val="22"/>
              </w:rPr>
            </w:pPr>
            <w:r>
              <w:rPr>
                <w:rFonts w:eastAsia="Times New Roman" w:cs="Times New Roman"/>
                <w:b/>
                <w:kern w:val="0"/>
                <w:sz w:val="22"/>
                <w:szCs w:val="22"/>
                <w:lang w:val="ru-RU" w:eastAsia="ru-RU" w:bidi="ar-SA"/>
              </w:rPr>
              <w:t>Требования к техническим и функциональным характеристикам, к конструкции изделия, материалам</w:t>
            </w:r>
          </w:p>
        </w:tc>
      </w:tr>
      <w:tr>
        <w:trPr>
          <w:trHeight w:val="541" w:hRule="atLeast"/>
        </w:trPr>
        <w:tc>
          <w:tcPr>
            <w:tcW w:w="553" w:type="dxa"/>
            <w:tcBorders/>
            <w:vAlign w:val="center"/>
          </w:tcPr>
          <w:p>
            <w:pPr>
              <w:pStyle w:val="ListParagraph"/>
              <w:widowControl w:val="false"/>
              <w:numPr>
                <w:ilvl w:val="0"/>
                <w:numId w:val="0"/>
              </w:numPr>
              <w:suppressAutoHyphens w:val="true"/>
              <w:spacing w:before="60" w:after="0"/>
              <w:ind w:left="0" w:hanging="0"/>
              <w:contextualSpacing/>
              <w:jc w:val="center"/>
              <w:rPr>
                <w:b w:val="false"/>
                <w:bCs w:val="false"/>
                <w:sz w:val="22"/>
                <w:szCs w:val="22"/>
              </w:rPr>
            </w:pPr>
            <w:r>
              <w:rPr>
                <w:b w:val="false"/>
                <w:bCs w:val="false"/>
                <w:sz w:val="22"/>
                <w:szCs w:val="22"/>
              </w:rPr>
              <w:t>1.1.</w:t>
            </w:r>
          </w:p>
        </w:tc>
        <w:tc>
          <w:tcPr>
            <w:tcW w:w="2731" w:type="dxa"/>
            <w:tcBorders/>
            <w:vAlign w:val="center"/>
          </w:tcPr>
          <w:p>
            <w:pPr>
              <w:pStyle w:val="Normal"/>
              <w:widowControl w:val="false"/>
              <w:suppressAutoHyphens w:val="true"/>
              <w:spacing w:before="60" w:after="0"/>
              <w:jc w:val="left"/>
              <w:rPr>
                <w:sz w:val="22"/>
                <w:szCs w:val="22"/>
              </w:rPr>
            </w:pPr>
            <w:r>
              <w:rPr>
                <w:sz w:val="22"/>
                <w:szCs w:val="22"/>
              </w:rPr>
            </w:r>
          </w:p>
          <w:p>
            <w:pPr>
              <w:pStyle w:val="Normal"/>
              <w:widowControl w:val="false"/>
              <w:suppressAutoHyphens w:val="true"/>
              <w:spacing w:before="60" w:after="0"/>
              <w:jc w:val="left"/>
              <w:rPr>
                <w:sz w:val="22"/>
                <w:szCs w:val="22"/>
              </w:rPr>
            </w:pPr>
            <w:r>
              <w:rPr>
                <w:sz w:val="22"/>
                <w:szCs w:val="22"/>
              </w:rPr>
            </w:r>
          </w:p>
          <w:p>
            <w:pPr>
              <w:pStyle w:val="Normal"/>
              <w:widowControl w:val="false"/>
              <w:suppressAutoHyphens w:val="true"/>
              <w:spacing w:before="60" w:after="0"/>
              <w:jc w:val="left"/>
              <w:rPr>
                <w:b/>
                <w:sz w:val="22"/>
                <w:szCs w:val="22"/>
              </w:rPr>
            </w:pPr>
            <w:r>
              <w:rPr>
                <w:rFonts w:eastAsia="Times New Roman" w:cs="Times New Roman"/>
                <w:kern w:val="0"/>
                <w:sz w:val="22"/>
                <w:szCs w:val="22"/>
                <w:lang w:val="ru-RU" w:eastAsia="ru-RU" w:bidi="ar-SA"/>
              </w:rPr>
              <w:t>Требования к закупаемой продукции</w:t>
            </w:r>
          </w:p>
        </w:tc>
        <w:tc>
          <w:tcPr>
            <w:tcW w:w="5392" w:type="dxa"/>
            <w:tcBorders/>
            <w:vAlign w:val="center"/>
          </w:tcPr>
          <w:p>
            <w:pPr>
              <w:pStyle w:val="Normal"/>
              <w:widowControl w:val="false"/>
              <w:suppressAutoHyphens w:val="true"/>
              <w:spacing w:before="60" w:after="0"/>
              <w:jc w:val="left"/>
              <w:rPr>
                <w:sz w:val="22"/>
                <w:szCs w:val="22"/>
              </w:rPr>
            </w:pPr>
            <w:r>
              <w:rPr>
                <w:sz w:val="22"/>
                <w:szCs w:val="22"/>
              </w:rPr>
            </w:r>
          </w:p>
          <w:p>
            <w:pPr>
              <w:pStyle w:val="Normal"/>
              <w:widowControl w:val="false"/>
              <w:suppressAutoHyphens w:val="true"/>
              <w:spacing w:before="60" w:after="0"/>
              <w:jc w:val="left"/>
              <w:rPr>
                <w:sz w:val="22"/>
                <w:szCs w:val="22"/>
              </w:rPr>
            </w:pPr>
            <w:r>
              <w:rPr>
                <w:sz w:val="22"/>
                <w:szCs w:val="22"/>
              </w:rPr>
            </w:r>
          </w:p>
          <w:p>
            <w:pPr>
              <w:pStyle w:val="Normal"/>
              <w:widowControl w:val="false"/>
              <w:suppressAutoHyphens w:val="true"/>
              <w:spacing w:before="60" w:after="0"/>
              <w:jc w:val="left"/>
              <w:rPr>
                <w:sz w:val="22"/>
                <w:szCs w:val="22"/>
              </w:rPr>
            </w:pPr>
            <w:r>
              <w:rPr>
                <w:sz w:val="22"/>
                <w:szCs w:val="22"/>
              </w:rPr>
            </w:r>
          </w:p>
          <w:p>
            <w:pPr>
              <w:pStyle w:val="Normal"/>
              <w:widowControl w:val="false"/>
              <w:suppressAutoHyphens w:val="true"/>
              <w:spacing w:before="60" w:after="0"/>
              <w:jc w:val="left"/>
              <w:rPr>
                <w:b/>
                <w:sz w:val="22"/>
                <w:szCs w:val="22"/>
              </w:rPr>
            </w:pPr>
            <w:r>
              <w:rPr>
                <w:rFonts w:eastAsia="Times New Roman" w:cs="Times New Roman"/>
                <w:kern w:val="0"/>
                <w:sz w:val="22"/>
                <w:szCs w:val="22"/>
                <w:lang w:val="ru-RU" w:eastAsia="ru-RU" w:bidi="ar-SA"/>
              </w:rPr>
              <w:t>Кабеля и провода до 1 кВ включительно (согласно Таблице 1</w:t>
            </w:r>
            <w:r>
              <w:rPr>
                <w:rFonts w:eastAsia="Times New Roman" w:cs="Times New Roman"/>
                <w:strike/>
                <w:kern w:val="0"/>
                <w:sz w:val="22"/>
                <w:szCs w:val="22"/>
                <w:lang w:val="ru-RU" w:eastAsia="ru-RU" w:bidi="ar-SA"/>
              </w:rPr>
              <w:t xml:space="preserve"> </w:t>
            </w:r>
            <w:r>
              <w:rPr>
                <w:rFonts w:eastAsia="Times New Roman" w:cs="Times New Roman"/>
                <w:kern w:val="0"/>
                <w:sz w:val="22"/>
                <w:szCs w:val="22"/>
                <w:lang w:val="ru-RU" w:eastAsia="ru-RU" w:bidi="ar-SA"/>
              </w:rPr>
              <w:t>технических требований)</w:t>
            </w:r>
            <w:r>
              <w:rPr>
                <w:rFonts w:eastAsia="Times New Roman" w:cs="Times New Roman"/>
                <w:b/>
                <w:i/>
                <w:kern w:val="0"/>
                <w:sz w:val="22"/>
                <w:szCs w:val="22"/>
                <w:lang w:val="ru-RU" w:eastAsia="ru-RU" w:bidi="ar-SA"/>
              </w:rPr>
              <w:t xml:space="preserve"> </w:t>
            </w:r>
            <w:r>
              <w:rPr>
                <w:rFonts w:eastAsia="Times New Roman" w:cs="Times New Roman"/>
                <w:kern w:val="0"/>
                <w:sz w:val="22"/>
                <w:szCs w:val="22"/>
                <w:lang w:val="ru-RU" w:eastAsia="ru-RU" w:bidi="ar-SA"/>
              </w:rPr>
              <w:t>должны соответствовать требованиям ТР ТС 004/2011 «О безопасности низковольтного оборудования».</w:t>
            </w:r>
          </w:p>
        </w:tc>
        <w:tc>
          <w:tcPr>
            <w:tcW w:w="1689" w:type="dxa"/>
            <w:tcBorders/>
            <w:vAlign w:val="center"/>
          </w:tcPr>
          <w:p>
            <w:pPr>
              <w:pStyle w:val="Normal"/>
              <w:widowControl w:val="false"/>
              <w:suppressAutoHyphens w:val="true"/>
              <w:spacing w:before="60" w:after="0"/>
              <w:jc w:val="left"/>
              <w:rPr>
                <w:iCs/>
                <w:sz w:val="22"/>
                <w:szCs w:val="22"/>
              </w:rPr>
            </w:pPr>
            <w:r>
              <w:rPr>
                <w:iCs/>
                <w:sz w:val="22"/>
                <w:szCs w:val="22"/>
              </w:rPr>
            </w:r>
          </w:p>
          <w:p>
            <w:pPr>
              <w:pStyle w:val="Normal"/>
              <w:widowControl w:val="false"/>
              <w:suppressAutoHyphens w:val="true"/>
              <w:spacing w:before="60" w:after="0"/>
              <w:jc w:val="left"/>
              <w:rPr>
                <w:iCs/>
                <w:sz w:val="22"/>
                <w:szCs w:val="22"/>
              </w:rPr>
            </w:pPr>
            <w:r>
              <w:rPr>
                <w:iCs/>
                <w:sz w:val="22"/>
                <w:szCs w:val="22"/>
              </w:rPr>
            </w:r>
          </w:p>
          <w:p>
            <w:pPr>
              <w:pStyle w:val="Normal"/>
              <w:widowControl w:val="false"/>
              <w:suppressAutoHyphens w:val="true"/>
              <w:spacing w:before="60" w:after="0"/>
              <w:jc w:val="left"/>
              <w:rPr>
                <w:iCs/>
                <w:sz w:val="22"/>
                <w:szCs w:val="22"/>
              </w:rPr>
            </w:pPr>
            <w:r>
              <w:rPr>
                <w:iCs/>
                <w:sz w:val="22"/>
                <w:szCs w:val="22"/>
              </w:rPr>
            </w:r>
          </w:p>
          <w:p>
            <w:pPr>
              <w:pStyle w:val="Normal"/>
              <w:widowControl w:val="false"/>
              <w:suppressAutoHyphens w:val="true"/>
              <w:spacing w:before="60" w:after="0"/>
              <w:jc w:val="center"/>
              <w:rPr>
                <w:b/>
                <w:sz w:val="22"/>
                <w:szCs w:val="22"/>
              </w:rPr>
            </w:pPr>
            <w:r>
              <w:rPr>
                <w:rFonts w:eastAsia="Times New Roman" w:cs="Times New Roman"/>
                <w:iCs/>
                <w:kern w:val="0"/>
                <w:sz w:val="22"/>
                <w:szCs w:val="22"/>
                <w:lang w:val="ru-RU" w:eastAsia="ru-RU" w:bidi="ar-SA"/>
              </w:rPr>
              <w:t>Согласие с требованием</w:t>
            </w:r>
          </w:p>
        </w:tc>
        <w:tc>
          <w:tcPr>
            <w:tcW w:w="2706" w:type="dxa"/>
            <w:tcBorders/>
            <w:vAlign w:val="center"/>
          </w:tcPr>
          <w:p>
            <w:pPr>
              <w:pStyle w:val="Annotationtext"/>
              <w:widowControl w:val="false"/>
              <w:suppressAutoHyphens w:val="true"/>
              <w:spacing w:before="0" w:after="0"/>
              <w:jc w:val="left"/>
              <w:rPr>
                <w:sz w:val="22"/>
                <w:szCs w:val="22"/>
              </w:rPr>
            </w:pPr>
            <w:r>
              <w:rPr>
                <w:rFonts w:eastAsia="Times New Roman" w:cs="Times New Roman"/>
                <w:kern w:val="0"/>
                <w:sz w:val="22"/>
                <w:szCs w:val="22"/>
                <w:lang w:val="ru-RU" w:eastAsia="ru-RU" w:bidi="ar-SA"/>
              </w:rPr>
              <w:t>Предоставить копию документа (по своему усмотрению из перечисленных):</w:t>
            </w:r>
          </w:p>
          <w:p>
            <w:pPr>
              <w:pStyle w:val="Annotationtext"/>
              <w:widowControl w:val="false"/>
              <w:suppressAutoHyphens w:val="true"/>
              <w:spacing w:before="0" w:after="0"/>
              <w:jc w:val="left"/>
              <w:rPr>
                <w:sz w:val="22"/>
                <w:szCs w:val="22"/>
              </w:rPr>
            </w:pPr>
            <w:r>
              <w:rPr>
                <w:rFonts w:eastAsia="Times New Roman" w:cs="Times New Roman"/>
                <w:kern w:val="0"/>
                <w:sz w:val="22"/>
                <w:szCs w:val="22"/>
                <w:lang w:val="ru-RU" w:eastAsia="ru-RU" w:bidi="ar-SA"/>
              </w:rPr>
              <w:t>1. Паспорт на ранее произведённую продукцию</w:t>
            </w:r>
          </w:p>
          <w:p>
            <w:pPr>
              <w:pStyle w:val="Annotationtext"/>
              <w:widowControl w:val="false"/>
              <w:suppressAutoHyphens w:val="true"/>
              <w:spacing w:before="0" w:after="0"/>
              <w:jc w:val="left"/>
              <w:rPr>
                <w:sz w:val="22"/>
                <w:szCs w:val="22"/>
              </w:rPr>
            </w:pPr>
            <w:r>
              <w:rPr>
                <w:rFonts w:eastAsia="Times New Roman" w:cs="Times New Roman"/>
                <w:kern w:val="0"/>
                <w:sz w:val="22"/>
                <w:szCs w:val="22"/>
                <w:lang w:val="ru-RU" w:eastAsia="ru-RU" w:bidi="ar-SA"/>
              </w:rPr>
              <w:t>2. Сертификат соответствия</w:t>
            </w:r>
          </w:p>
          <w:p>
            <w:pPr>
              <w:pStyle w:val="Annotationtext"/>
              <w:widowControl w:val="false"/>
              <w:suppressAutoHyphens w:val="true"/>
              <w:spacing w:before="0" w:after="0"/>
              <w:jc w:val="left"/>
              <w:rPr>
                <w:sz w:val="22"/>
                <w:szCs w:val="22"/>
              </w:rPr>
            </w:pPr>
            <w:r>
              <w:rPr>
                <w:rFonts w:eastAsia="Times New Roman" w:cs="Times New Roman"/>
                <w:kern w:val="0"/>
                <w:sz w:val="22"/>
                <w:szCs w:val="22"/>
                <w:lang w:val="ru-RU" w:eastAsia="ru-RU" w:bidi="ar-SA"/>
              </w:rPr>
              <w:t>Подтверждающий, соответствие закупаемой продукции требованиям ТР ТС 004/2011 «О безопасности низковольтного оборудования»</w:t>
            </w:r>
          </w:p>
        </w:tc>
        <w:tc>
          <w:tcPr>
            <w:tcW w:w="1417" w:type="dxa"/>
            <w:tcBorders/>
            <w:vAlign w:val="center"/>
          </w:tcPr>
          <w:p>
            <w:pPr>
              <w:pStyle w:val="Normal"/>
              <w:widowControl w:val="false"/>
              <w:suppressAutoHyphens w:val="true"/>
              <w:spacing w:before="60" w:after="0"/>
              <w:jc w:val="left"/>
              <w:rPr>
                <w:b/>
                <w:sz w:val="22"/>
                <w:szCs w:val="22"/>
              </w:rPr>
            </w:pPr>
            <w:r>
              <w:rPr>
                <w:b/>
                <w:sz w:val="22"/>
                <w:szCs w:val="22"/>
              </w:rPr>
            </w:r>
          </w:p>
        </w:tc>
      </w:tr>
      <w:tr>
        <w:trPr>
          <w:trHeight w:val="541" w:hRule="atLeast"/>
        </w:trPr>
        <w:tc>
          <w:tcPr>
            <w:tcW w:w="553" w:type="dxa"/>
            <w:tcBorders/>
            <w:vAlign w:val="center"/>
          </w:tcPr>
          <w:p>
            <w:pPr>
              <w:pStyle w:val="ListParagraph"/>
              <w:widowControl w:val="false"/>
              <w:numPr>
                <w:ilvl w:val="0"/>
                <w:numId w:val="6"/>
              </w:numPr>
              <w:suppressAutoHyphens w:val="true"/>
              <w:spacing w:before="60" w:after="0"/>
              <w:contextualSpacing/>
              <w:jc w:val="center"/>
              <w:rPr>
                <w:sz w:val="22"/>
                <w:szCs w:val="22"/>
              </w:rPr>
            </w:pPr>
            <w:r>
              <w:rPr>
                <w:sz w:val="22"/>
                <w:szCs w:val="22"/>
              </w:rPr>
            </w:r>
          </w:p>
        </w:tc>
        <w:tc>
          <w:tcPr>
            <w:tcW w:w="13935" w:type="dxa"/>
            <w:gridSpan w:val="5"/>
            <w:tcBorders/>
            <w:vAlign w:val="center"/>
          </w:tcPr>
          <w:p>
            <w:pPr>
              <w:pStyle w:val="Normal"/>
              <w:widowControl w:val="false"/>
              <w:suppressAutoHyphens w:val="true"/>
              <w:spacing w:before="60" w:after="0"/>
              <w:jc w:val="left"/>
              <w:rPr>
                <w:b/>
                <w:sz w:val="22"/>
                <w:szCs w:val="22"/>
              </w:rPr>
            </w:pPr>
            <w:r>
              <w:rPr>
                <w:rFonts w:eastAsia="Times New Roman" w:cs="Times New Roman"/>
                <w:b/>
                <w:kern w:val="0"/>
                <w:sz w:val="22"/>
                <w:szCs w:val="22"/>
                <w:lang w:val="ru-RU" w:eastAsia="ru-RU" w:bidi="ar-SA"/>
              </w:rPr>
              <w:t>Требования к гарантиям</w:t>
            </w:r>
          </w:p>
        </w:tc>
      </w:tr>
      <w:tr>
        <w:trPr/>
        <w:tc>
          <w:tcPr>
            <w:tcW w:w="553" w:type="dxa"/>
            <w:tcBorders/>
            <w:vAlign w:val="center"/>
          </w:tcPr>
          <w:p>
            <w:pPr>
              <w:pStyle w:val="ListParagraph"/>
              <w:widowControl w:val="false"/>
              <w:numPr>
                <w:ilvl w:val="1"/>
                <w:numId w:val="6"/>
              </w:numPr>
              <w:suppressAutoHyphens w:val="true"/>
              <w:spacing w:before="60" w:after="0"/>
              <w:ind w:left="-117" w:firstLine="142"/>
              <w:contextualSpacing/>
              <w:jc w:val="center"/>
              <w:rPr>
                <w:sz w:val="22"/>
                <w:szCs w:val="22"/>
              </w:rPr>
            </w:pPr>
            <w:r>
              <w:rPr>
                <w:sz w:val="22"/>
                <w:szCs w:val="22"/>
              </w:rPr>
            </w:r>
          </w:p>
        </w:tc>
        <w:tc>
          <w:tcPr>
            <w:tcW w:w="2731" w:type="dxa"/>
            <w:tcBorders/>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 xml:space="preserve">Срок гарантии на поставляемую </w:t>
            </w:r>
            <w:r>
              <w:rPr>
                <w:rFonts w:eastAsia="Times New Roman" w:cs="Times New Roman"/>
                <w:iCs/>
                <w:kern w:val="0"/>
                <w:sz w:val="22"/>
                <w:szCs w:val="22"/>
                <w:lang w:val="ru-RU" w:eastAsia="ru-RU" w:bidi="ar-SA"/>
              </w:rPr>
              <w:t>продукцию</w:t>
            </w:r>
          </w:p>
        </w:tc>
        <w:tc>
          <w:tcPr>
            <w:tcW w:w="5392" w:type="dxa"/>
            <w:tcBorders/>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 xml:space="preserve">Гарантийный срок должен соответствовать срокам, указанным в стандартах или технических условиях на кабели или провода конкретных марок, и он должен быть </w:t>
            </w:r>
            <w:r>
              <w:rPr>
                <w:rFonts w:eastAsia="Times New Roman" w:cs="Times New Roman"/>
                <w:b/>
                <w:kern w:val="0"/>
                <w:sz w:val="22"/>
                <w:szCs w:val="22"/>
                <w:lang w:val="ru-RU" w:eastAsia="ru-RU" w:bidi="ar-SA"/>
              </w:rPr>
              <w:t>не менее 36 месяцев</w:t>
            </w:r>
            <w:r>
              <w:rPr>
                <w:rFonts w:eastAsia="Times New Roman" w:cs="Times New Roman"/>
                <w:kern w:val="0"/>
                <w:sz w:val="22"/>
                <w:szCs w:val="22"/>
                <w:lang w:val="ru-RU" w:eastAsia="ru-RU" w:bidi="ar-SA"/>
              </w:rPr>
              <w:t xml:space="preserve"> с даты подписания накладной ТОРГ-12 или УПД</w:t>
            </w:r>
            <w:r>
              <w:rPr>
                <w:rFonts w:eastAsia="Times New Roman" w:cs="Times New Roman"/>
                <w:color w:val="000000"/>
                <w:kern w:val="0"/>
                <w:sz w:val="22"/>
                <w:szCs w:val="22"/>
                <w:lang w:val="ru-RU" w:eastAsia="ru-RU" w:bidi="ar-SA"/>
              </w:rPr>
              <w:t>.</w:t>
            </w:r>
          </w:p>
        </w:tc>
        <w:tc>
          <w:tcPr>
            <w:tcW w:w="1689" w:type="dxa"/>
            <w:tcBorders/>
            <w:vAlign w:val="center"/>
          </w:tcPr>
          <w:p>
            <w:pPr>
              <w:pStyle w:val="Normal"/>
              <w:widowControl w:val="false"/>
              <w:suppressAutoHyphens w:val="true"/>
              <w:spacing w:before="0" w:after="0"/>
              <w:jc w:val="center"/>
              <w:rPr>
                <w:i/>
                <w:i/>
                <w:iCs/>
                <w:color w:val="808080"/>
                <w:sz w:val="22"/>
                <w:szCs w:val="22"/>
              </w:rPr>
            </w:pPr>
            <w:r>
              <w:rPr>
                <w:i/>
                <w:iCs/>
                <w:color w:val="808080"/>
                <w:sz w:val="22"/>
                <w:szCs w:val="22"/>
              </w:rPr>
            </w:r>
          </w:p>
          <w:p>
            <w:pPr>
              <w:pStyle w:val="Normal"/>
              <w:widowControl w:val="false"/>
              <w:suppressAutoHyphens w:val="true"/>
              <w:spacing w:before="0" w:after="0"/>
              <w:jc w:val="center"/>
              <w:rPr>
                <w:color w:val="000000"/>
              </w:rPr>
            </w:pPr>
            <w:r>
              <w:rPr>
                <w:rFonts w:eastAsia="Times New Roman" w:cs="Times New Roman"/>
                <w:i/>
                <w:iCs/>
                <w:color w:val="000000"/>
                <w:kern w:val="0"/>
                <w:sz w:val="22"/>
                <w:szCs w:val="22"/>
                <w:lang w:val="ru-RU" w:eastAsia="ru-RU" w:bidi="ar-SA"/>
              </w:rPr>
              <w:t>Указать срок гарантии на предлагаемую продукцию</w:t>
            </w:r>
          </w:p>
        </w:tc>
        <w:tc>
          <w:tcPr>
            <w:tcW w:w="2706" w:type="dxa"/>
            <w:tcBorders/>
            <w:vAlign w:val="center"/>
          </w:tcPr>
          <w:p>
            <w:pPr>
              <w:pStyle w:val="Normal"/>
              <w:widowControl w:val="false"/>
              <w:tabs>
                <w:tab w:val="clear" w:pos="708"/>
                <w:tab w:val="left" w:pos="426" w:leader="none"/>
              </w:tabs>
              <w:suppressAutoHyphens w:val="true"/>
              <w:spacing w:before="40" w:after="0"/>
              <w:jc w:val="center"/>
              <w:rPr>
                <w:sz w:val="22"/>
                <w:szCs w:val="22"/>
              </w:rPr>
            </w:pPr>
            <w:r>
              <w:rPr>
                <w:rFonts w:eastAsia="Times New Roman" w:cs="Times New Roman"/>
                <w:b/>
                <w:kern w:val="0"/>
                <w:sz w:val="22"/>
                <w:szCs w:val="22"/>
                <w:lang w:val="ru-RU" w:eastAsia="ru-RU" w:bidi="ar-SA"/>
              </w:rPr>
              <w:t>-//-</w:t>
            </w:r>
          </w:p>
        </w:tc>
        <w:tc>
          <w:tcPr>
            <w:tcW w:w="1417" w:type="dxa"/>
            <w:tcBorders/>
          </w:tcPr>
          <w:p>
            <w:pPr>
              <w:pStyle w:val="Style27"/>
              <w:keepNext w:val="false"/>
              <w:widowControl w:val="false"/>
              <w:numPr>
                <w:ilvl w:val="0"/>
                <w:numId w:val="0"/>
              </w:numPr>
              <w:suppressAutoHyphens w:val="true"/>
              <w:spacing w:before="0" w:after="0"/>
              <w:ind w:left="0" w:hanging="0"/>
              <w:jc w:val="left"/>
              <w:outlineLvl w:val="2"/>
              <w:rPr>
                <w:rFonts w:eastAsia="Times New Roman"/>
                <w:b w:val="false"/>
                <w:sz w:val="22"/>
                <w:szCs w:val="22"/>
                <w:lang w:val="ru-RU" w:eastAsia="ru-RU"/>
              </w:rPr>
            </w:pPr>
            <w:r>
              <w:rPr>
                <w:rFonts w:eastAsia="Times New Roman" w:cs="Times New Roman"/>
                <w:b w:val="false"/>
                <w:kern w:val="0"/>
                <w:sz w:val="22"/>
                <w:szCs w:val="22"/>
                <w:lang w:val="ru-RU" w:eastAsia="ru-RU" w:bidi="ar-SA"/>
              </w:rPr>
            </w:r>
          </w:p>
        </w:tc>
      </w:tr>
      <w:tr>
        <w:trPr/>
        <w:tc>
          <w:tcPr>
            <w:tcW w:w="553" w:type="dxa"/>
            <w:tcBorders/>
          </w:tcPr>
          <w:p>
            <w:pPr>
              <w:pStyle w:val="Normal"/>
              <w:widowControl w:val="false"/>
              <w:suppressAutoHyphens w:val="true"/>
              <w:spacing w:before="60" w:after="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b/>
                <w:bCs/>
                <w:kern w:val="0"/>
                <w:sz w:val="22"/>
                <w:szCs w:val="22"/>
                <w:lang w:val="ru-RU" w:eastAsia="ru-RU" w:bidi="ar-SA"/>
              </w:rPr>
              <w:t>3.</w:t>
            </w:r>
          </w:p>
        </w:tc>
        <w:tc>
          <w:tcPr>
            <w:tcW w:w="13935" w:type="dxa"/>
            <w:gridSpan w:val="5"/>
            <w:tcBorders/>
          </w:tcPr>
          <w:p>
            <w:pPr>
              <w:pStyle w:val="Style27"/>
              <w:keepNext w:val="false"/>
              <w:widowControl w:val="false"/>
              <w:numPr>
                <w:ilvl w:val="0"/>
                <w:numId w:val="0"/>
              </w:numPr>
              <w:suppressAutoHyphens w:val="true"/>
              <w:spacing w:before="0" w:after="0"/>
              <w:ind w:left="0" w:hanging="0"/>
              <w:jc w:val="left"/>
              <w:outlineLvl w:val="2"/>
              <w:rPr>
                <w:rFonts w:eastAsia="Times New Roman"/>
                <w:b w:val="false"/>
                <w:sz w:val="22"/>
                <w:szCs w:val="22"/>
                <w:lang w:val="ru-RU" w:eastAsia="ru-RU"/>
              </w:rPr>
            </w:pPr>
            <w:r>
              <w:rPr>
                <w:rFonts w:eastAsia="Times New Roman" w:cs="Times New Roman"/>
                <w:kern w:val="0"/>
                <w:sz w:val="20"/>
                <w:szCs w:val="20"/>
                <w:lang w:val="ru-RU" w:eastAsia="ru-RU" w:bidi="ar-SA"/>
              </w:rPr>
              <w:t>Требования к новизне поставляемой продукции</w:t>
            </w:r>
          </w:p>
        </w:tc>
      </w:tr>
      <w:tr>
        <w:trPr/>
        <w:tc>
          <w:tcPr>
            <w:tcW w:w="553" w:type="dxa"/>
            <w:tcBorders/>
            <w:vAlign w:val="center"/>
          </w:tcPr>
          <w:p>
            <w:pPr>
              <w:pStyle w:val="Normal"/>
              <w:widowControl w:val="false"/>
              <w:suppressAutoHyphens w:val="true"/>
              <w:spacing w:before="60" w:after="0"/>
              <w:ind w:left="-76" w:hanging="142"/>
              <w:jc w:val="center"/>
              <w:rPr>
                <w:sz w:val="22"/>
                <w:szCs w:val="22"/>
              </w:rPr>
            </w:pPr>
            <w:r>
              <w:rPr>
                <w:rFonts w:eastAsia="Times New Roman" w:cs="Times New Roman"/>
                <w:kern w:val="0"/>
                <w:sz w:val="22"/>
                <w:szCs w:val="22"/>
                <w:lang w:val="ru-RU" w:eastAsia="ru-RU" w:bidi="ar-SA"/>
              </w:rPr>
              <w:t>3.1</w:t>
            </w:r>
          </w:p>
        </w:tc>
        <w:tc>
          <w:tcPr>
            <w:tcW w:w="2731" w:type="dxa"/>
            <w:tcBorders/>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Требования к году выпуска</w:t>
            </w:r>
          </w:p>
        </w:tc>
        <w:tc>
          <w:tcPr>
            <w:tcW w:w="5392" w:type="dxa"/>
            <w:tcBorders/>
            <w:vAlign w:val="center"/>
          </w:tcPr>
          <w:p>
            <w:pPr>
              <w:pStyle w:val="Normal"/>
              <w:widowControl w:val="false"/>
              <w:suppressAutoHyphens w:val="true"/>
              <w:spacing w:before="0" w:after="0"/>
              <w:jc w:val="left"/>
              <w:rPr>
                <w:sz w:val="22"/>
                <w:szCs w:val="22"/>
              </w:rPr>
            </w:pPr>
            <w:r>
              <w:rPr>
                <w:rFonts w:eastAsia="Calibri" w:cs="Times New Roman"/>
                <w:kern w:val="0"/>
                <w:sz w:val="22"/>
                <w:szCs w:val="22"/>
                <w:lang w:val="ru-RU" w:eastAsia="en-US" w:bidi="ar-SA"/>
              </w:rPr>
              <w:t>Продукция должна быть новой и ранее неиспользованной,</w:t>
            </w:r>
            <w:r>
              <w:rPr>
                <w:rFonts w:eastAsia="Times New Roman" w:cs="Times New Roman"/>
                <w:kern w:val="0"/>
                <w:sz w:val="22"/>
                <w:szCs w:val="22"/>
                <w:lang w:val="ru-RU" w:eastAsia="ru-RU" w:bidi="ar-SA"/>
              </w:rPr>
              <w:t xml:space="preserve"> изготовлена не ранее 4 квартала 2026 г. </w:t>
            </w:r>
            <w:r>
              <w:rPr>
                <w:rFonts w:eastAsia="Calibri" w:cs="Times New Roman"/>
                <w:kern w:val="0"/>
                <w:sz w:val="22"/>
                <w:szCs w:val="22"/>
                <w:lang w:val="ru-RU" w:eastAsia="en-US" w:bidi="ar-SA"/>
              </w:rPr>
              <w:t>Под новой следует понимать продукцию, которая не была в употреблении, не проходила ремонт, в том числе восстановление, замену составных частей, восстановление потребительских свойств.</w:t>
            </w:r>
          </w:p>
        </w:tc>
        <w:tc>
          <w:tcPr>
            <w:tcW w:w="1689" w:type="dxa"/>
            <w:tcBorders/>
            <w:vAlign w:val="center"/>
          </w:tcPr>
          <w:p>
            <w:pPr>
              <w:pStyle w:val="Normal"/>
              <w:widowControl w:val="false"/>
              <w:suppressAutoHyphens w:val="true"/>
              <w:spacing w:before="0" w:after="0"/>
              <w:jc w:val="center"/>
              <w:rPr>
                <w:i/>
                <w:i/>
                <w:iCs/>
                <w:color w:val="808080"/>
                <w:sz w:val="22"/>
                <w:szCs w:val="22"/>
              </w:rPr>
            </w:pPr>
            <w:r>
              <w:rPr>
                <w:rFonts w:eastAsia="Times New Roman" w:cs="Times New Roman"/>
                <w:i/>
                <w:iCs/>
                <w:kern w:val="0"/>
                <w:sz w:val="22"/>
                <w:szCs w:val="22"/>
                <w:lang w:val="ru-RU" w:eastAsia="ru-RU" w:bidi="ar-SA"/>
              </w:rPr>
              <w:t>Согласие с требованием</w:t>
            </w:r>
          </w:p>
        </w:tc>
        <w:tc>
          <w:tcPr>
            <w:tcW w:w="2706" w:type="dxa"/>
            <w:tcBorders/>
            <w:vAlign w:val="center"/>
          </w:tcPr>
          <w:p>
            <w:pPr>
              <w:pStyle w:val="Normal"/>
              <w:widowControl w:val="false"/>
              <w:tabs>
                <w:tab w:val="clear" w:pos="708"/>
                <w:tab w:val="left" w:pos="426" w:leader="none"/>
              </w:tabs>
              <w:suppressAutoHyphens w:val="true"/>
              <w:spacing w:before="40" w:after="0"/>
              <w:jc w:val="center"/>
              <w:rPr>
                <w:sz w:val="22"/>
                <w:szCs w:val="22"/>
              </w:rPr>
            </w:pPr>
            <w:r>
              <w:rPr>
                <w:rFonts w:eastAsia="Times New Roman" w:cs="Times New Roman"/>
                <w:kern w:val="0"/>
                <w:sz w:val="22"/>
                <w:szCs w:val="22"/>
                <w:lang w:val="ru-RU" w:eastAsia="ru-RU" w:bidi="ar-SA"/>
              </w:rPr>
              <w:t>-//-</w:t>
            </w:r>
          </w:p>
        </w:tc>
        <w:tc>
          <w:tcPr>
            <w:tcW w:w="1417" w:type="dxa"/>
            <w:tcBorders/>
          </w:tcPr>
          <w:p>
            <w:pPr>
              <w:pStyle w:val="Style27"/>
              <w:keepNext w:val="false"/>
              <w:widowControl w:val="false"/>
              <w:numPr>
                <w:ilvl w:val="0"/>
                <w:numId w:val="0"/>
              </w:numPr>
              <w:suppressAutoHyphens w:val="true"/>
              <w:spacing w:before="0" w:after="0"/>
              <w:ind w:left="0" w:hanging="0"/>
              <w:jc w:val="left"/>
              <w:outlineLvl w:val="2"/>
              <w:rPr>
                <w:rFonts w:eastAsia="Times New Roman"/>
                <w:b w:val="false"/>
                <w:sz w:val="22"/>
                <w:szCs w:val="22"/>
                <w:lang w:val="ru-RU" w:eastAsia="ru-RU"/>
              </w:rPr>
            </w:pPr>
            <w:r>
              <w:rPr>
                <w:rFonts w:eastAsia="Times New Roman" w:cs="Times New Roman"/>
                <w:b w:val="false"/>
                <w:kern w:val="0"/>
                <w:sz w:val="22"/>
                <w:szCs w:val="22"/>
                <w:lang w:val="ru-RU" w:eastAsia="ru-RU" w:bidi="ar-SA"/>
              </w:rPr>
            </w:r>
          </w:p>
        </w:tc>
      </w:tr>
      <w:tr>
        <w:trPr/>
        <w:tc>
          <w:tcPr>
            <w:tcW w:w="553" w:type="dxa"/>
            <w:tcBorders>
              <w:top w:val="nil"/>
            </w:tcBorders>
            <w:vAlign w:val="center"/>
          </w:tcPr>
          <w:p>
            <w:pPr>
              <w:pStyle w:val="Normal"/>
              <w:widowControl w:val="false"/>
              <w:suppressAutoHyphens w:val="true"/>
              <w:spacing w:before="60" w:after="0"/>
              <w:ind w:left="-76" w:hanging="142"/>
              <w:jc w:val="center"/>
              <w:rPr>
                <w:b/>
                <w:bCs/>
                <w:sz w:val="22"/>
                <w:szCs w:val="22"/>
              </w:rPr>
            </w:pPr>
            <w:r>
              <w:rPr>
                <w:b/>
                <w:bCs/>
                <w:sz w:val="22"/>
                <w:szCs w:val="22"/>
              </w:rPr>
              <w:t>4.</w:t>
            </w:r>
          </w:p>
        </w:tc>
        <w:tc>
          <w:tcPr>
            <w:tcW w:w="13935" w:type="dxa"/>
            <w:gridSpan w:val="5"/>
            <w:tcBorders>
              <w:top w:val="nil"/>
            </w:tcBorders>
          </w:tcPr>
          <w:p>
            <w:pPr>
              <w:pStyle w:val="Normal"/>
              <w:widowControl w:val="false"/>
              <w:suppressAutoHyphens w:val="true"/>
              <w:ind w:right="-142" w:hanging="0"/>
              <w:jc w:val="left"/>
              <w:rPr>
                <w:rFonts w:ascii="Liberation Serif" w:hAnsi="Liberation Serif"/>
                <w:sz w:val="21"/>
                <w:szCs w:val="21"/>
              </w:rPr>
            </w:pPr>
            <w:r>
              <w:rPr>
                <w:rFonts w:ascii="Liberation Serif" w:hAnsi="Liberation Serif"/>
                <w:b/>
                <w:sz w:val="21"/>
                <w:szCs w:val="21"/>
              </w:rPr>
              <w:t>Требования к эквивалентной продукции</w:t>
            </w:r>
          </w:p>
        </w:tc>
      </w:tr>
      <w:tr>
        <w:trPr/>
        <w:tc>
          <w:tcPr>
            <w:tcW w:w="553" w:type="dxa"/>
            <w:tcBorders>
              <w:top w:val="nil"/>
            </w:tcBorders>
            <w:vAlign w:val="center"/>
          </w:tcPr>
          <w:p>
            <w:pPr>
              <w:pStyle w:val="Normal"/>
              <w:widowControl w:val="false"/>
              <w:suppressAutoHyphens w:val="true"/>
              <w:spacing w:before="60" w:after="0"/>
              <w:ind w:left="-76" w:hanging="142"/>
              <w:jc w:val="center"/>
              <w:rPr>
                <w:sz w:val="22"/>
                <w:szCs w:val="22"/>
              </w:rPr>
            </w:pPr>
            <w:r>
              <w:rPr>
                <w:sz w:val="22"/>
                <w:szCs w:val="22"/>
              </w:rPr>
              <w:t>4.1.</w:t>
            </w:r>
          </w:p>
        </w:tc>
        <w:tc>
          <w:tcPr>
            <w:tcW w:w="8123" w:type="dxa"/>
            <w:gridSpan w:val="2"/>
            <w:tcBorders>
              <w:top w:val="nil"/>
            </w:tcBorders>
          </w:tcPr>
          <w:p>
            <w:pPr>
              <w:pStyle w:val="FootnoteText"/>
              <w:widowControl w:val="false"/>
              <w:tabs>
                <w:tab w:val="clear" w:pos="708"/>
                <w:tab w:val="left" w:pos="735" w:leader="none"/>
              </w:tabs>
              <w:suppressAutoHyphens w:val="true"/>
              <w:bidi w:val="0"/>
              <w:spacing w:before="0" w:after="0"/>
              <w:ind w:left="113" w:right="0" w:hanging="0"/>
              <w:jc w:val="both"/>
              <w:rPr>
                <w:sz w:val="22"/>
                <w:szCs w:val="22"/>
              </w:rPr>
            </w:pPr>
            <w:r>
              <w:rPr>
                <w:iCs/>
                <w:color w:val="000000"/>
                <w:sz w:val="22"/>
                <w:szCs w:val="22"/>
              </w:rPr>
              <w:t>Указанные в Таблице № 1 настоящих технических требований ссылки на марку (тип) продукции носят описательный, а не обязательный характер.</w:t>
            </w:r>
          </w:p>
          <w:p>
            <w:pPr>
              <w:pStyle w:val="Normal"/>
              <w:widowControl w:val="false"/>
              <w:suppressAutoHyphens w:val="true"/>
              <w:bidi w:val="0"/>
              <w:spacing w:before="0" w:after="0"/>
              <w:ind w:left="113" w:right="0" w:firstLine="454"/>
              <w:jc w:val="left"/>
              <w:rPr>
                <w:rFonts w:ascii="Times New Roman" w:hAnsi="Times New Roman" w:cs="Liberation Serif;Times New Roman"/>
                <w:bCs/>
                <w:i/>
                <w:i/>
                <w:iCs/>
              </w:rPr>
            </w:pPr>
            <w:r>
              <w:rPr>
                <w:rFonts w:cs="Liberation Serif;Times New Roman"/>
                <w:bCs/>
                <w:i/>
                <w:iCs/>
              </w:rPr>
            </w:r>
          </w:p>
          <w:p>
            <w:pPr>
              <w:pStyle w:val="Normal"/>
              <w:widowControl w:val="false"/>
              <w:suppressAutoHyphens w:val="true"/>
              <w:bidi w:val="0"/>
              <w:spacing w:before="0" w:after="0"/>
              <w:ind w:left="113" w:right="0" w:firstLine="454"/>
              <w:jc w:val="both"/>
              <w:rPr>
                <w:rFonts w:ascii="Times New Roman" w:hAnsi="Times New Roman" w:cs="Liberation Serif;Times New Roman"/>
                <w:bCs/>
                <w:i/>
                <w:i/>
                <w:iCs/>
              </w:rPr>
            </w:pPr>
            <w:r>
              <w:rPr>
                <w:rFonts w:cs="Liberation Serif;Times New Roman"/>
                <w:bCs/>
                <w:i/>
                <w:iCs/>
              </w:rPr>
            </w:r>
          </w:p>
        </w:tc>
        <w:tc>
          <w:tcPr>
            <w:tcW w:w="1689" w:type="dxa"/>
            <w:tcBorders>
              <w:top w:val="nil"/>
            </w:tcBorders>
            <w:vAlign w:val="center"/>
          </w:tcPr>
          <w:p>
            <w:pPr>
              <w:pStyle w:val="Normal"/>
              <w:widowControl w:val="false"/>
              <w:tabs>
                <w:tab w:val="clear" w:pos="708"/>
                <w:tab w:val="left" w:pos="426" w:leader="none"/>
              </w:tabs>
              <w:suppressAutoHyphens w:val="true"/>
              <w:spacing w:before="40" w:after="0"/>
              <w:jc w:val="center"/>
              <w:rPr>
                <w:sz w:val="22"/>
                <w:szCs w:val="22"/>
              </w:rPr>
            </w:pPr>
            <w:r>
              <w:rPr>
                <w:rFonts w:eastAsia="Times New Roman" w:cs="Times New Roman"/>
                <w:kern w:val="0"/>
                <w:sz w:val="22"/>
                <w:szCs w:val="22"/>
                <w:lang w:val="ru-RU" w:eastAsia="ru-RU" w:bidi="ar-SA"/>
              </w:rPr>
              <w:t>Согласие с требованием</w:t>
            </w:r>
          </w:p>
        </w:tc>
        <w:tc>
          <w:tcPr>
            <w:tcW w:w="2706" w:type="dxa"/>
            <w:tcBorders>
              <w:top w:val="nil"/>
            </w:tcBorders>
            <w:vAlign w:val="center"/>
          </w:tcPr>
          <w:p>
            <w:pPr>
              <w:pStyle w:val="Normal"/>
              <w:widowControl w:val="false"/>
              <w:suppressAutoHyphens w:val="true"/>
              <w:jc w:val="center"/>
              <w:rPr>
                <w:color w:val="000000"/>
                <w:sz w:val="22"/>
                <w:szCs w:val="22"/>
              </w:rPr>
            </w:pPr>
            <w:r>
              <w:rPr>
                <w:rFonts w:cs="Liberation Serif;Times New Roman"/>
                <w:bCs/>
                <w:i/>
                <w:iCs/>
                <w:color w:val="000000"/>
                <w:sz w:val="22"/>
                <w:szCs w:val="22"/>
              </w:rPr>
              <w:t>-//-</w:t>
            </w:r>
          </w:p>
        </w:tc>
        <w:tc>
          <w:tcPr>
            <w:tcW w:w="1417" w:type="dxa"/>
            <w:tcBorders>
              <w:top w:val="nil"/>
            </w:tcBorders>
          </w:tcPr>
          <w:p>
            <w:pPr>
              <w:pStyle w:val="Style27"/>
              <w:keepNext w:val="false"/>
              <w:widowControl w:val="false"/>
              <w:numPr>
                <w:ilvl w:val="0"/>
                <w:numId w:val="0"/>
              </w:numPr>
              <w:suppressAutoHyphens w:val="true"/>
              <w:spacing w:before="0" w:after="0"/>
              <w:ind w:left="0" w:hanging="0"/>
              <w:jc w:val="left"/>
              <w:outlineLvl w:val="2"/>
              <w:rPr>
                <w:rFonts w:eastAsia="Times New Roman"/>
                <w:b w:val="false"/>
                <w:sz w:val="22"/>
                <w:szCs w:val="22"/>
                <w:lang w:val="ru-RU" w:eastAsia="ru-RU"/>
              </w:rPr>
            </w:pPr>
            <w:r>
              <w:rPr>
                <w:rFonts w:eastAsia="Times New Roman" w:cs="Times New Roman"/>
                <w:b w:val="false"/>
                <w:kern w:val="0"/>
                <w:sz w:val="22"/>
                <w:szCs w:val="22"/>
                <w:lang w:val="ru-RU" w:eastAsia="ru-RU" w:bidi="ar-SA"/>
              </w:rPr>
            </w:r>
          </w:p>
        </w:tc>
      </w:tr>
      <w:tr>
        <w:trPr/>
        <w:tc>
          <w:tcPr>
            <w:tcW w:w="553" w:type="dxa"/>
            <w:tcBorders>
              <w:top w:val="nil"/>
            </w:tcBorders>
            <w:vAlign w:val="center"/>
          </w:tcPr>
          <w:p>
            <w:pPr>
              <w:pStyle w:val="Normal"/>
              <w:widowControl w:val="false"/>
              <w:suppressAutoHyphens w:val="true"/>
              <w:spacing w:before="60" w:after="0"/>
              <w:ind w:left="-76" w:hanging="142"/>
              <w:jc w:val="center"/>
              <w:rPr>
                <w:sz w:val="22"/>
                <w:szCs w:val="22"/>
              </w:rPr>
            </w:pPr>
            <w:r>
              <w:rPr>
                <w:sz w:val="22"/>
                <w:szCs w:val="22"/>
              </w:rPr>
              <w:t>4.2.</w:t>
            </w:r>
          </w:p>
        </w:tc>
        <w:tc>
          <w:tcPr>
            <w:tcW w:w="8123" w:type="dxa"/>
            <w:gridSpan w:val="2"/>
            <w:tcBorders>
              <w:top w:val="nil"/>
            </w:tcBorders>
          </w:tcPr>
          <w:p>
            <w:pPr>
              <w:pStyle w:val="FootnoteText"/>
              <w:widowControl w:val="false"/>
              <w:jc w:val="both"/>
              <w:rPr>
                <w:sz w:val="22"/>
                <w:szCs w:val="22"/>
              </w:rPr>
            </w:pPr>
            <w:r>
              <w:rPr>
                <w:iCs/>
                <w:color w:val="000000"/>
                <w:sz w:val="22"/>
                <w:szCs w:val="22"/>
              </w:rPr>
              <w:t xml:space="preserve">Эквивалентная продукция – это продукция, которая по техническим и функциональным характеристикам не уступает характеристикам, заявленным в </w:t>
            </w:r>
            <w:r>
              <w:rPr>
                <w:bCs/>
                <w:iCs/>
                <w:color w:val="000000"/>
                <w:sz w:val="22"/>
                <w:szCs w:val="22"/>
              </w:rPr>
              <w:t>Таблице № 1</w:t>
            </w:r>
            <w:r>
              <w:rPr>
                <w:iCs/>
                <w:color w:val="000000"/>
                <w:sz w:val="22"/>
                <w:szCs w:val="22"/>
              </w:rPr>
              <w:t>, в том числе, по гарантийным срокам и срокам эксплуатации.</w:t>
            </w:r>
          </w:p>
        </w:tc>
        <w:tc>
          <w:tcPr>
            <w:tcW w:w="1689" w:type="dxa"/>
            <w:tcBorders>
              <w:top w:val="nil"/>
            </w:tcBorders>
            <w:vAlign w:val="center"/>
          </w:tcPr>
          <w:p>
            <w:pPr>
              <w:pStyle w:val="Normal"/>
              <w:widowControl w:val="false"/>
              <w:tabs>
                <w:tab w:val="clear" w:pos="708"/>
                <w:tab w:val="left" w:pos="426" w:leader="none"/>
              </w:tabs>
              <w:suppressAutoHyphens w:val="true"/>
              <w:spacing w:before="40" w:after="0"/>
              <w:jc w:val="center"/>
              <w:rPr>
                <w:sz w:val="22"/>
                <w:szCs w:val="22"/>
              </w:rPr>
            </w:pPr>
            <w:r>
              <w:rPr>
                <w:rFonts w:eastAsia="Times New Roman" w:cs="Times New Roman"/>
                <w:kern w:val="0"/>
                <w:sz w:val="22"/>
                <w:szCs w:val="22"/>
                <w:lang w:val="ru-RU" w:eastAsia="ru-RU" w:bidi="ar-SA"/>
              </w:rPr>
              <w:t>Согласие с требованием</w:t>
            </w:r>
          </w:p>
        </w:tc>
        <w:tc>
          <w:tcPr>
            <w:tcW w:w="2706" w:type="dxa"/>
            <w:tcBorders>
              <w:top w:val="nil"/>
            </w:tcBorders>
            <w:vAlign w:val="center"/>
          </w:tcPr>
          <w:p>
            <w:pPr>
              <w:pStyle w:val="Normal"/>
              <w:widowControl w:val="false"/>
              <w:suppressAutoHyphens w:val="true"/>
              <w:jc w:val="center"/>
              <w:rPr>
                <w:color w:val="000000"/>
                <w:sz w:val="22"/>
                <w:szCs w:val="22"/>
              </w:rPr>
            </w:pPr>
            <w:r>
              <w:rPr>
                <w:rFonts w:cs="Liberation Serif;Times New Roman"/>
                <w:bCs/>
                <w:i/>
                <w:iCs/>
                <w:color w:val="000000"/>
                <w:sz w:val="22"/>
                <w:szCs w:val="22"/>
              </w:rPr>
              <w:t>-//-</w:t>
            </w:r>
          </w:p>
        </w:tc>
        <w:tc>
          <w:tcPr>
            <w:tcW w:w="1417" w:type="dxa"/>
            <w:tcBorders>
              <w:top w:val="nil"/>
            </w:tcBorders>
          </w:tcPr>
          <w:p>
            <w:pPr>
              <w:pStyle w:val="Style27"/>
              <w:keepNext w:val="false"/>
              <w:widowControl w:val="false"/>
              <w:numPr>
                <w:ilvl w:val="0"/>
                <w:numId w:val="0"/>
              </w:numPr>
              <w:suppressAutoHyphens w:val="true"/>
              <w:spacing w:before="0" w:after="0"/>
              <w:ind w:left="0" w:hanging="0"/>
              <w:jc w:val="left"/>
              <w:outlineLvl w:val="2"/>
              <w:rPr>
                <w:rFonts w:eastAsia="Times New Roman"/>
                <w:b w:val="false"/>
                <w:sz w:val="22"/>
                <w:szCs w:val="22"/>
                <w:lang w:val="ru-RU" w:eastAsia="ru-RU"/>
              </w:rPr>
            </w:pPr>
            <w:r>
              <w:rPr>
                <w:rFonts w:eastAsia="Times New Roman" w:cs="Times New Roman"/>
                <w:b w:val="false"/>
                <w:kern w:val="0"/>
                <w:sz w:val="22"/>
                <w:szCs w:val="22"/>
                <w:lang w:val="ru-RU" w:eastAsia="ru-RU" w:bidi="ar-SA"/>
              </w:rPr>
            </w:r>
          </w:p>
        </w:tc>
      </w:tr>
      <w:tr>
        <w:trPr/>
        <w:tc>
          <w:tcPr>
            <w:tcW w:w="553" w:type="dxa"/>
            <w:tcBorders>
              <w:top w:val="nil"/>
            </w:tcBorders>
            <w:vAlign w:val="center"/>
          </w:tcPr>
          <w:p>
            <w:pPr>
              <w:pStyle w:val="Normal"/>
              <w:widowControl w:val="false"/>
              <w:suppressAutoHyphens w:val="true"/>
              <w:spacing w:before="60" w:after="0"/>
              <w:ind w:left="-76" w:hanging="142"/>
              <w:jc w:val="center"/>
              <w:rPr>
                <w:sz w:val="22"/>
                <w:szCs w:val="22"/>
              </w:rPr>
            </w:pPr>
            <w:r>
              <w:rPr>
                <w:sz w:val="22"/>
                <w:szCs w:val="22"/>
              </w:rPr>
              <w:t>4.3.</w:t>
            </w:r>
          </w:p>
        </w:tc>
        <w:tc>
          <w:tcPr>
            <w:tcW w:w="8123" w:type="dxa"/>
            <w:gridSpan w:val="2"/>
            <w:tcBorders>
              <w:top w:val="nil"/>
            </w:tcBorders>
          </w:tcPr>
          <w:p>
            <w:pPr>
              <w:pStyle w:val="FootnoteText"/>
              <w:widowControl w:val="false"/>
              <w:jc w:val="both"/>
              <w:rPr>
                <w:sz w:val="22"/>
                <w:szCs w:val="22"/>
              </w:rPr>
            </w:pPr>
            <w:r>
              <w:rPr>
                <w:bCs/>
                <w:sz w:val="22"/>
                <w:szCs w:val="22"/>
              </w:rPr>
              <w:t>Параметрами эквивалентности являются технические характеристики продукции, указанные в Таблице № 1 настоящих технических требований.</w:t>
            </w:r>
          </w:p>
        </w:tc>
        <w:tc>
          <w:tcPr>
            <w:tcW w:w="1689" w:type="dxa"/>
            <w:tcBorders>
              <w:top w:val="nil"/>
            </w:tcBorders>
            <w:vAlign w:val="center"/>
          </w:tcPr>
          <w:p>
            <w:pPr>
              <w:pStyle w:val="Normal"/>
              <w:widowControl w:val="false"/>
              <w:tabs>
                <w:tab w:val="clear" w:pos="708"/>
                <w:tab w:val="left" w:pos="426" w:leader="none"/>
              </w:tabs>
              <w:suppressAutoHyphens w:val="true"/>
              <w:spacing w:before="40" w:after="0"/>
              <w:jc w:val="center"/>
              <w:rPr>
                <w:sz w:val="22"/>
                <w:szCs w:val="22"/>
              </w:rPr>
            </w:pPr>
            <w:r>
              <w:rPr>
                <w:rFonts w:eastAsia="Times New Roman" w:cs="Times New Roman"/>
                <w:kern w:val="0"/>
                <w:sz w:val="22"/>
                <w:szCs w:val="22"/>
                <w:lang w:val="ru-RU" w:eastAsia="ru-RU" w:bidi="ar-SA"/>
              </w:rPr>
              <w:t>Согласие с требованием</w:t>
            </w:r>
          </w:p>
        </w:tc>
        <w:tc>
          <w:tcPr>
            <w:tcW w:w="2706" w:type="dxa"/>
            <w:tcBorders>
              <w:top w:val="nil"/>
            </w:tcBorders>
            <w:vAlign w:val="center"/>
          </w:tcPr>
          <w:p>
            <w:pPr>
              <w:pStyle w:val="Normal"/>
              <w:widowControl w:val="false"/>
              <w:suppressAutoHyphens w:val="true"/>
              <w:jc w:val="center"/>
              <w:rPr>
                <w:color w:val="000000"/>
                <w:sz w:val="22"/>
                <w:szCs w:val="22"/>
              </w:rPr>
            </w:pPr>
            <w:r>
              <w:rPr>
                <w:rFonts w:cs="Liberation Serif;Times New Roman"/>
                <w:bCs/>
                <w:i/>
                <w:iCs/>
                <w:color w:val="000000"/>
                <w:sz w:val="22"/>
                <w:szCs w:val="22"/>
              </w:rPr>
              <w:t>-//-</w:t>
            </w:r>
          </w:p>
        </w:tc>
        <w:tc>
          <w:tcPr>
            <w:tcW w:w="1417" w:type="dxa"/>
            <w:tcBorders>
              <w:top w:val="nil"/>
            </w:tcBorders>
          </w:tcPr>
          <w:p>
            <w:pPr>
              <w:pStyle w:val="Style27"/>
              <w:keepNext w:val="false"/>
              <w:widowControl w:val="false"/>
              <w:numPr>
                <w:ilvl w:val="0"/>
                <w:numId w:val="0"/>
              </w:numPr>
              <w:suppressAutoHyphens w:val="true"/>
              <w:spacing w:before="0" w:after="0"/>
              <w:ind w:left="0" w:hanging="0"/>
              <w:jc w:val="left"/>
              <w:outlineLvl w:val="2"/>
              <w:rPr>
                <w:rFonts w:eastAsia="Times New Roman"/>
                <w:b w:val="false"/>
                <w:sz w:val="22"/>
                <w:szCs w:val="22"/>
                <w:lang w:val="ru-RU" w:eastAsia="ru-RU"/>
              </w:rPr>
            </w:pPr>
            <w:r>
              <w:rPr>
                <w:rFonts w:eastAsia="Times New Roman" w:cs="Times New Roman"/>
                <w:b w:val="false"/>
                <w:kern w:val="0"/>
                <w:sz w:val="22"/>
                <w:szCs w:val="22"/>
                <w:lang w:val="ru-RU" w:eastAsia="ru-RU" w:bidi="ar-SA"/>
              </w:rPr>
            </w:r>
          </w:p>
        </w:tc>
      </w:tr>
      <w:tr>
        <w:trPr/>
        <w:tc>
          <w:tcPr>
            <w:tcW w:w="553" w:type="dxa"/>
            <w:tcBorders>
              <w:top w:val="nil"/>
            </w:tcBorders>
            <w:vAlign w:val="center"/>
          </w:tcPr>
          <w:p>
            <w:pPr>
              <w:pStyle w:val="Normal"/>
              <w:widowControl w:val="false"/>
              <w:suppressAutoHyphens w:val="true"/>
              <w:spacing w:before="60" w:after="0"/>
              <w:ind w:left="-76" w:hanging="142"/>
              <w:jc w:val="center"/>
              <w:rPr>
                <w:sz w:val="22"/>
                <w:szCs w:val="22"/>
              </w:rPr>
            </w:pPr>
            <w:r>
              <w:rPr>
                <w:sz w:val="22"/>
                <w:szCs w:val="22"/>
              </w:rPr>
              <w:t>4.4</w:t>
            </w:r>
          </w:p>
        </w:tc>
        <w:tc>
          <w:tcPr>
            <w:tcW w:w="8123" w:type="dxa"/>
            <w:gridSpan w:val="2"/>
            <w:tcBorders>
              <w:top w:val="nil"/>
            </w:tcBorders>
          </w:tcPr>
          <w:p>
            <w:pPr>
              <w:pStyle w:val="FootnoteText"/>
              <w:widowControl w:val="false"/>
              <w:suppressAutoHyphens w:val="true"/>
              <w:bidi w:val="0"/>
              <w:spacing w:before="0" w:after="0"/>
              <w:ind w:left="113" w:right="0" w:firstLine="454"/>
              <w:jc w:val="both"/>
              <w:rPr>
                <w:iCs/>
                <w:color w:val="000000"/>
                <w:sz w:val="22"/>
                <w:szCs w:val="22"/>
              </w:rPr>
            </w:pPr>
            <w:r>
              <w:rPr>
                <w:iCs/>
                <w:color w:val="000000"/>
                <w:sz w:val="22"/>
                <w:szCs w:val="22"/>
              </w:rPr>
              <w:t>В случае, если Участником предлагается эквивалентная продукция требуемой Заказчику продукции, он должен в обязательном порядке в составе своего предложения предоставить подробное техническое описание предлагаемого к поставке эквивалента</w:t>
            </w:r>
          </w:p>
          <w:p>
            <w:pPr>
              <w:pStyle w:val="FootnoteText"/>
              <w:widowControl w:val="false"/>
              <w:suppressAutoHyphens w:val="true"/>
              <w:bidi w:val="0"/>
              <w:spacing w:before="0" w:after="0"/>
              <w:ind w:left="113" w:right="0" w:firstLine="624"/>
              <w:jc w:val="both"/>
              <w:rPr>
                <w:iCs/>
                <w:color w:val="000000"/>
                <w:sz w:val="22"/>
                <w:szCs w:val="22"/>
              </w:rPr>
            </w:pPr>
            <w:r>
              <w:rPr>
                <w:iCs/>
                <w:color w:val="000000"/>
                <w:sz w:val="22"/>
                <w:szCs w:val="22"/>
              </w:rPr>
              <w:t>Предложение Участника должно содержать подробную техническую информацию в объеме, соответствующем техническим параметрам, указанным Заказчиком в Таблице № 1. технических требований.</w:t>
            </w:r>
          </w:p>
        </w:tc>
        <w:tc>
          <w:tcPr>
            <w:tcW w:w="1689" w:type="dxa"/>
            <w:tcBorders>
              <w:top w:val="nil"/>
            </w:tcBorders>
            <w:vAlign w:val="center"/>
          </w:tcPr>
          <w:p>
            <w:pPr>
              <w:pStyle w:val="Normal"/>
              <w:widowControl w:val="false"/>
              <w:tabs>
                <w:tab w:val="clear" w:pos="708"/>
                <w:tab w:val="left" w:pos="426" w:leader="none"/>
              </w:tabs>
              <w:suppressAutoHyphens w:val="true"/>
              <w:spacing w:before="40" w:after="0"/>
              <w:jc w:val="center"/>
              <w:rPr>
                <w:color w:val="000000"/>
                <w:sz w:val="22"/>
                <w:szCs w:val="22"/>
              </w:rPr>
            </w:pPr>
            <w:r>
              <w:rPr>
                <w:color w:val="000000"/>
                <w:sz w:val="22"/>
                <w:szCs w:val="22"/>
              </w:rPr>
              <w:t>-//-</w:t>
            </w:r>
          </w:p>
        </w:tc>
        <w:tc>
          <w:tcPr>
            <w:tcW w:w="2706" w:type="dxa"/>
            <w:tcBorders>
              <w:top w:val="nil"/>
            </w:tcBorders>
            <w:vAlign w:val="center"/>
          </w:tcPr>
          <w:p>
            <w:pPr>
              <w:pStyle w:val="Normal"/>
              <w:widowControl w:val="false"/>
              <w:suppressAutoHyphens w:val="true"/>
              <w:jc w:val="center"/>
              <w:rPr>
                <w:rFonts w:ascii="Times New Roman" w:hAnsi="Times New Roman"/>
                <w:i/>
                <w:i/>
                <w:iCs/>
                <w:color w:val="000000"/>
                <w:sz w:val="22"/>
                <w:szCs w:val="22"/>
              </w:rPr>
            </w:pPr>
            <w:r>
              <w:rPr>
                <w:i/>
                <w:iCs/>
                <w:color w:val="000000"/>
                <w:sz w:val="22"/>
                <w:szCs w:val="22"/>
              </w:rPr>
              <w:t>Предоставить подробное техническое описание предлагаемого к поставке эквивалента</w:t>
            </w:r>
          </w:p>
        </w:tc>
        <w:tc>
          <w:tcPr>
            <w:tcW w:w="1417" w:type="dxa"/>
            <w:tcBorders>
              <w:top w:val="nil"/>
            </w:tcBorders>
          </w:tcPr>
          <w:p>
            <w:pPr>
              <w:pStyle w:val="Style27"/>
              <w:keepNext w:val="false"/>
              <w:widowControl w:val="false"/>
              <w:numPr>
                <w:ilvl w:val="0"/>
                <w:numId w:val="0"/>
              </w:numPr>
              <w:suppressAutoHyphens w:val="true"/>
              <w:spacing w:before="0" w:after="0"/>
              <w:ind w:left="0" w:hanging="0"/>
              <w:jc w:val="left"/>
              <w:outlineLvl w:val="2"/>
              <w:rPr>
                <w:rFonts w:eastAsia="Times New Roman"/>
                <w:b w:val="false"/>
                <w:sz w:val="22"/>
                <w:szCs w:val="22"/>
                <w:lang w:val="ru-RU" w:eastAsia="ru-RU"/>
              </w:rPr>
            </w:pPr>
            <w:r>
              <w:rPr>
                <w:rFonts w:eastAsia="Times New Roman" w:cs="Times New Roman"/>
                <w:b w:val="false"/>
                <w:kern w:val="0"/>
                <w:sz w:val="22"/>
                <w:szCs w:val="22"/>
                <w:lang w:val="ru-RU" w:eastAsia="ru-RU" w:bidi="ar-SA"/>
              </w:rPr>
            </w:r>
          </w:p>
        </w:tc>
      </w:tr>
      <w:tr>
        <w:trPr/>
        <w:tc>
          <w:tcPr>
            <w:tcW w:w="553" w:type="dxa"/>
            <w:tcBorders/>
            <w:vAlign w:val="center"/>
          </w:tcPr>
          <w:p>
            <w:pPr>
              <w:pStyle w:val="Normal"/>
              <w:widowControl w:val="false"/>
              <w:suppressAutoHyphens w:val="true"/>
              <w:spacing w:before="60" w:after="0"/>
              <w:jc w:val="left"/>
              <w:rPr>
                <w:sz w:val="22"/>
                <w:szCs w:val="22"/>
              </w:rPr>
            </w:pPr>
            <w:r>
              <w:rPr>
                <w:rFonts w:eastAsia="Times New Roman" w:cs="Times New Roman"/>
                <w:b/>
                <w:kern w:val="0"/>
                <w:sz w:val="22"/>
                <w:szCs w:val="22"/>
                <w:lang w:val="ru-RU" w:eastAsia="ru-RU" w:bidi="ar-SA"/>
              </w:rPr>
              <w:t xml:space="preserve">     </w:t>
            </w:r>
            <w:r>
              <w:rPr>
                <w:rFonts w:eastAsia="Times New Roman" w:cs="Times New Roman"/>
                <w:b/>
                <w:kern w:val="0"/>
                <w:sz w:val="22"/>
                <w:szCs w:val="22"/>
                <w:lang w:val="ru-RU" w:eastAsia="ru-RU" w:bidi="ar-SA"/>
              </w:rPr>
              <w:t>5.</w:t>
            </w:r>
          </w:p>
        </w:tc>
        <w:tc>
          <w:tcPr>
            <w:tcW w:w="13935" w:type="dxa"/>
            <w:gridSpan w:val="5"/>
            <w:tcBorders/>
            <w:vAlign w:val="center"/>
          </w:tcPr>
          <w:p>
            <w:pPr>
              <w:pStyle w:val="Normal"/>
              <w:widowControl w:val="false"/>
              <w:suppressAutoHyphens w:val="true"/>
              <w:spacing w:before="0" w:after="0"/>
              <w:jc w:val="left"/>
              <w:rPr>
                <w:sz w:val="22"/>
                <w:szCs w:val="22"/>
              </w:rPr>
            </w:pPr>
            <w:r>
              <w:rPr>
                <w:rFonts w:eastAsia="Times New Roman" w:cs="Times New Roman"/>
                <w:b/>
                <w:kern w:val="0"/>
                <w:sz w:val="22"/>
                <w:szCs w:val="22"/>
                <w:lang w:val="ru-RU" w:eastAsia="ru-RU" w:bidi="ar-SA"/>
              </w:rPr>
              <w:t>Требование к доставке</w:t>
            </w:r>
          </w:p>
        </w:tc>
      </w:tr>
      <w:tr>
        <w:trPr>
          <w:trHeight w:val="415" w:hRule="atLeast"/>
        </w:trPr>
        <w:tc>
          <w:tcPr>
            <w:tcW w:w="553" w:type="dxa"/>
            <w:vMerge w:val="restart"/>
            <w:tcBorders/>
            <w:vAlign w:val="center"/>
          </w:tcPr>
          <w:p>
            <w:pPr>
              <w:pStyle w:val="Normal"/>
              <w:widowControl w:val="false"/>
              <w:suppressAutoHyphens w:val="true"/>
              <w:spacing w:before="60" w:after="0"/>
              <w:ind w:right="-109" w:hanging="0"/>
              <w:jc w:val="left"/>
              <w:rPr>
                <w:sz w:val="22"/>
                <w:szCs w:val="22"/>
              </w:rPr>
            </w:pPr>
            <w:r>
              <w:rPr>
                <w:sz w:val="22"/>
                <w:szCs w:val="22"/>
              </w:rPr>
            </w:r>
          </w:p>
          <w:p>
            <w:pPr>
              <w:pStyle w:val="Normal"/>
              <w:widowControl w:val="false"/>
              <w:suppressAutoHyphens w:val="true"/>
              <w:spacing w:before="60" w:after="0"/>
              <w:ind w:right="-109" w:hanging="0"/>
              <w:jc w:val="left"/>
              <w:rPr>
                <w:sz w:val="22"/>
                <w:szCs w:val="22"/>
              </w:rPr>
            </w:pPr>
            <w:r>
              <w:rPr>
                <w:rFonts w:eastAsia="Times New Roman" w:cs="Times New Roman"/>
                <w:kern w:val="0"/>
                <w:sz w:val="22"/>
                <w:szCs w:val="22"/>
                <w:lang w:val="ru-RU" w:eastAsia="ru-RU" w:bidi="ar-SA"/>
              </w:rPr>
              <w:t xml:space="preserve">    </w:t>
            </w:r>
            <w:r>
              <w:rPr>
                <w:rFonts w:eastAsia="Times New Roman" w:cs="Times New Roman"/>
                <w:kern w:val="0"/>
                <w:sz w:val="22"/>
                <w:szCs w:val="22"/>
                <w:lang w:val="ru-RU" w:eastAsia="ru-RU" w:bidi="ar-SA"/>
              </w:rPr>
              <w:t>5.1.</w:t>
            </w:r>
          </w:p>
        </w:tc>
        <w:tc>
          <w:tcPr>
            <w:tcW w:w="2731" w:type="dxa"/>
            <w:tcBorders/>
            <w:vAlign w:val="center"/>
          </w:tcPr>
          <w:p>
            <w:pPr>
              <w:pStyle w:val="Normal"/>
              <w:widowControl w:val="false"/>
              <w:suppressAutoHyphens w:val="true"/>
              <w:spacing w:before="0" w:after="0"/>
              <w:ind w:right="145" w:hanging="0"/>
              <w:jc w:val="left"/>
              <w:rPr>
                <w:sz w:val="22"/>
                <w:szCs w:val="22"/>
              </w:rPr>
            </w:pPr>
            <w:r>
              <w:rPr>
                <w:rFonts w:eastAsia="Times New Roman" w:cs="Times New Roman"/>
                <w:kern w:val="0"/>
                <w:sz w:val="22"/>
                <w:szCs w:val="22"/>
                <w:lang w:val="ru-RU" w:eastAsia="ru-RU" w:bidi="ar-SA"/>
              </w:rPr>
              <w:t>Место поставки для</w:t>
            </w:r>
          </w:p>
          <w:p>
            <w:pPr>
              <w:pStyle w:val="Normal"/>
              <w:widowControl w:val="false"/>
              <w:suppressAutoHyphens w:val="true"/>
              <w:spacing w:before="0" w:after="0"/>
              <w:ind w:right="145" w:hanging="0"/>
              <w:jc w:val="left"/>
              <w:rPr>
                <w:b/>
                <w:bCs/>
                <w:color w:val="000000"/>
                <w:sz w:val="22"/>
                <w:szCs w:val="22"/>
              </w:rPr>
            </w:pPr>
            <w:r>
              <w:rPr>
                <w:rFonts w:eastAsia="Times New Roman" w:cs="Times New Roman"/>
                <w:b/>
                <w:bCs/>
                <w:color w:val="000000"/>
                <w:kern w:val="0"/>
                <w:sz w:val="22"/>
                <w:szCs w:val="22"/>
                <w:lang w:val="ru-RU" w:eastAsia="ru-RU" w:bidi="ar-SA"/>
              </w:rPr>
              <w:t xml:space="preserve">1. Филиала АО «ДРСК» «Амурские электрические сети» </w:t>
            </w:r>
            <w:r>
              <w:rPr>
                <w:rFonts w:eastAsia="Times New Roman" w:cs="Times New Roman"/>
                <w:b/>
                <w:bCs/>
                <w:i/>
                <w:color w:val="000000"/>
                <w:kern w:val="0"/>
                <w:sz w:val="22"/>
                <w:szCs w:val="22"/>
                <w:lang w:val="ru-RU" w:eastAsia="ru-RU" w:bidi="ar-SA"/>
              </w:rPr>
              <w:t>(№ п/п 1-26)</w:t>
            </w:r>
          </w:p>
        </w:tc>
        <w:tc>
          <w:tcPr>
            <w:tcW w:w="5392" w:type="dxa"/>
            <w:tcBorders/>
            <w:vAlign w:val="center"/>
          </w:tcPr>
          <w:p>
            <w:pPr>
              <w:pStyle w:val="Normal"/>
              <w:widowControl w:val="false"/>
              <w:suppressAutoHyphens w:val="true"/>
              <w:spacing w:before="0" w:after="0"/>
              <w:jc w:val="left"/>
              <w:rPr>
                <w:color w:val="000000"/>
                <w:spacing w:val="-1"/>
                <w:sz w:val="22"/>
                <w:szCs w:val="22"/>
                <w:lang w:eastAsia="en-US"/>
              </w:rPr>
            </w:pPr>
            <w:r>
              <w:rPr>
                <w:rFonts w:eastAsia="Times New Roman" w:cs="Times New Roman"/>
                <w:color w:val="000000"/>
                <w:spacing w:val="-1"/>
                <w:kern w:val="0"/>
                <w:sz w:val="22"/>
                <w:szCs w:val="22"/>
                <w:lang w:val="ru-RU" w:eastAsia="en-US" w:bidi="ar-SA"/>
              </w:rPr>
              <w:t>675003, РФ, Амурская область,</w:t>
            </w:r>
          </w:p>
          <w:p>
            <w:pPr>
              <w:pStyle w:val="Normal"/>
              <w:widowControl w:val="false"/>
              <w:suppressAutoHyphens w:val="true"/>
              <w:spacing w:before="0" w:after="0"/>
              <w:jc w:val="left"/>
              <w:rPr>
                <w:rFonts w:eastAsia="Calibri"/>
                <w:sz w:val="22"/>
                <w:szCs w:val="22"/>
                <w:lang w:eastAsia="en-US"/>
              </w:rPr>
            </w:pPr>
            <w:r>
              <w:rPr>
                <w:rFonts w:eastAsia="Times New Roman" w:cs="Times New Roman"/>
                <w:color w:val="000000"/>
                <w:spacing w:val="-1"/>
                <w:kern w:val="0"/>
                <w:sz w:val="22"/>
                <w:szCs w:val="22"/>
                <w:lang w:val="ru-RU" w:eastAsia="en-US" w:bidi="ar-SA"/>
              </w:rPr>
              <w:t>г. Благовещенск, ул. Театральная, 179</w:t>
            </w:r>
          </w:p>
        </w:tc>
        <w:tc>
          <w:tcPr>
            <w:tcW w:w="1689" w:type="dxa"/>
            <w:vMerge w:val="restart"/>
            <w:tcBorders/>
            <w:vAlign w:val="center"/>
          </w:tcPr>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rFonts w:eastAsia="Times New Roman" w:cs="Times New Roman"/>
                <w:i/>
                <w:iCs/>
                <w:kern w:val="0"/>
                <w:sz w:val="22"/>
                <w:szCs w:val="22"/>
                <w:lang w:val="ru-RU" w:eastAsia="ru-RU" w:bidi="ar-SA"/>
              </w:rPr>
              <w:t>Согласие с требованием</w:t>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p>
            <w:pPr>
              <w:pStyle w:val="Normal"/>
              <w:widowControl w:val="false"/>
              <w:suppressAutoHyphens w:val="true"/>
              <w:spacing w:before="0" w:after="0"/>
              <w:jc w:val="center"/>
              <w:rPr>
                <w:i/>
                <w:i/>
                <w:iCs/>
                <w:sz w:val="22"/>
                <w:szCs w:val="22"/>
              </w:rPr>
            </w:pPr>
            <w:r>
              <w:rPr>
                <w:i/>
                <w:iCs/>
                <w:sz w:val="22"/>
                <w:szCs w:val="22"/>
              </w:rPr>
            </w:r>
          </w:p>
        </w:tc>
        <w:tc>
          <w:tcPr>
            <w:tcW w:w="2706" w:type="dxa"/>
            <w:vMerge w:val="restart"/>
            <w:tcBorders/>
            <w:vAlign w:val="center"/>
          </w:tcPr>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rFonts w:eastAsia="Times New Roman" w:cs="Times New Roman"/>
                <w:b/>
                <w:kern w:val="0"/>
                <w:sz w:val="22"/>
                <w:szCs w:val="22"/>
                <w:lang w:val="ru-RU" w:eastAsia="ru-RU" w:bidi="ar-SA"/>
              </w:rPr>
              <w:t>-//-</w:t>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b/>
                <w:sz w:val="22"/>
                <w:szCs w:val="22"/>
              </w:rPr>
            </w:pPr>
            <w:r>
              <w:rPr>
                <w:b/>
                <w:sz w:val="22"/>
                <w:szCs w:val="22"/>
              </w:rPr>
            </w:r>
          </w:p>
          <w:p>
            <w:pPr>
              <w:pStyle w:val="Normal"/>
              <w:widowControl w:val="false"/>
              <w:suppressAutoHyphens w:val="true"/>
              <w:spacing w:before="0" w:after="0"/>
              <w:jc w:val="center"/>
              <w:rPr>
                <w:rFonts w:eastAsia="Sylfaen"/>
                <w:sz w:val="22"/>
                <w:szCs w:val="22"/>
              </w:rPr>
            </w:pPr>
            <w:r>
              <w:rPr>
                <w:rFonts w:eastAsia="Sylfaen"/>
                <w:sz w:val="22"/>
                <w:szCs w:val="22"/>
              </w:rPr>
            </w:r>
          </w:p>
        </w:tc>
        <w:tc>
          <w:tcPr>
            <w:tcW w:w="1417" w:type="dxa"/>
            <w:vMerge w:val="restart"/>
            <w:tcBorders/>
            <w:vAlign w:val="center"/>
          </w:tcPr>
          <w:p>
            <w:pPr>
              <w:pStyle w:val="Normal"/>
              <w:widowControl w:val="false"/>
              <w:suppressAutoHyphens w:val="true"/>
              <w:spacing w:before="0" w:after="0"/>
              <w:jc w:val="center"/>
              <w:rPr>
                <w:sz w:val="22"/>
                <w:szCs w:val="22"/>
              </w:rPr>
            </w:pPr>
            <w:r>
              <w:rPr>
                <w:sz w:val="22"/>
                <w:szCs w:val="22"/>
              </w:rPr>
            </w:r>
          </w:p>
        </w:tc>
      </w:tr>
      <w:tr>
        <w:trPr>
          <w:trHeight w:val="646" w:hRule="atLeast"/>
        </w:trPr>
        <w:tc>
          <w:tcPr>
            <w:tcW w:w="553" w:type="dxa"/>
            <w:vMerge w:val="continue"/>
            <w:tcBorders/>
            <w:vAlign w:val="center"/>
          </w:tcPr>
          <w:p>
            <w:pPr>
              <w:pStyle w:val="Normal"/>
              <w:widowControl w:val="false"/>
              <w:suppressAutoHyphens w:val="true"/>
              <w:spacing w:before="60" w:after="0"/>
              <w:ind w:right="-109" w:hanging="0"/>
              <w:jc w:val="left"/>
              <w:rPr>
                <w:sz w:val="22"/>
                <w:szCs w:val="22"/>
              </w:rPr>
            </w:pPr>
            <w:r>
              <w:rPr>
                <w:sz w:val="22"/>
                <w:szCs w:val="22"/>
              </w:rPr>
            </w:r>
          </w:p>
        </w:tc>
        <w:tc>
          <w:tcPr>
            <w:tcW w:w="2731" w:type="dxa"/>
            <w:tcBorders/>
          </w:tcPr>
          <w:p>
            <w:pPr>
              <w:pStyle w:val="Normal"/>
              <w:widowControl w:val="false"/>
              <w:suppressAutoHyphens w:val="true"/>
              <w:spacing w:before="0" w:after="0"/>
              <w:ind w:right="145" w:hanging="0"/>
              <w:jc w:val="left"/>
              <w:rPr>
                <w:sz w:val="22"/>
                <w:szCs w:val="22"/>
              </w:rPr>
            </w:pPr>
            <w:r>
              <w:rPr>
                <w:rFonts w:eastAsia="Times New Roman" w:cs="Times New Roman"/>
                <w:kern w:val="0"/>
                <w:sz w:val="22"/>
                <w:szCs w:val="22"/>
                <w:lang w:val="ru-RU" w:eastAsia="ru-RU" w:bidi="ar-SA"/>
              </w:rPr>
              <w:t>Место поставки для</w:t>
            </w:r>
          </w:p>
          <w:p>
            <w:pPr>
              <w:pStyle w:val="Normal"/>
              <w:widowControl w:val="false"/>
              <w:suppressAutoHyphens w:val="true"/>
              <w:spacing w:before="0" w:after="0"/>
              <w:ind w:right="145" w:hanging="0"/>
              <w:jc w:val="left"/>
              <w:rPr>
                <w:sz w:val="22"/>
                <w:szCs w:val="22"/>
              </w:rPr>
            </w:pPr>
            <w:r>
              <w:rPr>
                <w:rFonts w:eastAsia="Times New Roman" w:cs="Times New Roman"/>
                <w:b/>
                <w:bCs/>
                <w:color w:val="000000"/>
                <w:kern w:val="0"/>
                <w:sz w:val="22"/>
                <w:szCs w:val="22"/>
                <w:lang w:val="ru-RU" w:eastAsia="ru-RU" w:bidi="ar-SA"/>
              </w:rPr>
              <w:t xml:space="preserve">2.  Филиала АО «ДРСК» «Приморские электрические сети» </w:t>
            </w:r>
            <w:r>
              <w:rPr>
                <w:rFonts w:eastAsia="Times New Roman" w:cs="Times New Roman"/>
                <w:b/>
                <w:bCs/>
                <w:i/>
                <w:color w:val="000000"/>
                <w:kern w:val="0"/>
                <w:sz w:val="22"/>
                <w:szCs w:val="22"/>
                <w:lang w:val="ru-RU" w:eastAsia="ru-RU" w:bidi="ar-SA"/>
              </w:rPr>
              <w:t>(№ п/п 1-19)</w:t>
            </w:r>
          </w:p>
        </w:tc>
        <w:tc>
          <w:tcPr>
            <w:tcW w:w="5392" w:type="dxa"/>
            <w:tcBorders/>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692524, РФ, Приморский край,</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г. Уссурийск, ул. Резервная, 22А</w:t>
            </w:r>
          </w:p>
        </w:tc>
        <w:tc>
          <w:tcPr>
            <w:tcW w:w="1689" w:type="dxa"/>
            <w:vMerge w:val="continue"/>
            <w:tcBorders/>
            <w:vAlign w:val="center"/>
          </w:tcPr>
          <w:p>
            <w:pPr>
              <w:pStyle w:val="Normal"/>
              <w:widowControl w:val="false"/>
              <w:suppressAutoHyphens w:val="true"/>
              <w:spacing w:before="0" w:after="0"/>
              <w:jc w:val="center"/>
              <w:rPr>
                <w:i/>
                <w:i/>
                <w:iCs/>
                <w:sz w:val="22"/>
                <w:szCs w:val="22"/>
              </w:rPr>
            </w:pPr>
            <w:r>
              <w:rPr>
                <w:i/>
                <w:iCs/>
                <w:sz w:val="22"/>
                <w:szCs w:val="22"/>
              </w:rPr>
            </w:r>
          </w:p>
        </w:tc>
        <w:tc>
          <w:tcPr>
            <w:tcW w:w="2706" w:type="dxa"/>
            <w:vMerge w:val="continue"/>
            <w:tcBorders/>
            <w:vAlign w:val="center"/>
          </w:tcPr>
          <w:p>
            <w:pPr>
              <w:pStyle w:val="Normal"/>
              <w:widowControl w:val="false"/>
              <w:suppressAutoHyphens w:val="true"/>
              <w:spacing w:before="0" w:after="0"/>
              <w:jc w:val="center"/>
              <w:rPr>
                <w:b/>
                <w:sz w:val="22"/>
                <w:szCs w:val="22"/>
              </w:rPr>
            </w:pPr>
            <w:r>
              <w:rPr>
                <w:b/>
                <w:sz w:val="22"/>
                <w:szCs w:val="22"/>
              </w:rPr>
            </w:r>
          </w:p>
        </w:tc>
        <w:tc>
          <w:tcPr>
            <w:tcW w:w="1417" w:type="dxa"/>
            <w:vMerge w:val="continue"/>
            <w:tcBorders/>
            <w:vAlign w:val="center"/>
          </w:tcPr>
          <w:p>
            <w:pPr>
              <w:pStyle w:val="Normal"/>
              <w:widowControl w:val="false"/>
              <w:suppressAutoHyphens w:val="true"/>
              <w:spacing w:before="0" w:after="0"/>
              <w:jc w:val="center"/>
              <w:rPr>
                <w:sz w:val="22"/>
                <w:szCs w:val="22"/>
              </w:rPr>
            </w:pPr>
            <w:r>
              <w:rPr>
                <w:sz w:val="22"/>
                <w:szCs w:val="22"/>
              </w:rPr>
            </w:r>
          </w:p>
        </w:tc>
      </w:tr>
      <w:tr>
        <w:trPr>
          <w:trHeight w:val="646" w:hRule="atLeast"/>
        </w:trPr>
        <w:tc>
          <w:tcPr>
            <w:tcW w:w="553" w:type="dxa"/>
            <w:vMerge w:val="continue"/>
            <w:tcBorders/>
            <w:vAlign w:val="center"/>
          </w:tcPr>
          <w:p>
            <w:pPr>
              <w:pStyle w:val="Normal"/>
              <w:widowControl w:val="false"/>
              <w:suppressAutoHyphens w:val="true"/>
              <w:spacing w:before="60" w:after="0"/>
              <w:ind w:right="-109" w:hanging="0"/>
              <w:jc w:val="left"/>
              <w:rPr>
                <w:sz w:val="22"/>
                <w:szCs w:val="22"/>
              </w:rPr>
            </w:pPr>
            <w:r>
              <w:rPr>
                <w:sz w:val="22"/>
                <w:szCs w:val="22"/>
              </w:rPr>
            </w:r>
          </w:p>
        </w:tc>
        <w:tc>
          <w:tcPr>
            <w:tcW w:w="2731" w:type="dxa"/>
            <w:tcBorders/>
          </w:tcPr>
          <w:p>
            <w:pPr>
              <w:pStyle w:val="Normal"/>
              <w:widowControl w:val="false"/>
              <w:suppressAutoHyphens w:val="true"/>
              <w:spacing w:before="0" w:after="0"/>
              <w:ind w:right="145" w:hanging="0"/>
              <w:jc w:val="left"/>
              <w:rPr>
                <w:sz w:val="22"/>
                <w:szCs w:val="22"/>
              </w:rPr>
            </w:pPr>
            <w:r>
              <w:rPr>
                <w:rFonts w:eastAsia="Times New Roman" w:cs="Times New Roman"/>
                <w:kern w:val="0"/>
                <w:sz w:val="22"/>
                <w:szCs w:val="22"/>
                <w:lang w:val="ru-RU" w:eastAsia="ru-RU" w:bidi="ar-SA"/>
              </w:rPr>
              <w:t>Место поставки для</w:t>
            </w:r>
          </w:p>
          <w:p>
            <w:pPr>
              <w:pStyle w:val="Normal"/>
              <w:widowControl w:val="false"/>
              <w:suppressAutoHyphens w:val="true"/>
              <w:spacing w:before="0" w:after="0"/>
              <w:ind w:right="145" w:hanging="0"/>
              <w:jc w:val="left"/>
              <w:rPr>
                <w:sz w:val="22"/>
                <w:szCs w:val="22"/>
              </w:rPr>
            </w:pPr>
            <w:r>
              <w:rPr>
                <w:rFonts w:eastAsia="Times New Roman" w:cs="Times New Roman"/>
                <w:b/>
                <w:bCs/>
                <w:color w:val="000000"/>
                <w:kern w:val="0"/>
                <w:sz w:val="22"/>
                <w:szCs w:val="22"/>
                <w:lang w:val="ru-RU" w:eastAsia="ru-RU" w:bidi="ar-SA"/>
              </w:rPr>
              <w:t xml:space="preserve">3.1. Филиал АО «ДРСК» «Хабаровские электрические сети» г. Хабаровск </w:t>
            </w:r>
            <w:r>
              <w:rPr>
                <w:rFonts w:eastAsia="Times New Roman" w:cs="Times New Roman"/>
                <w:b/>
                <w:bCs/>
                <w:i/>
                <w:color w:val="000000"/>
                <w:kern w:val="0"/>
                <w:sz w:val="22"/>
                <w:szCs w:val="22"/>
                <w:lang w:val="ru-RU" w:eastAsia="ru-RU" w:bidi="ar-SA"/>
              </w:rPr>
              <w:t>(№ п/п 1-19)</w:t>
            </w:r>
          </w:p>
        </w:tc>
        <w:tc>
          <w:tcPr>
            <w:tcW w:w="5392" w:type="dxa"/>
            <w:tcBorders/>
            <w:vAlign w:val="center"/>
          </w:tcPr>
          <w:p>
            <w:pPr>
              <w:pStyle w:val="Normal"/>
              <w:widowControl w:val="false"/>
              <w:suppressAutoHyphens w:val="true"/>
              <w:spacing w:before="0" w:after="0"/>
              <w:jc w:val="left"/>
              <w:rPr>
                <w:color w:val="000000"/>
                <w:spacing w:val="-1"/>
                <w:sz w:val="22"/>
                <w:szCs w:val="22"/>
              </w:rPr>
            </w:pPr>
            <w:r>
              <w:rPr>
                <w:rFonts w:eastAsia="Times New Roman" w:cs="Times New Roman"/>
                <w:color w:val="000000"/>
                <w:spacing w:val="-1"/>
                <w:kern w:val="0"/>
                <w:sz w:val="22"/>
                <w:szCs w:val="22"/>
                <w:lang w:val="ru-RU" w:eastAsia="ru-RU" w:bidi="ar-SA"/>
              </w:rPr>
              <w:t>680009, РФ, г. Хабаровск,</w:t>
            </w:r>
          </w:p>
          <w:p>
            <w:pPr>
              <w:pStyle w:val="Normal"/>
              <w:widowControl w:val="false"/>
              <w:suppressAutoHyphens w:val="true"/>
              <w:spacing w:before="0" w:after="0"/>
              <w:jc w:val="left"/>
              <w:rPr>
                <w:sz w:val="22"/>
                <w:szCs w:val="22"/>
              </w:rPr>
            </w:pPr>
            <w:r>
              <w:rPr>
                <w:rFonts w:eastAsia="Times New Roman" w:cs="Times New Roman"/>
                <w:color w:val="000000"/>
                <w:spacing w:val="-1"/>
                <w:kern w:val="0"/>
                <w:sz w:val="22"/>
                <w:szCs w:val="22"/>
                <w:lang w:val="ru-RU" w:eastAsia="ru-RU" w:bidi="ar-SA"/>
              </w:rPr>
              <w:t>ул. Промышленная 13</w:t>
            </w:r>
          </w:p>
        </w:tc>
        <w:tc>
          <w:tcPr>
            <w:tcW w:w="1689" w:type="dxa"/>
            <w:vMerge w:val="continue"/>
            <w:tcBorders/>
            <w:vAlign w:val="center"/>
          </w:tcPr>
          <w:p>
            <w:pPr>
              <w:pStyle w:val="Normal"/>
              <w:widowControl w:val="false"/>
              <w:suppressAutoHyphens w:val="true"/>
              <w:spacing w:before="0" w:after="0"/>
              <w:jc w:val="center"/>
              <w:rPr>
                <w:i/>
                <w:i/>
                <w:iCs/>
                <w:sz w:val="22"/>
                <w:szCs w:val="22"/>
              </w:rPr>
            </w:pPr>
            <w:r>
              <w:rPr>
                <w:i/>
                <w:iCs/>
                <w:sz w:val="22"/>
                <w:szCs w:val="22"/>
              </w:rPr>
            </w:r>
          </w:p>
        </w:tc>
        <w:tc>
          <w:tcPr>
            <w:tcW w:w="2706" w:type="dxa"/>
            <w:vMerge w:val="continue"/>
            <w:tcBorders/>
            <w:vAlign w:val="center"/>
          </w:tcPr>
          <w:p>
            <w:pPr>
              <w:pStyle w:val="Normal"/>
              <w:widowControl w:val="false"/>
              <w:suppressAutoHyphens w:val="true"/>
              <w:spacing w:before="0" w:after="0"/>
              <w:jc w:val="center"/>
              <w:rPr>
                <w:b/>
                <w:sz w:val="22"/>
                <w:szCs w:val="22"/>
              </w:rPr>
            </w:pPr>
            <w:r>
              <w:rPr>
                <w:b/>
                <w:sz w:val="22"/>
                <w:szCs w:val="22"/>
              </w:rPr>
            </w:r>
          </w:p>
        </w:tc>
        <w:tc>
          <w:tcPr>
            <w:tcW w:w="1417" w:type="dxa"/>
            <w:vMerge w:val="continue"/>
            <w:tcBorders/>
            <w:vAlign w:val="center"/>
          </w:tcPr>
          <w:p>
            <w:pPr>
              <w:pStyle w:val="Normal"/>
              <w:widowControl w:val="false"/>
              <w:suppressAutoHyphens w:val="true"/>
              <w:spacing w:before="0" w:after="0"/>
              <w:jc w:val="center"/>
              <w:rPr>
                <w:sz w:val="22"/>
                <w:szCs w:val="22"/>
              </w:rPr>
            </w:pPr>
            <w:r>
              <w:rPr>
                <w:sz w:val="22"/>
                <w:szCs w:val="22"/>
              </w:rPr>
            </w:r>
          </w:p>
        </w:tc>
      </w:tr>
      <w:tr>
        <w:trPr>
          <w:trHeight w:val="646" w:hRule="atLeast"/>
        </w:trPr>
        <w:tc>
          <w:tcPr>
            <w:tcW w:w="553" w:type="dxa"/>
            <w:vMerge w:val="continue"/>
            <w:tcBorders/>
            <w:vAlign w:val="center"/>
          </w:tcPr>
          <w:p>
            <w:pPr>
              <w:pStyle w:val="Normal"/>
              <w:widowControl w:val="false"/>
              <w:suppressAutoHyphens w:val="true"/>
              <w:spacing w:before="60" w:after="0"/>
              <w:ind w:right="-109" w:hanging="0"/>
              <w:jc w:val="left"/>
              <w:rPr>
                <w:sz w:val="22"/>
                <w:szCs w:val="22"/>
              </w:rPr>
            </w:pPr>
            <w:r>
              <w:rPr>
                <w:sz w:val="22"/>
                <w:szCs w:val="22"/>
              </w:rPr>
            </w:r>
          </w:p>
        </w:tc>
        <w:tc>
          <w:tcPr>
            <w:tcW w:w="2731" w:type="dxa"/>
            <w:tcBorders/>
          </w:tcPr>
          <w:p>
            <w:pPr>
              <w:pStyle w:val="Normal"/>
              <w:widowControl w:val="false"/>
              <w:suppressAutoHyphens w:val="true"/>
              <w:spacing w:before="0" w:after="0"/>
              <w:ind w:right="145" w:hanging="0"/>
              <w:jc w:val="left"/>
              <w:rPr>
                <w:sz w:val="22"/>
                <w:szCs w:val="22"/>
              </w:rPr>
            </w:pPr>
            <w:r>
              <w:rPr>
                <w:rFonts w:eastAsia="Times New Roman" w:cs="Times New Roman"/>
                <w:kern w:val="0"/>
                <w:sz w:val="22"/>
                <w:szCs w:val="22"/>
                <w:lang w:val="ru-RU" w:eastAsia="ru-RU" w:bidi="ar-SA"/>
              </w:rPr>
              <w:t>Место поставки для</w:t>
            </w:r>
          </w:p>
          <w:p>
            <w:pPr>
              <w:pStyle w:val="Normal"/>
              <w:widowControl w:val="false"/>
              <w:suppressAutoHyphens w:val="true"/>
              <w:spacing w:before="0" w:after="0"/>
              <w:ind w:right="145" w:hanging="0"/>
              <w:jc w:val="left"/>
              <w:rPr>
                <w:sz w:val="22"/>
                <w:szCs w:val="22"/>
              </w:rPr>
            </w:pPr>
            <w:r>
              <w:rPr>
                <w:rFonts w:eastAsia="Times New Roman" w:cs="Times New Roman"/>
                <w:b/>
                <w:bCs/>
                <w:color w:val="000000"/>
                <w:kern w:val="0"/>
                <w:sz w:val="22"/>
                <w:szCs w:val="22"/>
                <w:lang w:val="ru-RU" w:eastAsia="ru-RU" w:bidi="ar-SA"/>
              </w:rPr>
              <w:t xml:space="preserve">3.2. Филиал АО «ДРСК» «Хабаровские электрические сети» г. Комсомольск-на-Амуре </w:t>
            </w:r>
            <w:r>
              <w:rPr>
                <w:rFonts w:eastAsia="Times New Roman" w:cs="Times New Roman"/>
                <w:b/>
                <w:bCs/>
                <w:i/>
                <w:color w:val="000000"/>
                <w:kern w:val="0"/>
                <w:sz w:val="22"/>
                <w:szCs w:val="22"/>
                <w:lang w:val="ru-RU" w:eastAsia="ru-RU" w:bidi="ar-SA"/>
              </w:rPr>
              <w:t>(№ п/п 1-7)</w:t>
            </w:r>
          </w:p>
        </w:tc>
        <w:tc>
          <w:tcPr>
            <w:tcW w:w="5392" w:type="dxa"/>
            <w:tcBorders/>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681000, РФ, Хабаровский край, г. Комсомольск-на-Амуре, Северное шоссе, 59</w:t>
            </w:r>
          </w:p>
        </w:tc>
        <w:tc>
          <w:tcPr>
            <w:tcW w:w="1689" w:type="dxa"/>
            <w:vMerge w:val="continue"/>
            <w:tcBorders/>
            <w:vAlign w:val="center"/>
          </w:tcPr>
          <w:p>
            <w:pPr>
              <w:pStyle w:val="Normal"/>
              <w:widowControl w:val="false"/>
              <w:suppressAutoHyphens w:val="true"/>
              <w:spacing w:before="0" w:after="0"/>
              <w:jc w:val="center"/>
              <w:rPr>
                <w:i/>
                <w:i/>
                <w:iCs/>
                <w:sz w:val="22"/>
                <w:szCs w:val="22"/>
              </w:rPr>
            </w:pPr>
            <w:r>
              <w:rPr>
                <w:i/>
                <w:iCs/>
                <w:sz w:val="22"/>
                <w:szCs w:val="22"/>
              </w:rPr>
            </w:r>
          </w:p>
        </w:tc>
        <w:tc>
          <w:tcPr>
            <w:tcW w:w="2706" w:type="dxa"/>
            <w:vMerge w:val="continue"/>
            <w:tcBorders/>
            <w:vAlign w:val="center"/>
          </w:tcPr>
          <w:p>
            <w:pPr>
              <w:pStyle w:val="Normal"/>
              <w:widowControl w:val="false"/>
              <w:suppressAutoHyphens w:val="true"/>
              <w:spacing w:before="0" w:after="0"/>
              <w:jc w:val="center"/>
              <w:rPr>
                <w:b/>
                <w:sz w:val="22"/>
                <w:szCs w:val="22"/>
              </w:rPr>
            </w:pPr>
            <w:r>
              <w:rPr>
                <w:b/>
                <w:sz w:val="22"/>
                <w:szCs w:val="22"/>
              </w:rPr>
            </w:r>
          </w:p>
        </w:tc>
        <w:tc>
          <w:tcPr>
            <w:tcW w:w="1417" w:type="dxa"/>
            <w:vMerge w:val="continue"/>
            <w:tcBorders/>
            <w:vAlign w:val="center"/>
          </w:tcPr>
          <w:p>
            <w:pPr>
              <w:pStyle w:val="Normal"/>
              <w:widowControl w:val="false"/>
              <w:suppressAutoHyphens w:val="true"/>
              <w:spacing w:before="0" w:after="0"/>
              <w:jc w:val="center"/>
              <w:rPr>
                <w:sz w:val="22"/>
                <w:szCs w:val="22"/>
              </w:rPr>
            </w:pPr>
            <w:r>
              <w:rPr>
                <w:sz w:val="22"/>
                <w:szCs w:val="22"/>
              </w:rPr>
            </w:r>
          </w:p>
        </w:tc>
      </w:tr>
      <w:tr>
        <w:trPr>
          <w:trHeight w:val="1231" w:hRule="atLeast"/>
        </w:trPr>
        <w:tc>
          <w:tcPr>
            <w:tcW w:w="553" w:type="dxa"/>
            <w:vMerge w:val="continue"/>
            <w:tcBorders/>
            <w:vAlign w:val="center"/>
          </w:tcPr>
          <w:p>
            <w:pPr>
              <w:pStyle w:val="Normal"/>
              <w:widowControl w:val="false"/>
              <w:suppressAutoHyphens w:val="true"/>
              <w:spacing w:before="60" w:after="0"/>
              <w:ind w:right="-109" w:hanging="0"/>
              <w:jc w:val="left"/>
              <w:rPr>
                <w:sz w:val="22"/>
                <w:szCs w:val="22"/>
              </w:rPr>
            </w:pPr>
            <w:r>
              <w:rPr>
                <w:sz w:val="22"/>
                <w:szCs w:val="22"/>
              </w:rPr>
            </w:r>
          </w:p>
        </w:tc>
        <w:tc>
          <w:tcPr>
            <w:tcW w:w="2731" w:type="dxa"/>
            <w:tcBorders/>
          </w:tcPr>
          <w:p>
            <w:pPr>
              <w:pStyle w:val="Normal"/>
              <w:widowControl w:val="false"/>
              <w:suppressAutoHyphens w:val="true"/>
              <w:spacing w:before="0" w:after="0"/>
              <w:ind w:right="145" w:hanging="0"/>
              <w:jc w:val="left"/>
              <w:rPr>
                <w:sz w:val="22"/>
                <w:szCs w:val="22"/>
              </w:rPr>
            </w:pPr>
            <w:r>
              <w:rPr>
                <w:sz w:val="22"/>
                <w:szCs w:val="22"/>
              </w:rPr>
            </w:r>
          </w:p>
          <w:p>
            <w:pPr>
              <w:pStyle w:val="Normal"/>
              <w:widowControl w:val="false"/>
              <w:suppressAutoHyphens w:val="true"/>
              <w:spacing w:before="0" w:after="0"/>
              <w:ind w:right="145" w:hanging="0"/>
              <w:jc w:val="left"/>
              <w:rPr>
                <w:sz w:val="22"/>
                <w:szCs w:val="22"/>
              </w:rPr>
            </w:pPr>
            <w:r>
              <w:rPr>
                <w:rFonts w:eastAsia="Times New Roman" w:cs="Times New Roman"/>
                <w:kern w:val="0"/>
                <w:sz w:val="22"/>
                <w:szCs w:val="22"/>
                <w:lang w:val="ru-RU" w:eastAsia="ru-RU" w:bidi="ar-SA"/>
              </w:rPr>
              <w:t>Место поставки для</w:t>
            </w:r>
          </w:p>
          <w:p>
            <w:pPr>
              <w:pStyle w:val="Normal"/>
              <w:widowControl w:val="false"/>
              <w:suppressAutoHyphens w:val="true"/>
              <w:spacing w:before="0" w:after="0"/>
              <w:ind w:right="145" w:hanging="0"/>
              <w:jc w:val="left"/>
              <w:rPr>
                <w:b/>
                <w:bCs/>
                <w:color w:val="000000"/>
                <w:sz w:val="22"/>
                <w:szCs w:val="22"/>
              </w:rPr>
            </w:pPr>
            <w:r>
              <w:rPr>
                <w:rFonts w:eastAsia="Times New Roman" w:cs="Times New Roman"/>
                <w:b/>
                <w:bCs/>
                <w:color w:val="000000"/>
                <w:kern w:val="0"/>
                <w:sz w:val="22"/>
                <w:szCs w:val="22"/>
                <w:lang w:val="ru-RU" w:eastAsia="ru-RU" w:bidi="ar-SA"/>
              </w:rPr>
              <w:t>4.</w:t>
            </w:r>
            <w:r>
              <w:rPr>
                <w:rFonts w:eastAsia="Times New Roman" w:cs="Times New Roman"/>
                <w:b/>
                <w:bCs/>
                <w:i/>
                <w:color w:val="000000"/>
                <w:kern w:val="0"/>
                <w:sz w:val="22"/>
                <w:szCs w:val="22"/>
                <w:lang w:val="ru-RU" w:eastAsia="ru-RU" w:bidi="ar-SA"/>
              </w:rPr>
              <w:t> Филиал АО «ДРСК» «Электрические сети ЕАО»</w:t>
            </w:r>
          </w:p>
          <w:p>
            <w:pPr>
              <w:pStyle w:val="Normal"/>
              <w:widowControl w:val="false"/>
              <w:suppressAutoHyphens w:val="true"/>
              <w:spacing w:before="0" w:after="0"/>
              <w:ind w:right="145" w:hanging="0"/>
              <w:jc w:val="left"/>
              <w:rPr>
                <w:sz w:val="22"/>
                <w:szCs w:val="22"/>
              </w:rPr>
            </w:pPr>
            <w:r>
              <w:rPr>
                <w:rFonts w:eastAsia="Times New Roman" w:cs="Times New Roman"/>
                <w:b/>
                <w:bCs/>
                <w:i/>
                <w:color w:val="000000"/>
                <w:kern w:val="0"/>
                <w:sz w:val="22"/>
                <w:szCs w:val="22"/>
                <w:lang w:val="ru-RU" w:eastAsia="ru-RU" w:bidi="ar-SA"/>
              </w:rPr>
              <w:t>(№ п/п 1-7)</w:t>
            </w:r>
          </w:p>
        </w:tc>
        <w:tc>
          <w:tcPr>
            <w:tcW w:w="5392" w:type="dxa"/>
            <w:tcBorders/>
            <w:vAlign w:val="center"/>
          </w:tcPr>
          <w:p>
            <w:pPr>
              <w:pStyle w:val="Normal"/>
              <w:widowControl w:val="false"/>
              <w:suppressAutoHyphens w:val="true"/>
              <w:spacing w:before="0" w:after="0"/>
              <w:jc w:val="left"/>
              <w:rPr>
                <w:bCs/>
                <w:spacing w:val="-1"/>
                <w:sz w:val="22"/>
                <w:szCs w:val="22"/>
              </w:rPr>
            </w:pPr>
            <w:r>
              <w:rPr>
                <w:rFonts w:eastAsia="Times New Roman" w:cs="Times New Roman"/>
                <w:bCs/>
                <w:spacing w:val="-1"/>
                <w:kern w:val="0"/>
                <w:sz w:val="22"/>
                <w:szCs w:val="22"/>
                <w:lang w:val="ru-RU" w:eastAsia="ru-RU" w:bidi="ar-SA"/>
              </w:rPr>
              <w:t>679011, Еврейская Автономная обл.,</w:t>
            </w:r>
          </w:p>
          <w:p>
            <w:pPr>
              <w:pStyle w:val="Normal"/>
              <w:widowControl w:val="false"/>
              <w:suppressAutoHyphens w:val="true"/>
              <w:spacing w:before="0" w:after="0"/>
              <w:jc w:val="left"/>
              <w:rPr>
                <w:sz w:val="22"/>
                <w:szCs w:val="22"/>
              </w:rPr>
            </w:pPr>
            <w:r>
              <w:rPr>
                <w:rFonts w:eastAsia="Times New Roman" w:cs="Times New Roman"/>
                <w:bCs/>
                <w:spacing w:val="-1"/>
                <w:kern w:val="0"/>
                <w:sz w:val="22"/>
                <w:szCs w:val="22"/>
                <w:lang w:val="ru-RU" w:eastAsia="ru-RU" w:bidi="ar-SA"/>
              </w:rPr>
              <w:t>г. Биробиджан, ул. Черноморская, 6</w:t>
            </w:r>
          </w:p>
        </w:tc>
        <w:tc>
          <w:tcPr>
            <w:tcW w:w="1689" w:type="dxa"/>
            <w:vMerge w:val="continue"/>
            <w:tcBorders/>
            <w:vAlign w:val="center"/>
          </w:tcPr>
          <w:p>
            <w:pPr>
              <w:pStyle w:val="Normal"/>
              <w:widowControl w:val="false"/>
              <w:suppressAutoHyphens w:val="true"/>
              <w:spacing w:before="0" w:after="0"/>
              <w:jc w:val="center"/>
              <w:rPr>
                <w:i/>
                <w:i/>
                <w:iCs/>
                <w:sz w:val="22"/>
                <w:szCs w:val="22"/>
              </w:rPr>
            </w:pPr>
            <w:r>
              <w:rPr>
                <w:i/>
                <w:iCs/>
                <w:sz w:val="22"/>
                <w:szCs w:val="22"/>
              </w:rPr>
            </w:r>
          </w:p>
        </w:tc>
        <w:tc>
          <w:tcPr>
            <w:tcW w:w="2706" w:type="dxa"/>
            <w:vMerge w:val="continue"/>
            <w:tcBorders/>
            <w:vAlign w:val="center"/>
          </w:tcPr>
          <w:p>
            <w:pPr>
              <w:pStyle w:val="Normal"/>
              <w:widowControl w:val="false"/>
              <w:suppressAutoHyphens w:val="true"/>
              <w:spacing w:before="0" w:after="0"/>
              <w:jc w:val="center"/>
              <w:rPr>
                <w:b/>
                <w:sz w:val="22"/>
                <w:szCs w:val="22"/>
              </w:rPr>
            </w:pPr>
            <w:r>
              <w:rPr>
                <w:b/>
                <w:sz w:val="22"/>
                <w:szCs w:val="22"/>
              </w:rPr>
            </w:r>
          </w:p>
        </w:tc>
        <w:tc>
          <w:tcPr>
            <w:tcW w:w="1417" w:type="dxa"/>
            <w:vMerge w:val="continue"/>
            <w:tcBorders/>
            <w:vAlign w:val="center"/>
          </w:tcPr>
          <w:p>
            <w:pPr>
              <w:pStyle w:val="Normal"/>
              <w:widowControl w:val="false"/>
              <w:suppressAutoHyphens w:val="true"/>
              <w:spacing w:before="0" w:after="0"/>
              <w:jc w:val="center"/>
              <w:rPr>
                <w:sz w:val="22"/>
                <w:szCs w:val="22"/>
              </w:rPr>
            </w:pPr>
            <w:r>
              <w:rPr>
                <w:sz w:val="22"/>
                <w:szCs w:val="22"/>
              </w:rPr>
            </w:r>
          </w:p>
        </w:tc>
      </w:tr>
      <w:tr>
        <w:trPr>
          <w:trHeight w:val="1231" w:hRule="atLeast"/>
        </w:trPr>
        <w:tc>
          <w:tcPr>
            <w:tcW w:w="553" w:type="dxa"/>
            <w:vMerge w:val="continue"/>
            <w:tcBorders/>
            <w:vAlign w:val="center"/>
          </w:tcPr>
          <w:p>
            <w:pPr>
              <w:pStyle w:val="Normal"/>
              <w:widowControl w:val="false"/>
              <w:suppressAutoHyphens w:val="true"/>
              <w:spacing w:before="60" w:after="0"/>
              <w:ind w:right="-109" w:hanging="0"/>
              <w:jc w:val="left"/>
              <w:rPr>
                <w:sz w:val="22"/>
                <w:szCs w:val="22"/>
              </w:rPr>
            </w:pPr>
            <w:r>
              <w:rPr>
                <w:sz w:val="22"/>
                <w:szCs w:val="22"/>
              </w:rPr>
            </w:r>
          </w:p>
        </w:tc>
        <w:tc>
          <w:tcPr>
            <w:tcW w:w="2731" w:type="dxa"/>
            <w:tcBorders>
              <w:top w:val="nil"/>
            </w:tcBorders>
          </w:tcPr>
          <w:p>
            <w:pPr>
              <w:pStyle w:val="Normal"/>
              <w:widowControl w:val="false"/>
              <w:suppressAutoHyphens w:val="true"/>
              <w:spacing w:before="0" w:after="0"/>
              <w:ind w:right="145" w:hanging="0"/>
              <w:jc w:val="left"/>
              <w:rPr>
                <w:sz w:val="22"/>
                <w:szCs w:val="22"/>
              </w:rPr>
            </w:pPr>
            <w:r>
              <w:rPr>
                <w:sz w:val="22"/>
                <w:szCs w:val="22"/>
              </w:rPr>
            </w:r>
          </w:p>
          <w:p>
            <w:pPr>
              <w:pStyle w:val="Normal"/>
              <w:widowControl w:val="false"/>
              <w:suppressAutoHyphens w:val="true"/>
              <w:spacing w:before="0" w:after="0"/>
              <w:ind w:right="145" w:hanging="0"/>
              <w:jc w:val="left"/>
              <w:rPr>
                <w:sz w:val="22"/>
                <w:szCs w:val="22"/>
              </w:rPr>
            </w:pPr>
            <w:r>
              <w:rPr>
                <w:rFonts w:eastAsia="Times New Roman" w:cs="Times New Roman"/>
                <w:kern w:val="0"/>
                <w:sz w:val="22"/>
                <w:szCs w:val="22"/>
                <w:lang w:val="ru-RU" w:eastAsia="ru-RU" w:bidi="ar-SA"/>
              </w:rPr>
              <w:t>Место поставки для</w:t>
            </w:r>
          </w:p>
          <w:p>
            <w:pPr>
              <w:pStyle w:val="Normal"/>
              <w:widowControl w:val="false"/>
              <w:suppressAutoHyphens w:val="true"/>
              <w:spacing w:before="0" w:after="0"/>
              <w:ind w:right="145" w:hanging="0"/>
              <w:jc w:val="left"/>
              <w:rPr>
                <w:b/>
                <w:bCs/>
                <w:color w:val="000000"/>
                <w:sz w:val="22"/>
                <w:szCs w:val="22"/>
              </w:rPr>
            </w:pPr>
            <w:r>
              <w:rPr>
                <w:rFonts w:eastAsia="Times New Roman" w:cs="Times New Roman"/>
                <w:b/>
                <w:bCs/>
                <w:color w:val="000000"/>
                <w:kern w:val="0"/>
                <w:sz w:val="22"/>
                <w:szCs w:val="22"/>
                <w:lang w:val="ru-RU" w:eastAsia="ru-RU" w:bidi="ar-SA"/>
              </w:rPr>
              <w:t>4.</w:t>
            </w:r>
            <w:r>
              <w:rPr>
                <w:rFonts w:eastAsia="Times New Roman" w:cs="Times New Roman"/>
                <w:b/>
                <w:bCs/>
                <w:i/>
                <w:color w:val="000000"/>
                <w:kern w:val="0"/>
                <w:sz w:val="22"/>
                <w:szCs w:val="22"/>
                <w:lang w:val="ru-RU" w:eastAsia="ru-RU" w:bidi="ar-SA"/>
              </w:rPr>
              <w:t> Филиал АО «ДРСК» «Южно-Якутские электрические сети»</w:t>
            </w:r>
          </w:p>
          <w:p>
            <w:pPr>
              <w:pStyle w:val="Normal"/>
              <w:widowControl w:val="false"/>
              <w:suppressAutoHyphens w:val="true"/>
              <w:spacing w:before="0" w:after="0"/>
              <w:ind w:right="145" w:hanging="0"/>
              <w:jc w:val="left"/>
              <w:rPr>
                <w:sz w:val="22"/>
                <w:szCs w:val="22"/>
              </w:rPr>
            </w:pPr>
            <w:r>
              <w:rPr>
                <w:rFonts w:eastAsia="Times New Roman" w:cs="Times New Roman"/>
                <w:b/>
                <w:bCs/>
                <w:i/>
                <w:color w:val="000000"/>
                <w:kern w:val="0"/>
                <w:sz w:val="22"/>
                <w:szCs w:val="22"/>
                <w:lang w:val="ru-RU" w:eastAsia="ru-RU" w:bidi="ar-SA"/>
              </w:rPr>
              <w:t>(№ п/п 1-4)</w:t>
            </w:r>
          </w:p>
        </w:tc>
        <w:tc>
          <w:tcPr>
            <w:tcW w:w="5392" w:type="dxa"/>
            <w:tcBorders>
              <w:top w:val="nil"/>
            </w:tcBorders>
            <w:vAlign w:val="center"/>
          </w:tcPr>
          <w:p>
            <w:pPr>
              <w:pStyle w:val="Normal"/>
              <w:widowControl w:val="false"/>
              <w:spacing w:before="0" w:after="0"/>
              <w:jc w:val="left"/>
              <w:rPr/>
            </w:pPr>
            <w:r>
              <w:rPr>
                <w:rFonts w:eastAsia="Times New Roman" w:cs="Times New Roman"/>
                <w:bCs/>
                <w:color w:val="000000"/>
                <w:spacing w:val="-1"/>
                <w:kern w:val="0"/>
                <w:sz w:val="22"/>
                <w:szCs w:val="22"/>
                <w:lang w:val="ru-RU" w:eastAsia="ru-RU" w:bidi="ar-SA"/>
              </w:rPr>
              <w:t>678901, Республика Саха (Якутия), г. Алдан, ул. Тарабукина 60а</w:t>
            </w:r>
          </w:p>
        </w:tc>
        <w:tc>
          <w:tcPr>
            <w:tcW w:w="1689" w:type="dxa"/>
            <w:vMerge w:val="continue"/>
            <w:tcBorders/>
            <w:vAlign w:val="center"/>
          </w:tcPr>
          <w:p>
            <w:pPr>
              <w:pStyle w:val="Normal"/>
              <w:widowControl w:val="false"/>
              <w:suppressAutoHyphens w:val="true"/>
              <w:spacing w:before="0" w:after="0"/>
              <w:jc w:val="center"/>
              <w:rPr>
                <w:i/>
                <w:i/>
                <w:iCs/>
                <w:sz w:val="22"/>
                <w:szCs w:val="22"/>
              </w:rPr>
            </w:pPr>
            <w:r>
              <w:rPr>
                <w:i/>
                <w:iCs/>
                <w:sz w:val="22"/>
                <w:szCs w:val="22"/>
              </w:rPr>
            </w:r>
          </w:p>
        </w:tc>
        <w:tc>
          <w:tcPr>
            <w:tcW w:w="2706" w:type="dxa"/>
            <w:vMerge w:val="continue"/>
            <w:tcBorders/>
            <w:vAlign w:val="center"/>
          </w:tcPr>
          <w:p>
            <w:pPr>
              <w:pStyle w:val="Normal"/>
              <w:widowControl w:val="false"/>
              <w:suppressAutoHyphens w:val="true"/>
              <w:spacing w:before="0" w:after="0"/>
              <w:jc w:val="center"/>
              <w:rPr>
                <w:b/>
                <w:sz w:val="22"/>
                <w:szCs w:val="22"/>
              </w:rPr>
            </w:pPr>
            <w:r>
              <w:rPr>
                <w:b/>
                <w:sz w:val="22"/>
                <w:szCs w:val="22"/>
              </w:rPr>
            </w:r>
          </w:p>
        </w:tc>
        <w:tc>
          <w:tcPr>
            <w:tcW w:w="1417" w:type="dxa"/>
            <w:vMerge w:val="continue"/>
            <w:tcBorders/>
            <w:vAlign w:val="center"/>
          </w:tcPr>
          <w:p>
            <w:pPr>
              <w:pStyle w:val="Normal"/>
              <w:widowControl w:val="false"/>
              <w:suppressAutoHyphens w:val="true"/>
              <w:spacing w:before="0" w:after="0"/>
              <w:jc w:val="center"/>
              <w:rPr>
                <w:sz w:val="22"/>
                <w:szCs w:val="22"/>
              </w:rPr>
            </w:pPr>
            <w:r>
              <w:rPr>
                <w:sz w:val="22"/>
                <w:szCs w:val="22"/>
              </w:rPr>
            </w:r>
          </w:p>
        </w:tc>
      </w:tr>
      <w:tr>
        <w:trPr>
          <w:trHeight w:val="369" w:hRule="atLeast"/>
        </w:trPr>
        <w:tc>
          <w:tcPr>
            <w:tcW w:w="553" w:type="dxa"/>
            <w:tcBorders>
              <w:top w:val="nil"/>
            </w:tcBorders>
            <w:vAlign w:val="center"/>
          </w:tcPr>
          <w:p>
            <w:pPr>
              <w:pStyle w:val="Style36"/>
              <w:widowControl w:val="false"/>
              <w:numPr>
                <w:ilvl w:val="0"/>
                <w:numId w:val="0"/>
              </w:numPr>
              <w:snapToGrid w:val="false"/>
              <w:spacing w:before="60" w:after="60"/>
              <w:ind w:left="0" w:right="0" w:hanging="0"/>
              <w:jc w:val="center"/>
              <w:rPr>
                <w:b/>
                <w:sz w:val="22"/>
                <w:szCs w:val="22"/>
              </w:rPr>
            </w:pPr>
            <w:r>
              <w:rPr>
                <w:b/>
                <w:sz w:val="22"/>
                <w:szCs w:val="22"/>
              </w:rPr>
              <w:t>6.</w:t>
            </w:r>
          </w:p>
        </w:tc>
        <w:tc>
          <w:tcPr>
            <w:tcW w:w="13935" w:type="dxa"/>
            <w:gridSpan w:val="5"/>
            <w:tcBorders>
              <w:top w:val="nil"/>
            </w:tcBorders>
          </w:tcPr>
          <w:p>
            <w:pPr>
              <w:pStyle w:val="Normal"/>
              <w:widowControl w:val="false"/>
              <w:suppressAutoHyphens w:val="true"/>
              <w:spacing w:before="0" w:after="0"/>
              <w:ind w:left="0" w:right="-109" w:hanging="0"/>
              <w:jc w:val="left"/>
              <w:rPr>
                <w:rFonts w:eastAsia="Times New Roman" w:cs="Times New Roman"/>
                <w:b/>
                <w:color w:val="000000"/>
                <w:kern w:val="2"/>
                <w:sz w:val="22"/>
                <w:szCs w:val="22"/>
                <w:lang w:val="ru-RU" w:eastAsia="ru-RU" w:bidi="ar-SA"/>
              </w:rPr>
            </w:pPr>
            <w:r>
              <w:rPr>
                <w:rFonts w:eastAsia="Times New Roman" w:cs="Times New Roman"/>
                <w:b/>
                <w:color w:val="000000"/>
                <w:kern w:val="2"/>
                <w:sz w:val="22"/>
                <w:szCs w:val="22"/>
                <w:lang w:val="ru-RU" w:eastAsia="ru-RU" w:bidi="ar-SA"/>
              </w:rPr>
              <w:t>Прочие (дополнительные) требования к продукции</w:t>
            </w:r>
          </w:p>
        </w:tc>
      </w:tr>
      <w:tr>
        <w:trPr>
          <w:trHeight w:val="1231" w:hRule="atLeast"/>
        </w:trPr>
        <w:tc>
          <w:tcPr>
            <w:tcW w:w="553" w:type="dxa"/>
            <w:tcBorders>
              <w:top w:val="nil"/>
            </w:tcBorders>
            <w:vAlign w:val="center"/>
          </w:tcPr>
          <w:p>
            <w:pPr>
              <w:pStyle w:val="Normal"/>
              <w:widowControl w:val="false"/>
              <w:suppressAutoHyphens w:val="true"/>
              <w:spacing w:before="60" w:after="0"/>
              <w:ind w:right="-109" w:hanging="0"/>
              <w:jc w:val="left"/>
              <w:rPr>
                <w:sz w:val="22"/>
                <w:szCs w:val="22"/>
              </w:rPr>
            </w:pPr>
            <w:r>
              <w:rPr>
                <w:sz w:val="22"/>
                <w:szCs w:val="22"/>
              </w:rPr>
              <w:t>6.1.</w:t>
            </w:r>
          </w:p>
        </w:tc>
        <w:tc>
          <w:tcPr>
            <w:tcW w:w="2731" w:type="dxa"/>
            <w:tcBorders>
              <w:top w:val="nil"/>
            </w:tcBorders>
          </w:tcPr>
          <w:p>
            <w:pPr>
              <w:pStyle w:val="Normal"/>
              <w:widowControl w:val="false"/>
              <w:suppressAutoHyphens w:val="true"/>
              <w:spacing w:before="0" w:after="0"/>
              <w:ind w:left="0" w:right="-109" w:hanging="0"/>
              <w:jc w:val="left"/>
              <w:rPr>
                <w:rFonts w:ascii="Times New Roman" w:hAnsi="Times New Roman" w:cs="Times New Roman"/>
                <w:sz w:val="22"/>
                <w:szCs w:val="22"/>
              </w:rPr>
            </w:pPr>
            <w:r>
              <w:rPr>
                <w:rFonts w:cs="Times New Roman"/>
                <w:sz w:val="22"/>
                <w:szCs w:val="22"/>
              </w:rPr>
              <w:t>Требования к происхождению поставляемой продукции</w:t>
            </w:r>
          </w:p>
        </w:tc>
        <w:tc>
          <w:tcPr>
            <w:tcW w:w="5392" w:type="dxa"/>
            <w:tcBorders>
              <w:top w:val="nil"/>
            </w:tcBorders>
            <w:vAlign w:val="center"/>
          </w:tcPr>
          <w:p>
            <w:pPr>
              <w:pStyle w:val="Normal"/>
              <w:widowControl w:val="false"/>
              <w:suppressAutoHyphens w:val="true"/>
              <w:spacing w:before="0" w:after="0"/>
              <w:jc w:val="left"/>
              <w:rPr>
                <w:rFonts w:ascii="Times New Roman" w:hAnsi="Times New Roman" w:eastAsia="Times New Roman" w:cs="Times New Roman"/>
                <w:i w:val="false"/>
                <w:i w:val="false"/>
                <w:iCs w:val="false"/>
                <w:color w:val="auto"/>
                <w:sz w:val="22"/>
                <w:szCs w:val="22"/>
                <w:lang w:val="ru-RU" w:eastAsia="zh-CN" w:bidi="ar-SA"/>
              </w:rPr>
            </w:pPr>
            <w:r>
              <w:rPr>
                <w:rFonts w:eastAsia="Times New Roman" w:cs="Times New Roman"/>
                <w:i w:val="false"/>
                <w:iCs w:val="false"/>
                <w:color w:val="auto"/>
                <w:sz w:val="22"/>
                <w:szCs w:val="22"/>
                <w:lang w:val="ru-RU" w:eastAsia="zh-CN" w:bidi="ar-SA"/>
              </w:rPr>
              <w:t>в соответствии с Постановлением Правительства РФ от 23.12.2024 |№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p>
          <w:p>
            <w:pPr>
              <w:pStyle w:val="Normal"/>
              <w:widowControl w:val="false"/>
              <w:suppressAutoHyphens w:val="true"/>
              <w:spacing w:lineRule="auto" w:line="240" w:before="0" w:after="0"/>
              <w:jc w:val="both"/>
              <w:rPr>
                <w:rFonts w:ascii="Times New Roman" w:hAnsi="Times New Roman" w:eastAsia="Times New Roman" w:cs="Times New Roman"/>
                <w:i w:val="false"/>
                <w:i w:val="false"/>
                <w:iCs w:val="false"/>
                <w:color w:val="auto"/>
                <w:sz w:val="22"/>
                <w:szCs w:val="22"/>
                <w:lang w:val="ru-RU" w:eastAsia="zh-CN" w:bidi="ar-SA"/>
              </w:rPr>
            </w:pPr>
            <w:r>
              <w:rPr>
                <w:rFonts w:eastAsia="Times New Roman" w:cs="Times New Roman"/>
                <w:i w:val="false"/>
                <w:iCs w:val="false"/>
                <w:color w:val="auto"/>
                <w:sz w:val="22"/>
                <w:szCs w:val="22"/>
                <w:lang w:val="ru-RU" w:eastAsia="zh-CN" w:bidi="ar-SA"/>
              </w:rPr>
            </w:r>
          </w:p>
          <w:p>
            <w:pPr>
              <w:pStyle w:val="Normal"/>
              <w:widowControl w:val="false"/>
              <w:suppressAutoHyphens w:val="true"/>
              <w:spacing w:lineRule="auto" w:line="240" w:before="0" w:after="0"/>
              <w:jc w:val="both"/>
              <w:rPr>
                <w:rFonts w:ascii="Times New Roman" w:hAnsi="Times New Roman" w:eastAsia="Times New Roman" w:cs="Times New Roman"/>
                <w:i w:val="false"/>
                <w:i w:val="false"/>
                <w:iCs w:val="false"/>
                <w:color w:val="auto"/>
                <w:sz w:val="22"/>
                <w:szCs w:val="22"/>
                <w:lang w:val="ru-RU" w:eastAsia="zh-CN" w:bidi="ar-SA"/>
              </w:rPr>
            </w:pPr>
            <w:r>
              <w:rPr>
                <w:rFonts w:eastAsia="Times New Roman" w:cs="Times New Roman"/>
                <w:i w:val="false"/>
                <w:iCs w:val="false"/>
                <w:color w:val="auto"/>
                <w:sz w:val="22"/>
                <w:szCs w:val="22"/>
                <w:lang w:val="ru-RU" w:eastAsia="zh-CN" w:bidi="ar-SA"/>
              </w:rPr>
              <w:t>Все заявки на участие в закупке, содержащие предложения о поставке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заявка, содержащая предложение о поставке товара российского происхождения</w:t>
            </w:r>
          </w:p>
        </w:tc>
        <w:tc>
          <w:tcPr>
            <w:tcW w:w="1689" w:type="dxa"/>
            <w:tcBorders>
              <w:top w:val="nil"/>
            </w:tcBorders>
            <w:vAlign w:val="center"/>
          </w:tcPr>
          <w:p>
            <w:pPr>
              <w:pStyle w:val="Standard"/>
              <w:widowControl w:val="false"/>
              <w:jc w:val="center"/>
              <w:rPr>
                <w:rFonts w:ascii="Times New Roman" w:hAnsi="Times New Roman" w:cs="Times New Roman"/>
                <w:i w:val="false"/>
                <w:i w:val="false"/>
                <w:iCs w:val="false"/>
                <w:sz w:val="22"/>
                <w:szCs w:val="22"/>
              </w:rPr>
            </w:pPr>
            <w:r>
              <w:rPr>
                <w:rFonts w:cs="Times New Roman"/>
                <w:i w:val="false"/>
                <w:iCs w:val="false"/>
                <w:sz w:val="22"/>
                <w:szCs w:val="22"/>
              </w:rPr>
              <w:t>Согласие с требованием</w:t>
            </w:r>
          </w:p>
        </w:tc>
        <w:tc>
          <w:tcPr>
            <w:tcW w:w="2706" w:type="dxa"/>
            <w:tcBorders>
              <w:top w:val="nil"/>
            </w:tcBorders>
            <w:vAlign w:val="center"/>
          </w:tcPr>
          <w:p>
            <w:pPr>
              <w:pStyle w:val="Normal"/>
              <w:widowControl w:val="false"/>
              <w:spacing w:before="0" w:after="0"/>
              <w:jc w:val="left"/>
              <w:rPr>
                <w:rFonts w:ascii="Times New Roman" w:hAnsi="Times New Roman" w:eastAsia="Calibri" w:cs="Times New Roman"/>
                <w:i/>
                <w:i/>
                <w:iCs/>
                <w:kern w:val="0"/>
                <w:sz w:val="22"/>
                <w:szCs w:val="22"/>
                <w:lang w:val="ru-RU" w:eastAsia="en-US" w:bidi="ar-SA"/>
              </w:rPr>
            </w:pPr>
            <w:r>
              <w:rPr>
                <w:rFonts w:eastAsia="Calibri" w:cs="Times New Roman"/>
                <w:i/>
                <w:iCs/>
                <w:kern w:val="0"/>
                <w:sz w:val="22"/>
                <w:szCs w:val="22"/>
                <w:lang w:val="ru-RU" w:eastAsia="en-US" w:bidi="ar-SA"/>
              </w:rPr>
              <w:t>Участник должен предоставить в составе заявки Коммерческое предложение по форме, установленной документацией о закупке, с указанием в отношении поставляемой продукции информации о номер реестровой записи из реестра российской промышленной продукции,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pPr>
              <w:pStyle w:val="Normal"/>
              <w:widowControl w:val="false"/>
              <w:spacing w:before="0" w:after="0"/>
              <w:jc w:val="left"/>
              <w:rPr>
                <w:rFonts w:ascii="Times New Roman" w:hAnsi="Times New Roman" w:eastAsia="Calibri" w:cs="Times New Roman"/>
                <w:i/>
                <w:i/>
                <w:iCs/>
                <w:kern w:val="0"/>
                <w:sz w:val="22"/>
                <w:szCs w:val="22"/>
                <w:lang w:val="ru-RU" w:eastAsia="en-US" w:bidi="ar-SA"/>
              </w:rPr>
            </w:pPr>
            <w:r>
              <w:rPr>
                <w:rFonts w:eastAsia="Calibri" w:cs="Times New Roman"/>
                <w:i/>
                <w:iCs/>
                <w:kern w:val="0"/>
                <w:sz w:val="22"/>
                <w:szCs w:val="22"/>
                <w:lang w:val="ru-RU" w:eastAsia="en-US" w:bidi="ar-SA"/>
              </w:rPr>
              <w:t>или</w:t>
            </w:r>
          </w:p>
          <w:p>
            <w:pPr>
              <w:pStyle w:val="Normal"/>
              <w:widowControl w:val="false"/>
              <w:spacing w:before="0" w:after="0"/>
              <w:jc w:val="left"/>
              <w:rPr>
                <w:rFonts w:ascii="Times New Roman" w:hAnsi="Times New Roman" w:eastAsia="Calibri" w:cs="Times New Roman"/>
                <w:i/>
                <w:i/>
                <w:iCs/>
                <w:kern w:val="0"/>
                <w:sz w:val="22"/>
                <w:szCs w:val="22"/>
                <w:lang w:val="ru-RU" w:eastAsia="en-US" w:bidi="ar-SA"/>
              </w:rPr>
            </w:pPr>
            <w:r>
              <w:rPr>
                <w:rFonts w:eastAsia="Calibri" w:cs="Times New Roman"/>
                <w:i/>
                <w:iCs/>
                <w:kern w:val="0"/>
                <w:sz w:val="22"/>
                <w:szCs w:val="22"/>
                <w:lang w:val="ru-RU" w:eastAsia="en-US" w:bidi="ar-SA"/>
              </w:rPr>
              <w:t>номер реестровой записи из евразийского реестра промышленных товаров государств - членов Евразийского экономического союза, содержащей в том числе:</w:t>
            </w:r>
          </w:p>
          <w:p>
            <w:pPr>
              <w:pStyle w:val="Normal"/>
              <w:widowControl w:val="false"/>
              <w:spacing w:before="0" w:after="0"/>
              <w:jc w:val="left"/>
              <w:rPr>
                <w:rFonts w:ascii="Times New Roman" w:hAnsi="Times New Roman" w:eastAsia="Calibri" w:cs="Times New Roman"/>
                <w:i/>
                <w:i/>
                <w:iCs/>
                <w:kern w:val="0"/>
                <w:sz w:val="22"/>
                <w:szCs w:val="22"/>
                <w:lang w:val="ru-RU" w:eastAsia="en-US" w:bidi="ar-SA"/>
              </w:rPr>
            </w:pPr>
            <w:r>
              <w:rPr>
                <w:rFonts w:eastAsia="Calibri" w:cs="Times New Roman"/>
                <w:i/>
                <w:iCs/>
                <w:kern w:val="0"/>
                <w:sz w:val="22"/>
                <w:szCs w:val="22"/>
                <w:lang w:val="ru-RU" w:eastAsia="en-US" w:bidi="ar-SA"/>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tc>
        <w:tc>
          <w:tcPr>
            <w:tcW w:w="1417" w:type="dxa"/>
            <w:tcBorders>
              <w:top w:val="nil"/>
            </w:tcBorders>
            <w:vAlign w:val="center"/>
          </w:tcPr>
          <w:p>
            <w:pPr>
              <w:pStyle w:val="Normal"/>
              <w:widowControl w:val="false"/>
              <w:suppressAutoHyphens w:val="true"/>
              <w:spacing w:before="0" w:after="0"/>
              <w:jc w:val="center"/>
              <w:rPr>
                <w:sz w:val="22"/>
                <w:szCs w:val="22"/>
              </w:rPr>
            </w:pPr>
            <w:r>
              <w:rPr>
                <w:sz w:val="22"/>
                <w:szCs w:val="22"/>
              </w:rPr>
            </w:r>
          </w:p>
        </w:tc>
      </w:tr>
    </w:tbl>
    <w:p>
      <w:pPr>
        <w:pStyle w:val="Heading1"/>
        <w:numPr>
          <w:ilvl w:val="0"/>
          <w:numId w:val="0"/>
        </w:numPr>
        <w:tabs>
          <w:tab w:val="clear" w:pos="708"/>
          <w:tab w:val="left" w:pos="1134" w:leader="none"/>
        </w:tabs>
        <w:spacing w:before="0" w:after="0"/>
        <w:ind w:left="0" w:hanging="0"/>
        <w:rPr>
          <w:sz w:val="22"/>
          <w:szCs w:val="22"/>
          <w:lang w:val="ru-RU"/>
        </w:rPr>
      </w:pPr>
      <w:r>
        <w:rPr>
          <w:sz w:val="22"/>
          <w:szCs w:val="22"/>
          <w:lang w:val="ru-RU"/>
        </w:rPr>
      </w:r>
    </w:p>
    <w:p>
      <w:pPr>
        <w:pStyle w:val="Heading1"/>
        <w:numPr>
          <w:ilvl w:val="0"/>
          <w:numId w:val="3"/>
        </w:numPr>
        <w:tabs>
          <w:tab w:val="clear" w:pos="708"/>
          <w:tab w:val="left" w:pos="1134" w:leader="none"/>
        </w:tabs>
        <w:spacing w:before="0" w:after="0"/>
        <w:ind w:left="0" w:firstLine="567"/>
        <w:rPr>
          <w:sz w:val="22"/>
          <w:szCs w:val="22"/>
          <w:lang w:val="ru-RU"/>
        </w:rPr>
      </w:pPr>
      <w:bookmarkStart w:id="26" w:name="_Toc75446583"/>
      <w:bookmarkStart w:id="27" w:name="_Toc53393312"/>
      <w:r>
        <w:rPr>
          <w:sz w:val="22"/>
          <w:szCs w:val="22"/>
          <w:lang w:val="ru-RU"/>
        </w:rPr>
        <w:t>Требования к документации по ценообразованию</w:t>
      </w:r>
      <w:bookmarkEnd w:id="27"/>
      <w:r>
        <w:rPr>
          <w:sz w:val="22"/>
          <w:szCs w:val="22"/>
          <w:lang w:val="ru-RU"/>
        </w:rPr>
        <w:t xml:space="preserve"> на этапе закупки</w:t>
      </w:r>
      <w:bookmarkEnd w:id="26"/>
    </w:p>
    <w:p>
      <w:pPr>
        <w:pStyle w:val="Normal"/>
        <w:tabs>
          <w:tab w:val="clear" w:pos="708"/>
          <w:tab w:val="left" w:pos="1134" w:leader="none"/>
        </w:tabs>
        <w:suppressAutoHyphens w:val="true"/>
        <w:ind w:right="593" w:firstLine="567"/>
        <w:jc w:val="both"/>
        <w:rPr>
          <w:bCs/>
          <w:iCs/>
          <w:sz w:val="22"/>
          <w:szCs w:val="22"/>
          <w:lang w:eastAsia="x-none"/>
        </w:rPr>
      </w:pPr>
      <w:r>
        <w:rPr>
          <w:bCs/>
          <w:iCs/>
          <w:sz w:val="22"/>
          <w:szCs w:val="22"/>
          <w:lang w:eastAsia="x-none"/>
        </w:rPr>
        <w:t>3.1. 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Normal"/>
        <w:suppressAutoHyphens w:val="true"/>
        <w:ind w:right="593" w:firstLine="567"/>
        <w:jc w:val="both"/>
        <w:rPr>
          <w:sz w:val="22"/>
          <w:szCs w:val="22"/>
        </w:rPr>
      </w:pPr>
      <w:r>
        <w:rPr>
          <w:bCs/>
          <w:iCs/>
          <w:sz w:val="22"/>
          <w:szCs w:val="22"/>
          <w:lang w:eastAsia="x-none"/>
        </w:rPr>
        <w:t>3.2.</w:t>
      </w:r>
      <w:r>
        <w:rPr>
          <w:sz w:val="22"/>
          <w:szCs w:val="22"/>
        </w:rPr>
        <w:t xml:space="preserve"> Все цены в предложении должны включать все налоги, транспортные расходы и другие обязательные платежи, стоимость всех сопутствующих работ (услуг), а также все скидки, предлагаемые участником.</w:t>
      </w:r>
    </w:p>
    <w:p>
      <w:pPr>
        <w:pStyle w:val="ListParagraph"/>
        <w:widowControl w:val="false"/>
        <w:tabs>
          <w:tab w:val="clear" w:pos="708"/>
          <w:tab w:val="left" w:pos="426" w:leader="none"/>
        </w:tabs>
        <w:spacing w:before="60" w:after="0"/>
        <w:ind w:left="720" w:hanging="0"/>
        <w:contextualSpacing/>
        <w:jc w:val="both"/>
        <w:rPr/>
      </w:pPr>
      <w:r>
        <w:rPr/>
      </w:r>
    </w:p>
    <w:sectPr>
      <w:headerReference w:type="even" r:id="rId2"/>
      <w:headerReference w:type="default" r:id="rId3"/>
      <w:headerReference w:type="first" r:id="rId4"/>
      <w:type w:val="nextPage"/>
      <w:pgSz w:orient="landscape" w:w="16838" w:h="11906"/>
      <w:pgMar w:left="567" w:right="567" w:gutter="0" w:header="680" w:top="1134" w:footer="0" w:bottom="567"/>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2"/>
        <w:sz w:val="22"/>
        <w:spacing w:val="0"/>
        <w:i w:val="false"/>
        <w:u w:val="none"/>
        <w:b/>
        <w:kern w:val="0"/>
        <w:effect w:val="none"/>
        <w:szCs w:val="22"/>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716"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sz w:val="22"/>
        <w:b/>
        <w:szCs w:val="22"/>
        <w:bCs w:val="false"/>
      </w:rPr>
    </w:lvl>
    <w:lvl w:ilvl="1">
      <w:start w:val="1"/>
      <w:numFmt w:val="decimal"/>
      <w:lvlText w:val="%1.%2."/>
      <w:lvlJc w:val="left"/>
      <w:pPr>
        <w:tabs>
          <w:tab w:val="num" w:pos="0"/>
        </w:tabs>
        <w:ind w:left="858" w:hanging="432"/>
      </w:pPr>
      <w:rPr>
        <w:sz w:val="22"/>
        <w:b w:val="false"/>
        <w:szCs w:val="22"/>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numPr>
        <w:ilvl w:val="2"/>
        <w:numId w:val="3"/>
      </w:numPr>
      <w:spacing w:before="120" w:after="60"/>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name w:val="Символ сноски"/>
    <w:qFormat/>
    <w:rsid w:val="00d561d9"/>
    <w:rPr>
      <w:vertAlign w:val="superscript"/>
    </w:rPr>
  </w:style>
  <w:style w:type="character" w:styleId="FootnoteReference">
    <w:name w:val="Footnote Reference"/>
    <w:rPr>
      <w:vertAlign w:val="superscript"/>
    </w:rPr>
  </w:style>
  <w:style w:type="character" w:styleId="Pagenumber">
    <w:name w:val="page number"/>
    <w:basedOn w:val="DefaultParagraphFont"/>
    <w:qFormat/>
    <w:rsid w:val="006c2f3f"/>
    <w:rPr/>
  </w:style>
  <w:style w:type="character" w:styleId="Hyperlink">
    <w:name w:val="Hyperlink"/>
    <w:uiPriority w:val="99"/>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
    <w:name w:val="Strong"/>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1"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name w:val="Символ концевой сноски"/>
    <w:qFormat/>
    <w:rsid w:val="003879d4"/>
    <w:rPr>
      <w:vertAlign w:val="superscript"/>
    </w:rPr>
  </w:style>
  <w:style w:type="character" w:styleId="EndnoteReference">
    <w:name w:val="Endnote Reference"/>
    <w:rPr>
      <w:vertAlign w:val="superscript"/>
    </w:rPr>
  </w:style>
  <w:style w:type="character" w:styleId="22" w:customStyle="1">
    <w:name w:val="Пункт2 Знак"/>
    <w:link w:val="24"/>
    <w:qFormat/>
    <w:rsid w:val="00de52bc"/>
    <w:rPr>
      <w:b/>
      <w:sz w:val="28"/>
    </w:rPr>
  </w:style>
  <w:style w:type="character" w:styleId="12" w:customStyle="1">
    <w:name w:val="УРОВЕНЬ_1. Знак"/>
    <w:link w:val="110"/>
    <w:qFormat/>
    <w:rsid w:val="004a17ae"/>
    <w:rPr>
      <w:rFonts w:eastAsia="Calibri"/>
      <w:caps/>
      <w:sz w:val="28"/>
      <w:szCs w:val="28"/>
      <w:lang w:eastAsia="en-US"/>
    </w:rPr>
  </w:style>
  <w:style w:type="character" w:styleId="13"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Markedcontent" w:customStyle="1">
    <w:name w:val="markedcontent"/>
    <w:basedOn w:val="DefaultParagraphFont"/>
    <w:qFormat/>
    <w:rsid w:val="00a33766"/>
    <w:rPr/>
  </w:style>
  <w:style w:type="character" w:styleId="Style14" w:customStyle="1">
    <w:name w:val="Основной текст с отступом Знак"/>
    <w:basedOn w:val="DefaultParagraphFont"/>
    <w:qFormat/>
    <w:rsid w:val="00730aab"/>
    <w:rPr>
      <w:sz w:val="24"/>
      <w:szCs w:val="24"/>
    </w:rPr>
  </w:style>
  <w:style w:type="character" w:styleId="14" w:customStyle="1">
    <w:name w:val="Пункт Знак1"/>
    <w:link w:val="Style26"/>
    <w:qFormat/>
    <w:rsid w:val="00de73dd"/>
    <w:rPr>
      <w:rFonts w:ascii="Arial" w:hAnsi="Arial"/>
      <w:b/>
      <w:i/>
      <w:sz w:val="28"/>
    </w:rPr>
  </w:style>
  <w:style w:type="paragraph" w:styleId="Style15">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link w:val="Style14"/>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1"/>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uppressAutoHyphens w:val="true"/>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Caption1">
    <w:name w:val="caption1"/>
    <w:basedOn w:val="Normal"/>
    <w:next w:val="Normal"/>
    <w:uiPriority w:val="35"/>
    <w:qFormat/>
    <w:rsid w:val="00d22f6d"/>
    <w:pPr/>
    <w:rPr>
      <w:rFonts w:eastAsia="Calibri"/>
      <w:b/>
      <w:bCs/>
      <w:color w:val="4F81BD"/>
      <w:sz w:val="18"/>
      <w:szCs w:val="18"/>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ListBullet4" w:customStyle="1">
    <w:name w:val="List Bullet 4"/>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link w:val="14"/>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numPr>
        <w:ilvl w:val="0"/>
        <w:numId w:val="0"/>
      </w:numPr>
      <w:tabs>
        <w:tab w:val="clear" w:pos="708"/>
        <w:tab w:val="left" w:pos="567" w:leader="none"/>
      </w:tabs>
      <w:suppressAutoHyphens w:val="true"/>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uppressAutoHyphens w:val="true"/>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2"/>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name w:val="Содержимое врезки"/>
    <w:basedOn w:val="Normal"/>
    <w:qFormat/>
    <w:pPr/>
    <w:rPr/>
  </w:style>
  <w:style w:type="paragraph" w:styleId="Style34">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0"/>
      <w:sz w:val="28"/>
      <w:szCs w:val="28"/>
      <w:lang w:val="ru-RU" w:eastAsia="zh-CN" w:bidi="ar-SA"/>
    </w:rPr>
  </w:style>
  <w:style w:type="paragraph" w:styleId="Style36">
    <w:name w:val="Абзац списка"/>
    <w:basedOn w:val="Standard"/>
    <w:qFormat/>
    <w:pPr>
      <w:suppressAutoHyphens w:val="true"/>
      <w:ind w:left="720" w:right="0" w:hanging="0"/>
    </w:pPr>
    <w:rPr>
      <w:rFonts w:eastAsia="Calibri"/>
      <w:sz w:val="24"/>
      <w:szCs w:val="24"/>
    </w:rPr>
  </w:style>
  <w:style w:type="numbering" w:styleId="NoList" w:default="1">
    <w:name w:val="No List"/>
    <w:uiPriority w:val="99"/>
    <w:semiHidden/>
    <w:unhideWhenUsed/>
    <w:qFormat/>
  </w:style>
  <w:style w:type="numbering" w:styleId="111"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0">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d">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3AE50-CBA8-4C9C-8AE3-347DEDA90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Application>AlterOffice/3.3.0.4$Linux_X86_64 LibreOffice_project/fa736b558560ebea8f92088bfd7720f4b3918f3f</Application>
  <AppVersion>15.0000</AppVersion>
  <Pages>12</Pages>
  <Words>2168</Words>
  <Characters>13479</Characters>
  <CharactersWithSpaces>15039</CharactersWithSpaces>
  <Paragraphs>630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2023-11-07T07:55:00Z</dcterms:created>
  <dc:creator>Быстров Олег Геннадьевич</dc:creator>
  <dc:description/>
  <dc:language>ru-RU</dc:language>
  <cp:lastModifiedBy>veryutin_va</cp:lastModifiedBy>
  <cp:lastPrinted>2006-07-26T14:04:00Z</cp:lastPrinted>
  <dcterms:modified xsi:type="dcterms:W3CDTF">2026-09-11T15:22:05Z</dcterms:modified>
  <cp:revision>87</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