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9"/>
        <w:shd w:val="clear" w:color="auto" w:fill="auto"/>
        <w:spacing w:lineRule="auto" w:line="240"/>
        <w:ind w:left="9020" w:hanging="4767"/>
        <w:jc w:val="right"/>
        <w:rPr>
          <w:rStyle w:val="Style15"/>
          <w:b/>
          <w:sz w:val="24"/>
          <w:szCs w:val="24"/>
        </w:rPr>
      </w:pPr>
      <w:bookmarkStart w:id="0" w:name="_GoBack"/>
      <w:bookmarkEnd w:id="0"/>
      <w:r>
        <w:rPr>
          <w:rStyle w:val="Style15"/>
          <w:b/>
          <w:sz w:val="24"/>
          <w:szCs w:val="24"/>
        </w:rPr>
        <w:t xml:space="preserve">  </w:t>
      </w:r>
    </w:p>
    <w:p>
      <w:pPr>
        <w:pStyle w:val="19"/>
        <w:shd w:val="clear" w:color="auto" w:fill="auto"/>
        <w:spacing w:lineRule="auto" w:line="240"/>
        <w:ind w:left="9020" w:hanging="4767"/>
        <w:jc w:val="right"/>
        <w:rPr>
          <w:rStyle w:val="Style15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9020" w:hanging="4767"/>
        <w:jc w:val="right"/>
        <w:rPr>
          <w:rStyle w:val="Style15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9020" w:hanging="4767"/>
        <w:jc w:val="right"/>
        <w:rPr>
          <w:rStyle w:val="Style15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9020" w:hanging="4767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ТЕХНИЧЕСКИЕ ТРЕБОВАНИЯ </w:t>
      </w:r>
    </w:p>
    <w:p>
      <w:pPr>
        <w:pStyle w:val="Normal"/>
        <w:keepNext w:val="true"/>
        <w:keepLines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>ОКПД 2: 25.61.12.110. Оказание услуг по замене</w:t>
      </w:r>
    </w:p>
    <w:p>
      <w:pPr>
        <w:pStyle w:val="Normal"/>
        <w:keepNext w:val="true"/>
        <w:keepLines/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>эластичного металлопластмассового покрытия сегмент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под</w:t>
      </w:r>
      <w:r>
        <w:rPr>
          <w:sz w:val="24"/>
          <w:szCs w:val="24"/>
        </w:rPr>
        <w:t>шипника</w:t>
      </w:r>
    </w:p>
    <w:p>
      <w:pPr>
        <w:pStyle w:val="Normal"/>
        <w:keepNext w:val="true"/>
        <w:keepLines/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гидроагрегата ст. № 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для нужд </w:t>
      </w:r>
      <w:r>
        <w:rPr>
          <w:sz w:val="24"/>
          <w:szCs w:val="24"/>
        </w:rPr>
        <w:t xml:space="preserve">Саяно-Шушенского </w:t>
      </w:r>
      <w:r>
        <w:rPr>
          <w:sz w:val="24"/>
          <w:szCs w:val="24"/>
        </w:rPr>
        <w:t xml:space="preserve">филиала АО «Гидроремонт-ВКК» </w:t>
      </w:r>
      <w:r>
        <w:rPr>
          <w:sz w:val="24"/>
          <w:szCs w:val="24"/>
        </w:rPr>
        <w:t>ПУ в г. Заволжье</w:t>
      </w:r>
    </w:p>
    <w:p>
      <w:pPr>
        <w:pStyle w:val="Normal"/>
        <w:keepNext w:val="true"/>
        <w:keepLines/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Лот № </w:t>
      </w:r>
      <w:r>
        <w:rPr>
          <w:sz w:val="24"/>
          <w:szCs w:val="24"/>
        </w:rPr>
        <w:t>_______________</w:t>
      </w:r>
    </w:p>
    <w:p>
      <w:pPr>
        <w:pStyle w:val="Normal"/>
        <w:keepNext w:val="true"/>
        <w:keepLines/>
        <w:ind w:firstLine="28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ind w:firstLine="142"/>
            <w:rPr>
              <w:rFonts w:eastAsia="新細明體" w:cs="Times New Roman" w:eastAsiaTheme="minorEastAsia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6"/>
              <w:b w:val="false"/>
              <w:rFonts w:cs="Times New Roman"/>
            </w:rPr>
            <w:instrText xml:space="preserve"> TOC \z \o "1-4" \u \h</w:instrText>
          </w:r>
          <w:r>
            <w:rPr>
              <w:webHidden/>
              <w:rStyle w:val="Style16"/>
              <w:b w:val="false"/>
              <w:rFonts w:cs="Times New Roman"/>
            </w:rPr>
            <w:fldChar w:fldCharType="separate"/>
          </w:r>
          <w:hyperlink w:anchor="_Toc54643694">
            <w:r>
              <w:rPr>
                <w:webHidden/>
                <w:rStyle w:val="Style16"/>
                <w:rFonts w:cs="Times New Roman"/>
                <w:b w:val="false"/>
              </w:rPr>
              <w:t>1.</w:t>
            </w:r>
            <w:r>
              <w:rPr>
                <w:rStyle w:val="Style16"/>
                <w:rFonts w:eastAsia="新細明體" w:cs="Times New Roman" w:eastAsiaTheme="minorEastAsia"/>
                <w:b w:val="false"/>
                <w:bCs w:val="false"/>
              </w:rPr>
              <w:tab/>
            </w:r>
            <w:r>
              <w:rPr>
                <w:rStyle w:val="Style16"/>
                <w:rFonts w:cs="Times New Roman"/>
                <w:b w:val="false"/>
              </w:rPr>
              <w:t>Общие сведения</w:t>
            </w:r>
            <w:r>
              <w:rPr>
                <w:rStyle w:val="Style16"/>
                <w:rFonts w:cs="Times New Roman"/>
                <w:b w:val="false"/>
                <w:vanish w:val="false"/>
              </w:rPr>
              <w:tab/>
            </w:r>
          </w:hyperlink>
          <w:r>
            <w:rPr>
              <w:rFonts w:cs="Times New Roman"/>
              <w:b w:val="false"/>
            </w:rPr>
            <w:t>3</w:t>
          </w:r>
        </w:p>
        <w:p>
          <w:pPr>
            <w:pStyle w:val="TOC4"/>
            <w:tabs>
              <w:tab w:val="left" w:pos="560" w:leader="none"/>
              <w:tab w:val="left" w:pos="851" w:leader="none"/>
              <w:tab w:val="right" w:pos="9911" w:leader="none"/>
            </w:tabs>
            <w:rPr>
              <w:rFonts w:eastAsia="新細明體" w:cs="Times New Roman" w:eastAsiaTheme="minorEastAsia"/>
              <w:sz w:val="24"/>
              <w:szCs w:val="24"/>
            </w:rPr>
          </w:pPr>
          <w:hyperlink w:anchor="_Toc54643696">
            <w:r>
              <w:rPr>
                <w:webHidden/>
                <w:rStyle w:val="Style16"/>
                <w:rFonts w:cs="Times New Roman"/>
                <w:iCs/>
                <w:sz w:val="24"/>
                <w:szCs w:val="24"/>
              </w:rPr>
              <w:t>1.1.</w:t>
            </w:r>
            <w:r>
              <w:rPr>
                <w:rStyle w:val="Style16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6"/>
                <w:rFonts w:cs="Times New Roman"/>
                <w:sz w:val="24"/>
                <w:szCs w:val="24"/>
              </w:rPr>
              <w:t>Наименование оказываемых услуг</w:t>
            </w:r>
            <w:r>
              <w:rPr>
                <w:rStyle w:val="Style16"/>
                <w:rFonts w:cs="Times New Roman"/>
                <w:sz w:val="24"/>
                <w:szCs w:val="24"/>
                <w:lang w:val="en-US"/>
              </w:rPr>
              <w:t>…………………………………………………………….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rFonts w:cs="Times New Roman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560" w:leader="none"/>
              <w:tab w:val="left" w:pos="851" w:leader="none"/>
              <w:tab w:val="right" w:pos="9911" w:leader="none"/>
            </w:tabs>
            <w:rPr>
              <w:rFonts w:eastAsia="新細明體" w:cs="Times New Roman" w:eastAsiaTheme="minorEastAsia"/>
              <w:sz w:val="24"/>
              <w:szCs w:val="24"/>
            </w:rPr>
          </w:pPr>
          <w:hyperlink w:anchor="_Toc54643697">
            <w:r>
              <w:rPr>
                <w:webHidden/>
                <w:rStyle w:val="Style16"/>
                <w:rFonts w:cs="Times New Roman"/>
                <w:iCs/>
                <w:sz w:val="24"/>
                <w:szCs w:val="24"/>
              </w:rPr>
              <w:t>1.2.</w:t>
            </w:r>
            <w:r>
              <w:rPr>
                <w:rStyle w:val="Style16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6"/>
                <w:rFonts w:cs="Times New Roman"/>
                <w:sz w:val="24"/>
                <w:szCs w:val="24"/>
              </w:rPr>
              <w:t>Цель оказания услуг</w:t>
            </w:r>
            <w:r>
              <w:rPr>
                <w:rStyle w:val="Style16"/>
                <w:rFonts w:cs="Times New Roman"/>
                <w:sz w:val="24"/>
                <w:szCs w:val="24"/>
                <w:lang w:val="en-US"/>
              </w:rPr>
              <w:t>……………………………………………………………………………...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rFonts w:cs="Times New Roman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ind w:firstLine="142"/>
            <w:rPr>
              <w:rFonts w:eastAsia="新細明體" w:cs="Times New Roman" w:eastAsiaTheme="minorEastAsia"/>
              <w:b w:val="false"/>
              <w:bCs w:val="false"/>
            </w:rPr>
          </w:pPr>
          <w:hyperlink w:anchor="_Toc54643702">
            <w:r>
              <w:rPr>
                <w:webHidden/>
                <w:rStyle w:val="Style16"/>
                <w:rFonts w:cs="Times New Roman"/>
                <w:b w:val="false"/>
              </w:rPr>
              <w:t>2.</w:t>
            </w:r>
            <w:r>
              <w:rPr>
                <w:rStyle w:val="Style16"/>
                <w:rFonts w:eastAsia="新細明體" w:cs="Times New Roman" w:eastAsiaTheme="minorEastAsia"/>
                <w:b w:val="false"/>
                <w:bCs w:val="false"/>
              </w:rPr>
              <w:tab/>
            </w:r>
            <w:r>
              <w:rPr>
                <w:rStyle w:val="Style16"/>
                <w:rFonts w:cs="Times New Roman"/>
                <w:b w:val="false"/>
                <w:iCs/>
              </w:rPr>
              <w:t>Требования к оказанию услуг</w:t>
            </w:r>
            <w:r>
              <w:rPr>
                <w:rStyle w:val="Style16"/>
                <w:rFonts w:cs="Times New Roman"/>
                <w:b w:val="false"/>
                <w:vanish w:val="false"/>
              </w:rPr>
              <w:tab/>
            </w:r>
          </w:hyperlink>
          <w:r>
            <w:rPr>
              <w:rFonts w:cs="Times New Roman"/>
              <w:b w:val="false"/>
            </w:rPr>
            <w:t>3</w:t>
          </w:r>
        </w:p>
        <w:p>
          <w:pPr>
            <w:pStyle w:val="TOC4"/>
            <w:tabs>
              <w:tab w:val="left" w:pos="560" w:leader="none"/>
              <w:tab w:val="left" w:pos="851" w:leader="none"/>
              <w:tab w:val="right" w:pos="9911" w:leader="none"/>
            </w:tabs>
            <w:rPr>
              <w:rFonts w:eastAsia="新細明體" w:cs="Times New Roman" w:eastAsiaTheme="minorEastAsia"/>
              <w:sz w:val="24"/>
              <w:szCs w:val="24"/>
            </w:rPr>
          </w:pPr>
          <w:hyperlink w:anchor="_Toc54643703">
            <w:r>
              <w:rPr>
                <w:webHidden/>
                <w:rStyle w:val="Style16"/>
                <w:rFonts w:cs="Times New Roman"/>
                <w:iCs/>
                <w:sz w:val="24"/>
                <w:szCs w:val="24"/>
              </w:rPr>
              <w:t>2.1.</w:t>
            </w:r>
            <w:r>
              <w:rPr>
                <w:rStyle w:val="Style16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6"/>
                <w:rFonts w:cs="Times New Roman"/>
                <w:sz w:val="24"/>
                <w:szCs w:val="24"/>
              </w:rPr>
              <w:t>Требования к срокам оказания услуг</w:t>
            </w:r>
            <w:r>
              <w:rPr>
                <w:rStyle w:val="Style16"/>
                <w:rFonts w:cs="Times New Roman"/>
                <w:vanish w:val="false"/>
                <w:sz w:val="24"/>
                <w:szCs w:val="24"/>
              </w:rPr>
              <w:tab/>
            </w:r>
          </w:hyperlink>
          <w:r>
            <w:rPr>
              <w:rFonts w:cs="Times New Roman"/>
              <w:sz w:val="24"/>
              <w:szCs w:val="24"/>
            </w:rPr>
            <w:t>3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ind w:firstLine="142"/>
            <w:rPr>
              <w:rFonts w:eastAsia="新細明體" w:cs="Times New Roman" w:eastAsiaTheme="minorEastAsia"/>
              <w:b w:val="false"/>
              <w:bCs w:val="false"/>
            </w:rPr>
          </w:pPr>
          <w:hyperlink w:anchor="_Toc54643705">
            <w:r>
              <w:rPr>
                <w:webHidden/>
                <w:rStyle w:val="Style16"/>
                <w:rFonts w:cs="Times New Roman"/>
                <w:b w:val="false"/>
              </w:rPr>
              <w:t>Таблица 2.1 Перечень и объем оказываемых услуг</w:t>
            </w:r>
            <w:r>
              <w:rPr>
                <w:rStyle w:val="Style16"/>
                <w:rFonts w:cs="Times New Roman"/>
                <w:b w:val="false"/>
                <w:vanish w:val="false"/>
              </w:rPr>
              <w:tab/>
            </w:r>
          </w:hyperlink>
          <w:r>
            <w:rPr>
              <w:rFonts w:cs="Times New Roman"/>
              <w:b w:val="false"/>
            </w:rPr>
            <w:t>3</w:t>
          </w:r>
        </w:p>
        <w:p>
          <w:pPr>
            <w:pStyle w:val="TOC3"/>
            <w:rPr>
              <w:rFonts w:eastAsia="新細明體" w:cs="Times New Roman" w:eastAsiaTheme="minorEastAsia"/>
              <w:sz w:val="24"/>
              <w:szCs w:val="24"/>
            </w:rPr>
          </w:pPr>
          <w:hyperlink w:anchor="_Toc54643706">
            <w:r>
              <w:rPr>
                <w:webHidden/>
                <w:rStyle w:val="Style16"/>
                <w:rFonts w:cs="Times New Roman"/>
                <w:sz w:val="24"/>
                <w:szCs w:val="24"/>
              </w:rPr>
              <w:t>2.1.2.</w:t>
            </w:r>
            <w:r>
              <w:rPr>
                <w:rStyle w:val="Style16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6"/>
                <w:rFonts w:cs="Times New Roman"/>
                <w:sz w:val="24"/>
                <w:szCs w:val="24"/>
              </w:rPr>
              <w:t>Требования к срокам оказания услуг</w:t>
            </w:r>
            <w:r>
              <w:rPr>
                <w:rStyle w:val="Style16"/>
                <w:rFonts w:cs="Times New Roman"/>
                <w:vanish w:val="false"/>
                <w:sz w:val="24"/>
                <w:szCs w:val="24"/>
              </w:rPr>
              <w:tab/>
            </w:r>
          </w:hyperlink>
          <w:r>
            <w:rPr>
              <w:rFonts w:cs="Times New Roman"/>
              <w:sz w:val="24"/>
              <w:szCs w:val="24"/>
            </w:rPr>
            <w:t>4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ind w:firstLine="142"/>
            <w:rPr>
              <w:rFonts w:eastAsia="新細明體" w:cs="Times New Roman" w:eastAsiaTheme="minorEastAsia"/>
              <w:b w:val="false"/>
              <w:bCs w:val="false"/>
            </w:rPr>
          </w:pPr>
          <w:hyperlink w:anchor="_Toc54643707">
            <w:r>
              <w:rPr>
                <w:webHidden/>
                <w:rStyle w:val="Style16"/>
                <w:rFonts w:cs="Times New Roman"/>
                <w:b w:val="false"/>
              </w:rPr>
              <w:t>Таблица 2.2. Требования к срокам оказания услуг</w:t>
            </w:r>
            <w:r>
              <w:rPr>
                <w:rStyle w:val="Style16"/>
                <w:rFonts w:cs="Times New Roman"/>
                <w:b w:val="false"/>
                <w:vanish w:val="false"/>
              </w:rPr>
              <w:tab/>
            </w:r>
          </w:hyperlink>
          <w:r>
            <w:rPr>
              <w:rFonts w:cs="Times New Roman"/>
              <w:b w:val="false"/>
            </w:rPr>
            <w:t>4</w:t>
          </w:r>
        </w:p>
        <w:p>
          <w:pPr>
            <w:pStyle w:val="TOC4"/>
            <w:tabs>
              <w:tab w:val="left" w:pos="560" w:leader="none"/>
              <w:tab w:val="left" w:pos="851" w:leader="none"/>
              <w:tab w:val="right" w:pos="9911" w:leader="none"/>
            </w:tabs>
            <w:rPr>
              <w:rFonts w:eastAsia="新細明體" w:cs="Times New Roman" w:eastAsiaTheme="minorEastAsia"/>
              <w:sz w:val="24"/>
              <w:szCs w:val="24"/>
            </w:rPr>
          </w:pPr>
          <w:hyperlink w:anchor="_Toc54643708">
            <w:r>
              <w:rPr>
                <w:webHidden/>
                <w:rStyle w:val="Style16"/>
                <w:rFonts w:cs="Times New Roman"/>
                <w:iCs/>
                <w:sz w:val="24"/>
                <w:szCs w:val="24"/>
              </w:rPr>
              <w:t>2.2.</w:t>
            </w:r>
            <w:r>
              <w:rPr>
                <w:rStyle w:val="Style16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6"/>
                <w:rFonts w:cs="Times New Roman"/>
                <w:sz w:val="24"/>
                <w:szCs w:val="24"/>
              </w:rPr>
              <w:t>Требования к качеству услуг……………………………………………………………………</w:t>
            </w:r>
            <w:r>
              <w:rPr>
                <w:rStyle w:val="Style16"/>
                <w:rFonts w:cs="Times New Roman"/>
                <w:vanish w:val="false"/>
                <w:sz w:val="24"/>
                <w:szCs w:val="24"/>
              </w:rPr>
              <w:tab/>
            </w:r>
          </w:hyperlink>
          <w:r>
            <w:rPr>
              <w:rFonts w:cs="Times New Roman"/>
              <w:sz w:val="24"/>
              <w:szCs w:val="24"/>
            </w:rPr>
            <w:t>5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ind w:firstLine="142"/>
            <w:rPr>
              <w:rFonts w:eastAsia="新細明體" w:cs="Times New Roman" w:eastAsiaTheme="minorEastAsia"/>
              <w:b w:val="false"/>
              <w:bCs w:val="false"/>
            </w:rPr>
          </w:pPr>
          <w:hyperlink w:anchor="_Toc54643709">
            <w:r>
              <w:rPr>
                <w:webHidden/>
                <w:rStyle w:val="Style16"/>
                <w:rFonts w:cs="Times New Roman"/>
                <w:b w:val="false"/>
              </w:rPr>
              <w:t>Таблица 2.3. Требования к качеству услуг</w:t>
            </w:r>
            <w:r>
              <w:rPr>
                <w:rStyle w:val="Style16"/>
                <w:rFonts w:cs="Times New Roman"/>
                <w:b w:val="false"/>
                <w:vanish w:val="false"/>
              </w:rPr>
              <w:tab/>
            </w:r>
          </w:hyperlink>
          <w:r>
            <w:rPr>
              <w:rFonts w:cs="Times New Roman"/>
              <w:b w:val="false"/>
            </w:rPr>
            <w:t>5</w:t>
          </w:r>
          <w:r>
            <w:rPr>
              <w:b w:val="false"/>
              <w:rFonts w:cs="Times New Roman"/>
            </w:rPr>
            <w:fldChar w:fldCharType="end"/>
          </w:r>
        </w:p>
      </w:sdtContent>
    </w:sdt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3.Требования к документации по ценообразованию на этапе закупки</w:t>
      </w:r>
      <w:r>
        <w:rPr>
          <w:vanish/>
          <w:sz w:val="24"/>
          <w:szCs w:val="24"/>
        </w:rPr>
        <w:t>…………………………...</w:t>
      </w:r>
      <w:r>
        <w:rPr>
          <w:sz w:val="24"/>
          <w:szCs w:val="24"/>
        </w:rPr>
        <w:t>7</w:t>
      </w:r>
    </w:p>
    <w:p>
      <w:pPr>
        <w:pStyle w:val="Heading2"/>
        <w:numPr>
          <w:ilvl w:val="0"/>
          <w:numId w:val="0"/>
        </w:numPr>
        <w:ind w:left="0" w:hanging="0"/>
        <w:rPr>
          <w:b w:val="false"/>
          <w:lang w:val="ru-RU"/>
        </w:rPr>
      </w:pPr>
      <w:r>
        <w:rPr>
          <w:b w:val="false"/>
          <w:lang w:val="ru-RU"/>
        </w:rPr>
        <w:t xml:space="preserve">   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tabs>
          <w:tab w:val="clear" w:pos="993"/>
          <w:tab w:val="left" w:pos="851" w:leader="none"/>
        </w:tabs>
        <w:spacing w:before="120" w:after="0"/>
        <w:ind w:left="0" w:firstLine="349"/>
        <w:rPr>
          <w:sz w:val="24"/>
          <w:szCs w:val="24"/>
        </w:rPr>
      </w:pPr>
      <w:bookmarkStart w:id="1" w:name="_Toc46743506"/>
      <w:bookmarkStart w:id="2" w:name="_Toc54643696"/>
      <w:r>
        <w:rPr>
          <w:sz w:val="24"/>
          <w:szCs w:val="24"/>
        </w:rPr>
        <w:t>Общие сведения</w:t>
      </w:r>
    </w:p>
    <w:p>
      <w:pPr>
        <w:pStyle w:val="Heading4"/>
        <w:numPr>
          <w:ilvl w:val="1"/>
          <w:numId w:val="3"/>
        </w:numPr>
        <w:tabs>
          <w:tab w:val="clear" w:pos="993"/>
          <w:tab w:val="left" w:pos="709" w:leader="none"/>
        </w:tabs>
        <w:spacing w:before="120" w:after="0"/>
        <w:ind w:left="0" w:firstLine="349"/>
        <w:jc w:val="left"/>
        <w:rPr/>
      </w:pPr>
      <w:bookmarkStart w:id="3" w:name="_Toc46743506"/>
      <w:bookmarkStart w:id="4" w:name="_Toc54643696"/>
      <w:r>
        <w:rPr>
          <w:b w:val="false"/>
        </w:rPr>
        <w:t xml:space="preserve">Наименование </w:t>
      </w:r>
      <w:bookmarkEnd w:id="3"/>
      <w:bookmarkEnd w:id="4"/>
      <w:r>
        <w:rPr>
          <w:b w:val="false"/>
          <w:lang w:val="ru-RU"/>
        </w:rPr>
        <w:t>оказания услуг</w:t>
      </w:r>
    </w:p>
    <w:p>
      <w:pPr>
        <w:pStyle w:val="Normal"/>
        <w:keepNext w:val="true"/>
        <w:keepLines/>
        <w:ind w:firstLine="284"/>
        <w:jc w:val="left"/>
        <w:rPr/>
      </w:pPr>
      <w:r>
        <w:rPr>
          <w:sz w:val="24"/>
          <w:szCs w:val="24"/>
        </w:rPr>
        <w:t>ОКПД 2: 25.61.12.110. Оказание услуг по замене эластичного металлопластмассового покрытия сегмент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под</w:t>
      </w:r>
      <w:r>
        <w:rPr>
          <w:sz w:val="24"/>
          <w:szCs w:val="24"/>
        </w:rPr>
        <w:t xml:space="preserve">шипника </w:t>
      </w:r>
      <w:r>
        <w:rPr>
          <w:b w:val="false"/>
          <w:bCs w:val="false"/>
          <w:sz w:val="24"/>
          <w:szCs w:val="24"/>
          <w:lang w:val="ru-RU"/>
        </w:rPr>
        <w:t xml:space="preserve">гидроагрегата ст. № </w:t>
      </w:r>
      <w:r>
        <w:rPr>
          <w:b w:val="false"/>
          <w:bCs w:val="false"/>
          <w:sz w:val="24"/>
          <w:szCs w:val="24"/>
          <w:lang w:val="ru-RU"/>
        </w:rPr>
        <w:t>4</w:t>
      </w:r>
      <w:r>
        <w:rPr>
          <w:b w:val="false"/>
          <w:bCs w:val="false"/>
          <w:sz w:val="24"/>
          <w:szCs w:val="24"/>
          <w:lang w:val="ru-RU"/>
        </w:rPr>
        <w:t xml:space="preserve"> для нужд </w:t>
      </w:r>
      <w:r>
        <w:rPr>
          <w:b w:val="false"/>
          <w:bCs w:val="false"/>
          <w:sz w:val="24"/>
          <w:szCs w:val="24"/>
          <w:lang w:val="ru-RU"/>
        </w:rPr>
        <w:t xml:space="preserve">Саяно-Шушенского </w:t>
      </w:r>
      <w:r>
        <w:rPr>
          <w:b w:val="false"/>
          <w:bCs w:val="false"/>
          <w:sz w:val="24"/>
          <w:szCs w:val="24"/>
          <w:lang w:val="ru-RU"/>
        </w:rPr>
        <w:t xml:space="preserve">филиала АО «Гидроремонт-ВКК» </w:t>
      </w:r>
      <w:r>
        <w:rPr>
          <w:b w:val="false"/>
          <w:bCs w:val="false"/>
          <w:sz w:val="24"/>
          <w:szCs w:val="24"/>
          <w:lang w:val="ru-RU"/>
        </w:rPr>
        <w:t>ПУ в г. Заволжье</w:t>
      </w:r>
      <w:bookmarkStart w:id="5" w:name="_Toc54643697"/>
      <w:bookmarkStart w:id="6" w:name="_Toc46743507"/>
    </w:p>
    <w:p>
      <w:pPr>
        <w:pStyle w:val="Heading4"/>
        <w:numPr>
          <w:ilvl w:val="1"/>
          <w:numId w:val="3"/>
        </w:numPr>
        <w:tabs>
          <w:tab w:val="clear" w:pos="993"/>
          <w:tab w:val="left" w:pos="709" w:leader="none"/>
        </w:tabs>
        <w:ind w:left="0" w:firstLine="349"/>
        <w:rPr>
          <w:b w:val="false"/>
        </w:rPr>
      </w:pPr>
      <w:r>
        <w:rPr>
          <w:b w:val="false"/>
        </w:rPr>
        <w:t xml:space="preserve">Цель </w:t>
      </w:r>
      <w:bookmarkEnd w:id="6"/>
      <w:r>
        <w:rPr>
          <w:b w:val="false"/>
        </w:rPr>
        <w:t>оказания услуг</w:t>
      </w:r>
    </w:p>
    <w:p>
      <w:pPr>
        <w:pStyle w:val="Normal"/>
        <w:spacing w:lineRule="auto" w:line="240"/>
        <w:ind w:firstLine="709"/>
        <w:jc w:val="both"/>
        <w:textAlignment w:val="baseline"/>
        <w:rPr/>
      </w:pPr>
      <w:r>
        <w:rPr>
          <w:sz w:val="24"/>
          <w:szCs w:val="24"/>
        </w:rPr>
        <w:t>Исполнение доходного договора, заключенного между ПАО «РусГидро» и АО «Гидроремонт-ВКК»:</w:t>
      </w:r>
    </w:p>
    <w:p>
      <w:pPr>
        <w:pStyle w:val="Normal"/>
        <w:spacing w:lineRule="auto" w:line="240"/>
        <w:jc w:val="both"/>
        <w:textAlignment w:val="baseline"/>
        <w:rPr/>
      </w:pPr>
      <w:r>
        <w:rPr>
          <w:bCs/>
          <w:kern w:val="2"/>
          <w:sz w:val="24"/>
          <w:szCs w:val="24"/>
          <w:lang w:eastAsia="x-none"/>
        </w:rPr>
        <w:t>-Договор подряда № 1240-129-2021 от 12.07.2021 г. «Выполнение строительно-монтажных м пусконаладочных работ по замене гидроагрегатов ст. № 1,4,7 Филиала ПАО «РусГидро»-«Нижегородская ГЭС»</w:t>
      </w:r>
    </w:p>
    <w:p>
      <w:pPr>
        <w:pStyle w:val="Heading4"/>
        <w:numPr>
          <w:ilvl w:val="1"/>
          <w:numId w:val="3"/>
        </w:numPr>
        <w:tabs>
          <w:tab w:val="clear" w:pos="993"/>
          <w:tab w:val="left" w:pos="851" w:leader="none"/>
        </w:tabs>
        <w:ind w:left="0" w:firstLine="349"/>
        <w:rPr>
          <w:b w:val="false"/>
        </w:rPr>
      </w:pPr>
      <w:r>
        <w:rPr>
          <w:b w:val="false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</w:r>
    </w:p>
    <w:p>
      <w:pPr>
        <w:pStyle w:val="ListParagraph"/>
        <w:ind w:left="0" w:firstLine="349"/>
        <w:rPr/>
      </w:pPr>
      <w:r>
        <w:rPr/>
        <w:t>Параметры оказания услуг по замене эластичного металлопластмассового покрытия сегмент</w:t>
      </w:r>
      <w:r>
        <w:rPr/>
        <w:t>а</w:t>
      </w:r>
      <w:r>
        <w:rPr/>
        <w:t xml:space="preserve"> </w:t>
      </w:r>
      <w:r>
        <w:rPr/>
        <w:t>подшипника</w:t>
      </w:r>
      <w:r>
        <w:rPr/>
        <w:t xml:space="preserve"> гидроагрегата ст. № </w:t>
      </w:r>
      <w:r>
        <w:rPr/>
        <w:t>4</w:t>
      </w:r>
      <w:r>
        <w:rPr/>
        <w:t xml:space="preserve"> должны соответствовать всем требованиям, указанным в проектной/рабочей документации завода-изготовителя (черт. 5</w:t>
      </w:r>
      <w:r>
        <w:rPr/>
        <w:t>БС</w:t>
      </w:r>
      <w:r>
        <w:rPr/>
        <w:t>.</w:t>
      </w:r>
      <w:r>
        <w:rPr/>
        <w:t>269</w:t>
      </w:r>
      <w:r>
        <w:rPr/>
        <w:t>.</w:t>
      </w:r>
      <w:r>
        <w:rPr/>
        <w:t>865</w:t>
      </w:r>
      <w:r>
        <w:rPr/>
        <w:t>-</w:t>
      </w:r>
      <w:r>
        <w:rPr/>
        <w:t>СБ</w:t>
      </w:r>
      <w:r>
        <w:rPr/>
        <w:t xml:space="preserve"> Сегмент </w:t>
      </w:r>
      <w:r>
        <w:rPr/>
        <w:t>подшипника</w:t>
      </w:r>
      <w:r>
        <w:rPr/>
        <w:t>). Чертежи на ремонтируемые узлы и детали являются интеллектуальной собственностью завода-изготовителя и не предоставляются организатором в составе документации о закупке.</w:t>
      </w:r>
    </w:p>
    <w:p>
      <w:pPr>
        <w:pStyle w:val="Normal"/>
        <w:spacing w:before="0" w:after="0"/>
        <w:ind w:firstLine="34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Исполнитель гарантирует предварительно самостоятельно и за свой счет урегулировать с правообладателями все вопросы, связанные с использованием  прав третьих лиц на охраняемые  результаты интеллектуальной деятельности и средства индивидуализации в случае необходимости их использования при производстве продукции Заказчиком, а также по первому требованию Заказчика в течение 3 (трех) рабочих дней предоставить документы, подтверждающие соблюдение прав третьих лиц на охраняемые результаты интеллектуальной деятельности и на средства индивидуализации, а равно документы, подтверждающие законность использования Исполнителем прав третьих лиц на охраняемые результаты интеллектуальной деятельности и средств индивидуализации. </w:t>
      </w:r>
    </w:p>
    <w:p>
      <w:pPr>
        <w:pStyle w:val="Normal"/>
        <w:spacing w:before="0" w:after="0"/>
        <w:ind w:firstLine="34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 случае поступления каких-либо претензий, требований, исков в адрес Заказчика от любых третьих лиц в отношении результатов интеллектуальной деятельности и средств индивидуализации, в том числе от любых иных лиц, чьи права на результаты интеллектуальной деятельности были нарушены и (или) могли быть нарушены, Исполнитель обязуется незамедлительно после получения соответствующего сообщения от Заказчика в полном объёме урегулировать с этими третьими лицами все вышеуказанные претензии, требования, исковые требования своими силами и за свой счет. В случае нарушения данного условия Исполнитель обязан возместить Заказчику в полном объеме все понесенные Заказчиком убытки в течение 3 (трех) рабочих дней с момента предъявления соответствующего требования Заказчика. </w:t>
      </w:r>
    </w:p>
    <w:p>
      <w:pPr>
        <w:pStyle w:val="Heading1"/>
        <w:numPr>
          <w:ilvl w:val="0"/>
          <w:numId w:val="3"/>
        </w:numPr>
        <w:spacing w:before="120" w:after="0"/>
        <w:ind w:left="0" w:firstLine="349"/>
        <w:rPr>
          <w:b w:val="false"/>
          <w:caps/>
          <w:sz w:val="24"/>
          <w:szCs w:val="24"/>
          <w:lang w:val="ru-RU"/>
        </w:rPr>
      </w:pPr>
      <w:bookmarkStart w:id="7" w:name="_Toc46743510"/>
      <w:bookmarkStart w:id="8" w:name="_Toc50125126"/>
      <w:bookmarkStart w:id="9" w:name="_Toc54643702"/>
      <w:bookmarkStart w:id="10" w:name="_Toc51339693"/>
      <w:bookmarkEnd w:id="5"/>
      <w:bookmarkEnd w:id="8"/>
      <w:r>
        <w:rPr>
          <w:b w:val="false"/>
          <w:sz w:val="24"/>
          <w:szCs w:val="24"/>
          <w:lang w:val="ru-RU"/>
        </w:rPr>
        <w:t>Требования</w:t>
      </w:r>
      <w:r>
        <w:rPr>
          <w:b w:val="false"/>
          <w:sz w:val="24"/>
          <w:szCs w:val="24"/>
        </w:rPr>
        <w:t xml:space="preserve"> к </w:t>
      </w:r>
      <w:bookmarkEnd w:id="9"/>
      <w:bookmarkEnd w:id="10"/>
      <w:r>
        <w:rPr>
          <w:b w:val="false"/>
          <w:sz w:val="24"/>
          <w:szCs w:val="24"/>
          <w:lang w:val="en-US"/>
        </w:rPr>
        <w:t>оказанию услуг</w:t>
      </w:r>
    </w:p>
    <w:p>
      <w:pPr>
        <w:pStyle w:val="Heading4"/>
        <w:numPr>
          <w:ilvl w:val="1"/>
          <w:numId w:val="3"/>
        </w:numPr>
        <w:spacing w:before="0" w:after="0"/>
        <w:ind w:left="0" w:firstLine="349"/>
        <w:rPr>
          <w:b w:val="false"/>
        </w:rPr>
      </w:pPr>
      <w:bookmarkStart w:id="11" w:name="_Toc54643703"/>
      <w:r>
        <w:rPr>
          <w:b w:val="false"/>
        </w:rPr>
        <w:t xml:space="preserve">Требования к объемам и срокам </w:t>
      </w:r>
      <w:r>
        <w:rPr>
          <w:b w:val="false"/>
          <w:lang w:val="ru-RU"/>
        </w:rPr>
        <w:t>оказания услуг</w:t>
      </w:r>
      <w:bookmarkEnd w:id="11"/>
    </w:p>
    <w:p>
      <w:pPr>
        <w:pStyle w:val="Heading3"/>
        <w:numPr>
          <w:ilvl w:val="2"/>
          <w:numId w:val="3"/>
        </w:numPr>
        <w:spacing w:before="0" w:after="60"/>
        <w:ind w:left="0" w:firstLine="349"/>
        <w:rPr>
          <w:b w:val="false"/>
        </w:rPr>
      </w:pPr>
      <w:bookmarkStart w:id="12" w:name="_Toc54643704"/>
      <w:r>
        <w:rPr>
          <w:b w:val="false"/>
        </w:rPr>
        <w:t>Требования к перечню и объему услуг</w:t>
      </w:r>
      <w:bookmarkEnd w:id="12"/>
    </w:p>
    <w:p>
      <w:pPr>
        <w:pStyle w:val="Heading1"/>
        <w:numPr>
          <w:ilvl w:val="0"/>
          <w:numId w:val="0"/>
        </w:numPr>
        <w:ind w:left="0" w:firstLine="349"/>
        <w:rPr>
          <w:b w:val="false"/>
          <w:sz w:val="24"/>
          <w:szCs w:val="24"/>
        </w:rPr>
      </w:pPr>
      <w:bookmarkStart w:id="13" w:name="_Toc54643705"/>
      <w:bookmarkStart w:id="14" w:name="_Toc51339695"/>
      <w:r>
        <w:rPr>
          <w:b w:val="false"/>
          <w:sz w:val="24"/>
          <w:szCs w:val="24"/>
        </w:rPr>
        <w:t>Таблица 2.</w:t>
      </w:r>
      <w:r>
        <w:rPr>
          <w:b w:val="false"/>
          <w:sz w:val="24"/>
          <w:szCs w:val="24"/>
          <w:lang w:val="ru-RU"/>
        </w:rPr>
        <w:t>1</w:t>
      </w:r>
      <w:r>
        <w:rPr>
          <w:b w:val="false"/>
          <w:sz w:val="24"/>
          <w:szCs w:val="24"/>
        </w:rPr>
        <w:t xml:space="preserve"> Перечень </w:t>
      </w:r>
      <w:bookmarkEnd w:id="14"/>
      <w:r>
        <w:rPr>
          <w:b w:val="false"/>
          <w:sz w:val="24"/>
          <w:szCs w:val="24"/>
        </w:rPr>
        <w:t>и объем оказываемых услуг</w:t>
      </w:r>
      <w:bookmarkEnd w:id="13"/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08"/>
        <w:gridCol w:w="6662"/>
        <w:gridCol w:w="1418"/>
        <w:gridCol w:w="1276"/>
      </w:tblGrid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ind w:hanging="0"/>
              <w:jc w:val="left"/>
              <w:rPr/>
            </w:pPr>
            <w:r>
              <w:rPr>
                <w:sz w:val="24"/>
                <w:szCs w:val="24"/>
              </w:rPr>
              <w:t>ОКПД 2: 25.61.12.110. Оказание услуг по замене эластичного металлопластмассового покрытия сегмент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под</w:t>
            </w:r>
            <w:r>
              <w:rPr>
                <w:sz w:val="24"/>
                <w:szCs w:val="24"/>
              </w:rPr>
              <w:t xml:space="preserve">шипника </w:t>
            </w:r>
            <w:r>
              <w:rPr>
                <w:b w:val="false"/>
                <w:bCs w:val="false"/>
                <w:sz w:val="24"/>
                <w:szCs w:val="24"/>
                <w:lang w:val="ru-RU"/>
              </w:rPr>
              <w:t xml:space="preserve">гидроагрегата ст. № </w:t>
            </w:r>
            <w:r>
              <w:rPr>
                <w:b w:val="false"/>
                <w:bCs w:val="false"/>
                <w:sz w:val="24"/>
                <w:szCs w:val="24"/>
                <w:lang w:val="ru-RU"/>
              </w:rPr>
              <w:t>4</w:t>
            </w:r>
            <w:r>
              <w:rPr>
                <w:b w:val="false"/>
                <w:bCs w:val="false"/>
                <w:sz w:val="24"/>
                <w:szCs w:val="24"/>
                <w:lang w:val="ru-RU"/>
              </w:rPr>
              <w:t xml:space="preserve"> для нужд </w:t>
            </w:r>
            <w:r>
              <w:rPr>
                <w:b w:val="false"/>
                <w:bCs w:val="false"/>
                <w:sz w:val="24"/>
                <w:szCs w:val="24"/>
                <w:lang w:val="ru-RU"/>
              </w:rPr>
              <w:t xml:space="preserve">Саяно-Шушенского </w:t>
            </w:r>
            <w:r>
              <w:rPr>
                <w:b w:val="false"/>
                <w:bCs w:val="false"/>
                <w:sz w:val="24"/>
                <w:szCs w:val="24"/>
                <w:lang w:val="ru-RU"/>
              </w:rPr>
              <w:t xml:space="preserve">филиала АО «Гидроремонт-ВКК» </w:t>
            </w:r>
            <w:r>
              <w:rPr>
                <w:b w:val="false"/>
                <w:bCs w:val="false"/>
                <w:sz w:val="24"/>
                <w:szCs w:val="24"/>
                <w:lang w:val="ru-RU"/>
              </w:rPr>
              <w:t>ПУ в г. Заволжье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Условная единица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spacing w:before="120" w:after="0"/>
        <w:ind w:left="0" w:firstLine="277"/>
        <w:rPr>
          <w:b w:val="false"/>
        </w:rPr>
      </w:pPr>
      <w:bookmarkStart w:id="15" w:name="_Toc54643706"/>
      <w:bookmarkStart w:id="16" w:name="_Toc51339696"/>
      <w:r>
        <w:rPr>
          <w:b w:val="false"/>
        </w:rPr>
        <w:t xml:space="preserve">Требования </w:t>
      </w:r>
      <w:bookmarkEnd w:id="16"/>
      <w:r>
        <w:rPr>
          <w:b w:val="false"/>
        </w:rPr>
        <w:t>к срокам оказания услуг</w:t>
      </w:r>
      <w:bookmarkEnd w:id="15"/>
    </w:p>
    <w:p>
      <w:pPr>
        <w:pStyle w:val="Heading1"/>
        <w:numPr>
          <w:ilvl w:val="0"/>
          <w:numId w:val="0"/>
        </w:numPr>
        <w:ind w:left="0" w:hanging="0"/>
        <w:rPr>
          <w:b w:val="false"/>
          <w:sz w:val="24"/>
          <w:szCs w:val="24"/>
          <w:lang w:val="ru-RU"/>
        </w:rPr>
      </w:pPr>
      <w:bookmarkStart w:id="17" w:name="_Toc50125126"/>
      <w:bookmarkStart w:id="18" w:name="_Toc54643707"/>
      <w:bookmarkStart w:id="19" w:name="_Toc51339697"/>
      <w:bookmarkStart w:id="20" w:name="_Toc50125127"/>
      <w:bookmarkEnd w:id="17"/>
      <w:r>
        <w:rPr>
          <w:b w:val="false"/>
          <w:sz w:val="24"/>
          <w:szCs w:val="24"/>
        </w:rPr>
        <w:t xml:space="preserve">Таблица </w:t>
      </w:r>
      <w:r>
        <w:rPr>
          <w:b w:val="false"/>
          <w:sz w:val="24"/>
          <w:szCs w:val="24"/>
          <w:lang w:val="ru-RU"/>
        </w:rPr>
        <w:t>2</w:t>
      </w:r>
      <w:r>
        <w:rPr>
          <w:b w:val="false"/>
          <w:sz w:val="24"/>
          <w:szCs w:val="24"/>
        </w:rPr>
        <w:t>.</w:t>
      </w:r>
      <w:r>
        <w:rPr>
          <w:b w:val="false"/>
          <w:sz w:val="24"/>
          <w:szCs w:val="24"/>
          <w:lang w:val="ru-RU"/>
        </w:rPr>
        <w:t>2</w:t>
      </w:r>
      <w:r>
        <w:rPr>
          <w:b w:val="false"/>
          <w:sz w:val="24"/>
          <w:szCs w:val="24"/>
        </w:rPr>
        <w:t xml:space="preserve"> </w:t>
      </w:r>
      <w:bookmarkStart w:id="21" w:name="_Hlk50465284"/>
      <w:r>
        <w:rPr>
          <w:b w:val="false"/>
          <w:sz w:val="24"/>
          <w:szCs w:val="24"/>
        </w:rPr>
        <w:t xml:space="preserve">Требования </w:t>
      </w:r>
      <w:r>
        <w:rPr>
          <w:b w:val="false"/>
          <w:sz w:val="24"/>
          <w:szCs w:val="24"/>
          <w:lang w:val="ru-RU"/>
        </w:rPr>
        <w:t>к</w:t>
      </w:r>
      <w:r>
        <w:rPr>
          <w:b w:val="false"/>
          <w:sz w:val="24"/>
          <w:szCs w:val="24"/>
        </w:rPr>
        <w:t xml:space="preserve"> срокам </w:t>
      </w:r>
      <w:bookmarkEnd w:id="19"/>
      <w:bookmarkEnd w:id="20"/>
      <w:bookmarkEnd w:id="21"/>
      <w:r>
        <w:rPr>
          <w:b w:val="false"/>
          <w:sz w:val="24"/>
          <w:szCs w:val="24"/>
          <w:lang w:val="ru-RU"/>
        </w:rPr>
        <w:t>оказания услуг</w:t>
      </w:r>
      <w:bookmarkEnd w:id="18"/>
    </w:p>
    <w:tbl>
      <w:tblPr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2"/>
        <w:gridCol w:w="5387"/>
        <w:gridCol w:w="1984"/>
        <w:gridCol w:w="2126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4" w:right="-11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10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22" w:name="_Toc46743510"/>
            <w:r>
              <w:rPr>
                <w:sz w:val="24"/>
                <w:szCs w:val="24"/>
              </w:rPr>
              <w:t>4</w:t>
            </w:r>
            <w:bookmarkEnd w:id="22"/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ind w:hanging="0"/>
              <w:jc w:val="left"/>
              <w:rPr/>
            </w:pPr>
            <w:r>
              <w:rPr>
                <w:sz w:val="24"/>
                <w:szCs w:val="24"/>
              </w:rPr>
              <w:t>ОКПД 2: 25.61.12.110. Оказание услуг по замене эластичного металлопластмассового покрытия сегмент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под</w:t>
            </w:r>
            <w:r>
              <w:rPr>
                <w:sz w:val="24"/>
                <w:szCs w:val="24"/>
              </w:rPr>
              <w:t xml:space="preserve">шипника </w:t>
            </w:r>
            <w:r>
              <w:rPr>
                <w:b w:val="false"/>
                <w:bCs w:val="false"/>
                <w:sz w:val="24"/>
                <w:szCs w:val="24"/>
                <w:lang w:val="ru-RU"/>
              </w:rPr>
              <w:t xml:space="preserve">гидроагрегата ст. № </w:t>
            </w:r>
            <w:r>
              <w:rPr>
                <w:b w:val="false"/>
                <w:bCs w:val="false"/>
                <w:sz w:val="24"/>
                <w:szCs w:val="24"/>
                <w:lang w:val="ru-RU"/>
              </w:rPr>
              <w:t>4</w:t>
            </w:r>
            <w:r>
              <w:rPr>
                <w:b w:val="false"/>
                <w:bCs w:val="false"/>
                <w:sz w:val="24"/>
                <w:szCs w:val="24"/>
                <w:lang w:val="ru-RU"/>
              </w:rPr>
              <w:t xml:space="preserve"> для нужд </w:t>
            </w:r>
            <w:r>
              <w:rPr>
                <w:b w:val="false"/>
                <w:bCs w:val="false"/>
                <w:sz w:val="24"/>
                <w:szCs w:val="24"/>
                <w:lang w:val="ru-RU"/>
              </w:rPr>
              <w:t xml:space="preserve">Саяно-Шушенского </w:t>
            </w:r>
            <w:r>
              <w:rPr>
                <w:b w:val="false"/>
                <w:bCs w:val="false"/>
                <w:sz w:val="24"/>
                <w:szCs w:val="24"/>
                <w:lang w:val="ru-RU"/>
              </w:rPr>
              <w:t xml:space="preserve">филиала АО «Гидроремонт-ВКК» </w:t>
            </w:r>
            <w:r>
              <w:rPr>
                <w:b w:val="false"/>
                <w:bCs w:val="false"/>
                <w:sz w:val="24"/>
                <w:szCs w:val="24"/>
                <w:lang w:val="ru-RU"/>
              </w:rPr>
              <w:t>ПУ в г. Заволжье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11" w:hang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даты заключения договора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 xml:space="preserve">не позднее </w:t>
            </w:r>
            <w:r>
              <w:rPr>
                <w:iCs/>
                <w:sz w:val="24"/>
                <w:szCs w:val="24"/>
              </w:rPr>
              <w:t>20</w:t>
            </w:r>
            <w:r>
              <w:rPr>
                <w:iCs/>
                <w:sz w:val="24"/>
                <w:szCs w:val="24"/>
              </w:rPr>
              <w:t>.1</w:t>
            </w:r>
            <w:r>
              <w:rPr>
                <w:iCs/>
                <w:sz w:val="24"/>
                <w:szCs w:val="24"/>
              </w:rPr>
              <w:t>1</w:t>
            </w:r>
            <w:r>
              <w:rPr>
                <w:iCs/>
                <w:sz w:val="24"/>
                <w:szCs w:val="24"/>
              </w:rPr>
              <w:t>.202</w:t>
            </w:r>
            <w:r>
              <w:rPr>
                <w:iCs/>
                <w:sz w:val="24"/>
                <w:szCs w:val="24"/>
              </w:rPr>
              <w:t>6</w:t>
            </w:r>
            <w:r>
              <w:rPr>
                <w:iCs/>
                <w:sz w:val="24"/>
                <w:szCs w:val="24"/>
                <w:lang w:val="en-US"/>
              </w:rPr>
              <w:t>*</w:t>
            </w:r>
          </w:p>
        </w:tc>
      </w:tr>
    </w:tbl>
    <w:p>
      <w:pPr>
        <w:pStyle w:val="Normal"/>
        <w:suppressAutoHyphens w:val="true"/>
        <w:spacing w:before="240" w:after="0"/>
        <w:ind w:firstLine="284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*</w:t>
      </w:r>
      <w:r>
        <w:rPr/>
        <w:t xml:space="preserve"> </w:t>
      </w:r>
      <w:r>
        <w:rPr>
          <w:rFonts w:eastAsia="Calibri"/>
          <w:sz w:val="24"/>
          <w:szCs w:val="24"/>
        </w:rPr>
        <w:t>Срок оказания услуг установлен исходя из требований доходного договора, указанного в пункте 1.2. ТТ</w:t>
      </w:r>
    </w:p>
    <w:p>
      <w:pPr>
        <w:pStyle w:val="Normal"/>
        <w:suppressAutoHyphens w:val="true"/>
        <w:spacing w:before="240" w:after="0"/>
        <w:ind w:firstLine="284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276" w:right="566" w:gutter="0" w:header="568" w:top="993" w:footer="0" w:bottom="567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0" w:firstLine="419"/>
        <w:rPr>
          <w:b w:val="false"/>
        </w:rPr>
      </w:pPr>
      <w:bookmarkStart w:id="23" w:name="_Toc54643709"/>
      <w:bookmarkStart w:id="24" w:name="_Toc51339698"/>
      <w:bookmarkStart w:id="25" w:name="_Toc54643708"/>
      <w:bookmarkStart w:id="26" w:name="_Toc46743511"/>
      <w:r>
        <w:rPr>
          <w:b w:val="false"/>
        </w:rPr>
        <w:t xml:space="preserve">Требования к </w:t>
      </w:r>
      <w:bookmarkEnd w:id="26"/>
      <w:r>
        <w:rPr>
          <w:b w:val="false"/>
          <w:lang w:val="ru-RU"/>
        </w:rPr>
        <w:t>качеству услуг</w:t>
      </w:r>
      <w:bookmarkEnd w:id="25"/>
    </w:p>
    <w:p>
      <w:pPr>
        <w:pStyle w:val="Heading1"/>
        <w:numPr>
          <w:ilvl w:val="0"/>
          <w:numId w:val="0"/>
        </w:numPr>
        <w:ind w:left="0" w:firstLine="419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Таблица </w:t>
      </w:r>
      <w:r>
        <w:rPr>
          <w:b w:val="false"/>
          <w:sz w:val="24"/>
          <w:szCs w:val="24"/>
          <w:lang w:val="ru-RU"/>
        </w:rPr>
        <w:t>2</w:t>
      </w:r>
      <w:r>
        <w:rPr>
          <w:b w:val="false"/>
          <w:sz w:val="24"/>
          <w:szCs w:val="24"/>
        </w:rPr>
        <w:t>.</w:t>
      </w:r>
      <w:r>
        <w:rPr>
          <w:b w:val="false"/>
          <w:sz w:val="24"/>
          <w:szCs w:val="24"/>
          <w:lang w:val="ru-RU"/>
        </w:rPr>
        <w:t>3</w:t>
      </w:r>
      <w:r>
        <w:rPr>
          <w:b w:val="false"/>
          <w:sz w:val="24"/>
          <w:szCs w:val="24"/>
        </w:rPr>
        <w:t xml:space="preserve"> Требования к </w:t>
      </w:r>
      <w:bookmarkEnd w:id="24"/>
      <w:r>
        <w:rPr>
          <w:b w:val="false"/>
          <w:sz w:val="24"/>
          <w:szCs w:val="24"/>
          <w:lang w:val="ru-RU"/>
        </w:rPr>
        <w:t>качеству услуг</w:t>
      </w:r>
      <w:bookmarkEnd w:id="23"/>
      <w:r>
        <w:rPr>
          <w:b w:val="false"/>
          <w:sz w:val="24"/>
          <w:szCs w:val="24"/>
        </w:rPr>
        <w:t xml:space="preserve"> </w:t>
      </w:r>
    </w:p>
    <w:tbl>
      <w:tblPr>
        <w:tblStyle w:val="af"/>
        <w:tblW w:w="4900" w:type="pct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5"/>
        <w:gridCol w:w="2895"/>
        <w:gridCol w:w="6288"/>
        <w:gridCol w:w="2542"/>
        <w:gridCol w:w="2404"/>
      </w:tblGrid>
      <w:tr>
        <w:trPr/>
        <w:tc>
          <w:tcPr>
            <w:tcW w:w="70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9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28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Требование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Заказчика</w:t>
            </w:r>
          </w:p>
        </w:tc>
        <w:tc>
          <w:tcPr>
            <w:tcW w:w="4946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70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9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28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4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40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70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89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2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54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40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70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8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Требования к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оказанию услуг.</w:t>
            </w:r>
          </w:p>
        </w:tc>
        <w:tc>
          <w:tcPr>
            <w:tcW w:w="2542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4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5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918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услуг.</w:t>
            </w:r>
          </w:p>
        </w:tc>
        <w:tc>
          <w:tcPr>
            <w:tcW w:w="2542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4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5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8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Требования к составу и содержанию услуг по замене эластичного металлопластмассового покрытия сегмент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под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шипника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гидроагрегата ст. №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: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удаление старого покрытия.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подготовка поверхностей к нанесению нового покрытия.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нанесение эластичного металлопластмассового покрытия в соответствии с требованиями чертежа.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окончательная обработка сегмента.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предъявление результатов работ Заказчику, оформление документации.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Показатели качества используемых материалов, изделий, конструкций и оборудования, параметры технологических процессов, качество законченных работ должны полностью соответствовать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всем требованиям, указанным в проектной/ рабочей документации завода-изготовителя (черт.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5БС.269.865 СБ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Сегмент под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шипника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). Оказание услуг должно соответствовать обязательным требованиям, установленным нормативными документами, действующими в РФ, стандартами и техническими условиями. Результаты всех видов контроля должны быть обязательно зафиксированы в технической приемо-сдаточной документации.</w:t>
            </w:r>
          </w:p>
        </w:tc>
        <w:tc>
          <w:tcPr>
            <w:tcW w:w="2542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оказать услугу,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404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5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8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542" w:type="dxa"/>
            <w:vMerge w:val="continue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04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5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8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выполняются ресурсами и материалами Исполнителя</w:t>
            </w:r>
          </w:p>
        </w:tc>
        <w:tc>
          <w:tcPr>
            <w:tcW w:w="2542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</w:tr>
      <w:tr>
        <w:trPr/>
        <w:tc>
          <w:tcPr>
            <w:tcW w:w="70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8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Требования к результатам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услуг.</w:t>
            </w:r>
          </w:p>
        </w:tc>
        <w:tc>
          <w:tcPr>
            <w:tcW w:w="2542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04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5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8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оказании услуг.</w:t>
            </w:r>
          </w:p>
        </w:tc>
        <w:tc>
          <w:tcPr>
            <w:tcW w:w="2542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04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5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8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Подлежащая применению при выполнении ремонта нормативная, техническая, технологическая и организационно–распорядительная документация должна соответствовать требованиям национальных стандартов, нормативных документов федерального органа государственной власти, уполномоченного в области технического надзора в электроэнергетике, стандартов и руководящих документов, действующих в отрасли, правил, норм и инструкций по безопасности труда.  </w:t>
            </w:r>
          </w:p>
        </w:tc>
        <w:tc>
          <w:tcPr>
            <w:tcW w:w="2542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04" w:type="dxa"/>
            <w:tcBorders/>
          </w:tcPr>
          <w:p>
            <w:pPr>
              <w:pStyle w:val="Style29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8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542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04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705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488" w:hanging="431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83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ind w:left="-54" w:right="-122" w:hanging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Оказание услуг должно соответствовать основным характеристикам и требованиям Заказчика, государственным стандартам (техническим регламентам), техническим условиям и другой нормативно-технической документации, правилам техники безопасности, пожарной безопасности и промсанитарии.</w:t>
            </w:r>
          </w:p>
        </w:tc>
        <w:tc>
          <w:tcPr>
            <w:tcW w:w="2542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04" w:type="dxa"/>
            <w:tcBorders/>
          </w:tcPr>
          <w:p>
            <w:pPr>
              <w:pStyle w:val="Style29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8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2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542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04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5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488" w:hanging="431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8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Гарантийный срок не менее 60 месяцев со дня подписания Акта сдачи-приемки услуг за весь объем оказанных услуг. Исполнитель обязан своими силами и за свой счет устранить недостатки, несоответствия и/или дефекты, обнаруженные в течение Гарантийного срока в срок, указанный в Акте о недостатках, составленном Закачиком и Исполнителем. Составленный Заказчиком односторонний Акт о недостатках имеет для Исполнителя юридическую силу и является основанием для привлечения его к ответственности. Если Исполнитель не устранит недостатки в установленный срок, Заказчик вправе собственными силами и/или силами третьих лиц выполнить необходимые услуги по устранению недостатков с отнесением соответствующих расходов на Исполнителя.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Устранение недостатков не освобождает Исполнителя от обязанности возмещения убытков, причиненных Заказчику вследствие наличия таких недостатков. Гарантийный срок увеличивается на период времени, в течении которого невозможно было эксплуатировать поставленную продукцию вследствие обнаруженных недостатков и начинает исчисляться заново с даты приемки услуг по устранению недостатков. Условия оказания гарантийных обязательств Исполнителя не должны включать требование привлечения для монтажа, подготовки к оказанию услуг и технического обслуживания оборудования, специально аккредитованных производителем организаций или специалистов.</w:t>
            </w:r>
          </w:p>
        </w:tc>
        <w:tc>
          <w:tcPr>
            <w:tcW w:w="2542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8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по результатам оказания услуг</w:t>
            </w:r>
          </w:p>
        </w:tc>
        <w:tc>
          <w:tcPr>
            <w:tcW w:w="2542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5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488" w:hanging="431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8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Исполнителю необходимо совместно с Актом сдачи-приемки Услуг предоставить Заказчику следующие документы: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- ведомость выполненных работ по ремонту;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формуляры, карты контроля, карты измерений, протоколы и иные документы, характеризующие (фиксирующие) состояние составных частей оборудования после выполнения ремонтных работ и степень соответствия отремонтированных составных частей требованиям нормативно-технической документации;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- сертификаты на использованные в процессе ремонта материалы.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 должны соответствовать требованиям Правила организации технического обслуживания и ремонта объектов электроэнергетики, утв. Приказом Минэнерго России № 1013 от 25.10.2017. </w:t>
            </w:r>
            <w:bookmarkStart w:id="27" w:name="_MailEndCompose"/>
            <w:bookmarkEnd w:id="27"/>
          </w:p>
        </w:tc>
        <w:tc>
          <w:tcPr>
            <w:tcW w:w="2542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before="0" w:after="60"/>
        <w:ind w:firstLine="284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before="0" w:after="60"/>
        <w:outlineLvl w:val="0"/>
        <w:rPr>
          <w:rFonts w:eastAsia="Calibri"/>
          <w:sz w:val="24"/>
          <w:lang w:val="x-none" w:eastAsia="x-none"/>
        </w:rPr>
      </w:pPr>
      <w:bookmarkStart w:id="28" w:name="_Toc199597386"/>
      <w:r>
        <w:rPr>
          <w:rFonts w:eastAsia="Calibri"/>
          <w:sz w:val="24"/>
          <w:lang w:val="x-none" w:eastAsia="x-none"/>
        </w:rPr>
        <w:t>3</w:t>
      </w:r>
      <w:r>
        <w:rPr>
          <w:rFonts w:eastAsia="Calibri"/>
          <w:i/>
          <w:sz w:val="24"/>
          <w:lang w:val="x-none" w:eastAsia="x-none"/>
        </w:rPr>
        <w:t xml:space="preserve">.  </w:t>
      </w:r>
      <w:r>
        <w:rPr>
          <w:rFonts w:eastAsia="Calibri"/>
          <w:sz w:val="24"/>
          <w:lang w:val="x-none" w:eastAsia="x-none"/>
        </w:rPr>
        <w:t>Требования к документации по ценообразованию на этапе закупки.</w:t>
      </w:r>
      <w:bookmarkEnd w:id="28"/>
    </w:p>
    <w:p>
      <w:pPr>
        <w:pStyle w:val="Normal"/>
        <w:tabs>
          <w:tab w:val="clear" w:pos="708"/>
          <w:tab w:val="left" w:pos="567" w:leader="none"/>
        </w:tabs>
        <w:rPr>
          <w:sz w:val="24"/>
        </w:rPr>
      </w:pPr>
      <w:r>
        <w:rPr>
          <w:sz w:val="24"/>
        </w:rPr>
        <w:t>3.1.  В обоснование стоимости своей заявки Участник предоставляет Коммерческое предложение.  Дополнительные документы по ценообразованию (сметная документация) в состав заявки Участника не включается</w:t>
      </w:r>
    </w:p>
    <w:p>
      <w:pPr>
        <w:pStyle w:val="Normal"/>
        <w:tabs>
          <w:tab w:val="clear" w:pos="708"/>
          <w:tab w:val="left" w:pos="567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keepNext w:val="true"/>
        <w:numPr>
          <w:ilvl w:val="0"/>
          <w:numId w:val="0"/>
        </w:numPr>
        <w:spacing w:before="0" w:after="60"/>
        <w:ind w:firstLine="284"/>
        <w:outlineLvl w:val="0"/>
        <w:rPr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1134" w:right="567" w:gutter="0" w:header="426" w:top="993" w:footer="0" w:bottom="709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 w:val="false"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51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3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07082"/>
    <w:pPr>
      <w:keepNext w:val="true"/>
      <w:numPr>
        <w:ilvl w:val="2"/>
        <w:numId w:val="3"/>
      </w:numPr>
      <w:tabs>
        <w:tab w:val="clear" w:pos="708"/>
        <w:tab w:val="left" w:pos="993" w:leader="none"/>
      </w:tabs>
      <w:spacing w:before="120" w:after="60"/>
      <w:ind w:left="0" w:firstLine="277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407082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basedOn w:val="DefaultParagraphFont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Основной текст_"/>
    <w:link w:val="19"/>
    <w:uiPriority w:val="99"/>
    <w:qFormat/>
    <w:locked/>
    <w:rsid w:val="007829b4"/>
    <w:rPr>
      <w:sz w:val="28"/>
      <w:szCs w:val="28"/>
      <w:shd w:fill="FFFFFF" w:val="clear"/>
    </w:rPr>
  </w:style>
  <w:style w:type="character" w:styleId="Style15" w:customStyle="1">
    <w:name w:val="Основной текст + Малые прописные"/>
    <w:uiPriority w:val="99"/>
    <w:qFormat/>
    <w:rsid w:val="007829b4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Style16">
    <w:name w:val="Ссылка указателя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65d0f"/>
    <w:pPr>
      <w:tabs>
        <w:tab w:val="clear" w:pos="708"/>
        <w:tab w:val="left" w:pos="560" w:leader="none"/>
        <w:tab w:val="left" w:pos="709" w:leader="none"/>
        <w:tab w:val="right" w:pos="9911" w:leader="dot"/>
      </w:tabs>
      <w:ind w:firstLine="142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65d0f"/>
    <w:pPr>
      <w:tabs>
        <w:tab w:val="clear" w:pos="708"/>
        <w:tab w:val="left" w:pos="851" w:leader="none"/>
        <w:tab w:val="right" w:pos="9911" w:leader="none"/>
      </w:tabs>
      <w:ind w:firstLine="142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3" w:customStyle="1">
    <w:name w:val="List 3"/>
    <w:basedOn w:val="Normal"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left" w:pos="567" w:leader="none"/>
        <w:tab w:val="left" w:pos="993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9" w:customStyle="1">
    <w:name w:val="Основной текст1"/>
    <w:basedOn w:val="Normal"/>
    <w:link w:val="Style14"/>
    <w:uiPriority w:val="99"/>
    <w:qFormat/>
    <w:rsid w:val="007829b4"/>
    <w:pPr>
      <w:widowControl w:val="false"/>
      <w:shd w:val="clear" w:color="auto" w:fill="FFFFFF"/>
      <w:spacing w:lineRule="exact" w:line="302"/>
    </w:pPr>
    <w:rPr/>
  </w:style>
  <w:style w:type="paragraph" w:styleId="Style3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2C474-0834-4381-9A1F-DA1EC3E57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AlterOffice/3.4.0.9$Linux_X86_64 LibreOffice_project/b8daf9e823b1a5463a2f48435ddc2e8696e7d4fc</Application>
  <AppVersion>15.0000</AppVersion>
  <DocSecurity>4</DocSecurity>
  <Pages>7</Pages>
  <Words>1191</Words>
  <Characters>8588</Characters>
  <CharactersWithSpaces>9600</CharactersWithSpaces>
  <Paragraphs>130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2026-09-08T06:50:00Z</dcterms:created>
  <dc:creator>Быстров Олег Геннадьевич</dc:creator>
  <dc:description/>
  <dc:language>ru-RU</dc:language>
  <cp:lastModifiedBy>kudryavtsevaen@corp.gidroogk.com</cp:lastModifiedBy>
  <cp:lastPrinted>2026-09-11T10:07:21Z</cp:lastPrinted>
  <dcterms:modified xsi:type="dcterms:W3CDTF">2026-09-11T10:04:16Z</dcterms:modified>
  <cp:revision>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