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387" w:right="-2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>
      <w:pPr>
        <w:pStyle w:val="Normal"/>
        <w:ind w:left="5387" w:right="-2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Первый заместитель директора -</w:t>
      </w:r>
    </w:p>
    <w:p>
      <w:pPr>
        <w:pStyle w:val="Normal"/>
        <w:ind w:left="5387" w:right="-2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Главный инженер филиала </w:t>
      </w:r>
    </w:p>
    <w:p>
      <w:pPr>
        <w:pStyle w:val="Normal"/>
        <w:ind w:left="5387" w:right="-2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Воткинского филиала </w:t>
      </w:r>
    </w:p>
    <w:p>
      <w:pPr>
        <w:pStyle w:val="Normal"/>
        <w:ind w:left="5387" w:right="-2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АО “Гидроремонт-ВКК”</w:t>
      </w:r>
    </w:p>
    <w:p>
      <w:pPr>
        <w:pStyle w:val="Normal"/>
        <w:ind w:left="5387" w:right="-2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г. Чайковский</w:t>
      </w:r>
    </w:p>
    <w:p>
      <w:pPr>
        <w:pStyle w:val="Normal"/>
        <w:ind w:left="5387" w:right="-2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 Э.</w:t>
      </w:r>
      <w:r>
        <w:rPr>
          <w:rFonts w:eastAsia="Calibri"/>
          <w:sz w:val="24"/>
          <w:szCs w:val="24"/>
          <w:lang w:val="en-US"/>
        </w:rPr>
        <w:t xml:space="preserve"> </w:t>
      </w:r>
      <w:r>
        <w:rPr>
          <w:rFonts w:eastAsia="Calibri"/>
          <w:sz w:val="24"/>
          <w:szCs w:val="24"/>
        </w:rPr>
        <w:t>В.</w:t>
      </w:r>
      <w:r>
        <w:rPr>
          <w:rFonts w:eastAsia="Calibri"/>
          <w:sz w:val="24"/>
          <w:szCs w:val="24"/>
          <w:lang w:val="en-US"/>
        </w:rPr>
        <w:t xml:space="preserve"> </w:t>
      </w:r>
      <w:r>
        <w:rPr>
          <w:rFonts w:eastAsia="Calibri"/>
          <w:sz w:val="24"/>
          <w:szCs w:val="24"/>
        </w:rPr>
        <w:t>Сальников</w:t>
      </w:r>
    </w:p>
    <w:p>
      <w:pPr>
        <w:pStyle w:val="Normal"/>
        <w:ind w:left="5387" w:right="-2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«____» 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b/>
          <w:sz w:val="24"/>
        </w:rPr>
        <w:t>«ОКПД 2 26.51.20.110 Разработка рабочей документации для установки антенн ВЧ связи  на Воткинской ГЭС»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Calibri"/>
          <w:b/>
          <w:color w:val="000000" w:themeColor="text1"/>
          <w:sz w:val="24"/>
          <w:szCs w:val="24"/>
        </w:rPr>
        <w:t xml:space="preserve">Лот № _______-2026-ВотГЭС 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  <w:r>
        <w:br w:type="page"/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5038" w:hanging="0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rStyle w:val="Style14"/>
              <w:rFonts w:eastAsia="Calibri"/>
            </w:rPr>
            <w:instrText xml:space="preserve"> TOC \f \o "1-9" \h</w:instrText>
          </w:r>
          <w:r>
            <w:rPr>
              <w:rStyle w:val="Style14"/>
              <w:rFonts w:eastAsia="Calibri"/>
            </w:rPr>
            <w:fldChar w:fldCharType="separate"/>
          </w:r>
          <w:hyperlink w:anchor="_Toc239927070">
            <w:r>
              <w:rPr>
                <w:rStyle w:val="Style14"/>
                <w:rFonts w:eastAsia="Calibri"/>
              </w:rPr>
              <w:t>1. 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1">
            <w:r>
              <w:rPr>
                <w:rStyle w:val="Style14"/>
                <w:rFonts w:eastAsia="Calibri"/>
              </w:rPr>
              <w:t>1.1.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2">
            <w:r>
              <w:rPr>
                <w:rStyle w:val="Style14"/>
                <w:rFonts w:eastAsia="Calibri"/>
              </w:rPr>
              <w:t>1.2.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3">
            <w:r>
              <w:rPr>
                <w:rStyle w:val="Style14"/>
                <w:rFonts w:eastAsia="Calibri"/>
              </w:rPr>
              <w:t>1.3. 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4">
            <w:r>
              <w:rPr>
                <w:rStyle w:val="Style14"/>
                <w:rFonts w:eastAsia="Calibri"/>
              </w:rPr>
              <w:t>1.4.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5">
            <w:r>
              <w:rPr>
                <w:rStyle w:val="Style14"/>
                <w:rFonts w:eastAsia="Calibri"/>
              </w:rPr>
              <w:t>2.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6">
            <w:r>
              <w:rPr>
                <w:rStyle w:val="Style14"/>
                <w:rFonts w:eastAsia="Calibri"/>
              </w:rPr>
              <w:t>2.1. 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7">
            <w:r>
              <w:rPr>
                <w:rStyle w:val="Style14"/>
                <w:rFonts w:eastAsia="Calibri"/>
              </w:rPr>
              <w:t>Таблица 1. Перечень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8">
            <w:r>
              <w:rPr>
                <w:rStyle w:val="Style14"/>
                <w:rFonts w:eastAsia="Calibri"/>
              </w:rPr>
              <w:t>Таблица 1.2. Перечень и объем закупаемых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79">
            <w:r>
              <w:rPr>
                <w:rStyle w:val="Style14"/>
                <w:rFonts w:eastAsia="Calibri"/>
              </w:rPr>
              <w:t>2.1.2. Требования по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80">
            <w:r>
              <w:rPr>
                <w:rStyle w:val="Style14"/>
                <w:rFonts w:eastAsia="Calibri"/>
              </w:rPr>
              <w:t>Таблица 2.1.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81">
            <w:r>
              <w:rPr>
                <w:rStyle w:val="Style14"/>
                <w:rFonts w:eastAsia="Calibri"/>
              </w:rPr>
              <w:t>Таблица 2.2. Требования по срокам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82">
            <w:r>
              <w:rPr>
                <w:rStyle w:val="Style14"/>
                <w:rFonts w:eastAsia="Calibri"/>
              </w:rPr>
              <w:t>2.2.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83">
            <w:r>
              <w:rPr>
                <w:rStyle w:val="Style14"/>
                <w:rFonts w:eastAsia="Calibri"/>
              </w:rPr>
              <w:t>Таблица 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84">
            <w:r>
              <w:rPr>
                <w:rStyle w:val="Style14"/>
                <w:rFonts w:eastAsia="Calibri"/>
              </w:rPr>
              <w:t>2.3. 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9927085">
            <w:r>
              <w:rPr>
                <w:rStyle w:val="Style14"/>
                <w:rFonts w:eastAsia="Calibri"/>
              </w:rPr>
              <w:t>Состав передаваемой рабочей документации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_Toc239927085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21" w:leader="dot"/>
            </w:tabs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rPr/>
      </w:pPr>
      <w:r>
        <w:rPr/>
        <w:br/>
      </w:r>
    </w:p>
    <w:p>
      <w:pPr>
        <w:pStyle w:val="Heading1"/>
        <w:numPr>
          <w:ilvl w:val="0"/>
          <w:numId w:val="0"/>
        </w:numPr>
        <w:ind w:left="5038" w:hanging="0"/>
        <w:rPr/>
      </w:pPr>
      <w:r>
        <w:rPr/>
      </w:r>
      <w:r>
        <w:br w:type="page"/>
      </w:r>
    </w:p>
    <w:p>
      <w:pPr>
        <w:pStyle w:val="Heading1"/>
        <w:numPr>
          <w:ilvl w:val="0"/>
          <w:numId w:val="0"/>
        </w:numPr>
        <w:ind w:left="0" w:hanging="0"/>
        <w:jc w:val="center"/>
        <w:rPr/>
      </w:pPr>
      <w:bookmarkStart w:id="0" w:name="_Toc239927070"/>
      <w:r>
        <w:rPr/>
        <w:t>1. Общие сведения</w:t>
      </w:r>
      <w:bookmarkEnd w:id="0"/>
    </w:p>
    <w:p>
      <w:pPr>
        <w:pStyle w:val="Heading2"/>
        <w:numPr>
          <w:ilvl w:val="0"/>
        </w:numPr>
        <w:ind w:left="432" w:hanging="432"/>
        <w:rPr/>
      </w:pPr>
      <w:bookmarkStart w:id="1" w:name="_Toc239927071"/>
      <w:r>
        <w:rPr/>
        <w:t>1.1. Обозначения и сокращения</w:t>
      </w:r>
      <w:bookmarkEnd w:id="1"/>
    </w:p>
    <w:tbl>
      <w:tblPr>
        <w:tblStyle w:val="affff8"/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955"/>
        <w:gridCol w:w="4955"/>
      </w:tblGrid>
      <w:tr>
        <w:trPr/>
        <w:tc>
          <w:tcPr>
            <w:tcW w:w="4955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Обозначение</w:t>
            </w:r>
          </w:p>
        </w:tc>
        <w:tc>
          <w:tcPr>
            <w:tcW w:w="4955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Расшифровка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Заказчик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Воткинский филиал АО «Гидроремонт-ВКК” в г Чайковский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lang w:val="en-US"/>
              </w:rPr>
            </w:pPr>
            <w:r>
              <w:rPr>
                <w:rFonts w:eastAsia="Times New Roman" w:cs="Times New Roman"/>
                <w:kern w:val="0"/>
                <w:sz w:val="18"/>
                <w:lang w:val="en-US" w:eastAsia="ru-RU" w:bidi="ar-SA"/>
              </w:rPr>
              <w:t>Собственник объекта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Филиал ПАО «РусГидро» - «Воткинская ГЭС»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ВЧ связь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Высокочастотная связь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СМР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Строительно-монтажные работы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ПНР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Пуско-наладочные работы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РД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Рабочая документация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ТТ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Технические требования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Поставщик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Организация — исполнитель работ по разработке рабочей документации</w:t>
            </w:r>
          </w:p>
        </w:tc>
      </w:tr>
      <w:tr>
        <w:trPr/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ТУ</w:t>
            </w:r>
          </w:p>
        </w:tc>
        <w:tc>
          <w:tcPr>
            <w:tcW w:w="4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Технические условия / требования на технологическое присоединение</w:t>
            </w:r>
          </w:p>
        </w:tc>
      </w:tr>
    </w:tbl>
    <w:p>
      <w:pPr>
        <w:pStyle w:val="Heading2"/>
        <w:numPr>
          <w:ilvl w:val="0"/>
        </w:numPr>
        <w:ind w:left="432" w:hanging="432"/>
        <w:rPr/>
      </w:pPr>
      <w:bookmarkStart w:id="2" w:name="_Toc239927072"/>
      <w:r>
        <w:rPr/>
        <w:t>1.2. Наименование закупаемой продукции</w:t>
      </w:r>
      <w:bookmarkEnd w:id="2"/>
    </w:p>
    <w:p>
      <w:pPr>
        <w:pStyle w:val="Normal"/>
        <w:spacing w:before="0" w:after="60"/>
        <w:ind w:firstLine="709"/>
        <w:rPr/>
      </w:pPr>
      <w:r>
        <w:rPr/>
        <w:t>ОКПД 2 26.51.20.110 Разработка рабочей документации для установки антенн высокочастотной связи  п на  Воткинской ГЭС (далее - антенн ВЧ).</w:t>
      </w:r>
    </w:p>
    <w:p>
      <w:pPr>
        <w:pStyle w:val="Heading2"/>
        <w:numPr>
          <w:ilvl w:val="0"/>
        </w:numPr>
        <w:ind w:left="432" w:hanging="432"/>
        <w:rPr/>
      </w:pPr>
      <w:bookmarkStart w:id="3" w:name="_Toc239927073"/>
      <w:r>
        <w:rPr/>
        <w:t>1.3. Цель использования закупаемой продукции</w:t>
      </w:r>
      <w:bookmarkEnd w:id="3"/>
    </w:p>
    <w:p>
      <w:pPr>
        <w:pStyle w:val="Normal"/>
        <w:spacing w:before="0" w:after="60"/>
        <w:ind w:firstLine="709"/>
        <w:jc w:val="both"/>
        <w:rPr/>
      </w:pPr>
      <w:r>
        <w:rPr/>
        <w:t xml:space="preserve"> </w:t>
      </w:r>
      <w:r>
        <w:rPr/>
        <w:t>разработка рабочей документации, достаточной для выполнения строительно-монтажных работ по установке пяти антенн  ВЧ Воткинской ГЭС, их подключению к электрической сети и сети связи, оформления и согласования необходимых технических решений и технических присоединении.</w:t>
      </w:r>
    </w:p>
    <w:p>
      <w:pPr>
        <w:pStyle w:val="Normal"/>
        <w:spacing w:before="0" w:after="60"/>
        <w:ind w:firstLine="709"/>
        <w:rPr/>
      </w:pPr>
      <w:r>
        <w:rPr/>
      </w:r>
    </w:p>
    <w:p>
      <w:pPr>
        <w:pStyle w:val="Heading2"/>
        <w:numPr>
          <w:ilvl w:val="0"/>
        </w:numPr>
        <w:ind w:left="432" w:hanging="432"/>
        <w:rPr/>
      </w:pPr>
      <w:bookmarkStart w:id="4" w:name="_Toc239927074"/>
      <w:r>
        <w:rPr/>
        <w:t>1.4. Существующее положение</w:t>
      </w:r>
      <w:bookmarkEnd w:id="4"/>
    </w:p>
    <w:p>
      <w:pPr>
        <w:pStyle w:val="Normal"/>
        <w:spacing w:before="0" w:after="60"/>
        <w:ind w:firstLine="709"/>
        <w:jc w:val="both"/>
        <w:rPr/>
      </w:pPr>
      <w:r>
        <w:rPr/>
        <w:t>В настоящее время на Воткинской ГЭС отсутствуют с—антенны вч связи.</w:t>
      </w:r>
    </w:p>
    <w:p>
      <w:pPr>
        <w:pStyle w:val="Normal"/>
        <w:spacing w:before="0" w:after="60"/>
        <w:ind w:firstLine="709"/>
        <w:jc w:val="both"/>
        <w:rPr/>
      </w:pPr>
      <w:r>
        <w:rPr/>
        <w:t xml:space="preserve">Места размещения антенн определены, а именно:  </w:t>
      </w:r>
    </w:p>
    <w:p>
      <w:pPr>
        <w:pStyle w:val="Normal"/>
        <w:spacing w:before="0" w:after="60"/>
        <w:ind w:firstLine="709"/>
        <w:jc w:val="both"/>
        <w:rPr/>
      </w:pPr>
      <w:r>
        <w:rPr/>
        <w:t>- 2 антенны располагаются на территории Воткинской ГЭС на существующих мачтовых конструкциях</w:t>
      </w:r>
    </w:p>
    <w:p>
      <w:pPr>
        <w:pStyle w:val="Normal"/>
        <w:spacing w:before="0" w:after="60"/>
        <w:ind w:firstLine="709"/>
        <w:jc w:val="both"/>
        <w:rPr/>
      </w:pPr>
      <w:r>
        <w:rPr/>
        <w:t>- 3 антенны располагаются вне территории Филиала, на объектах иных собственников.</w:t>
      </w:r>
    </w:p>
    <w:p>
      <w:pPr>
        <w:pStyle w:val="Normal"/>
        <w:spacing w:before="0" w:after="60"/>
        <w:ind w:firstLine="709"/>
        <w:jc w:val="both"/>
        <w:rPr/>
      </w:pPr>
      <w:r>
        <w:rPr/>
        <w:t xml:space="preserve">Закупка антенн ВЧ, а также шеф сопровождение монтажных работ со стороны завода изготовителя выполняется </w:t>
      </w:r>
      <w:r>
        <w:rPr>
          <w:szCs w:val="28"/>
        </w:rPr>
        <w:t>Воткинской</w:t>
      </w:r>
      <w:r>
        <w:rPr/>
        <w:t xml:space="preserve"> ГЭС в рамках иного договора.  </w:t>
      </w:r>
    </w:p>
    <w:p>
      <w:pPr>
        <w:pStyle w:val="Normal"/>
        <w:spacing w:before="0" w:after="60"/>
        <w:ind w:firstLine="709"/>
        <w:jc w:val="both"/>
        <w:rPr/>
      </w:pPr>
      <w:r>
        <w:rPr/>
        <w:t>Определение мест крепления на конструкции, способ их крепления, обследование существующих конструкций и коммуникаций, оценка возможности размещения и выбор технических решений должны выполняться Исполнителем в рамках предпроектного обследования.</w:t>
      </w:r>
    </w:p>
    <w:p>
      <w:pPr>
        <w:pStyle w:val="Normal"/>
        <w:spacing w:before="0" w:after="60"/>
        <w:ind w:firstLine="709"/>
        <w:jc w:val="both"/>
        <w:rPr/>
      </w:pPr>
      <w:r>
        <w:rPr/>
        <w:t>Исходные данные по устанавливаемым антеннам и связанному с ними оборудованию, в том числе характеристики потребляемой электрической мощности, номинальное напряжение, требования к электропитанию, тип и параметры интерфейса/способ подключения к сети связи, предоставляются Воткинской ГЭС . Исполнитель обязан запросить у Собственника объекта предполагаемого места размещения технические условия на подключение к сетям ЭЭ и IT-системам, а также недостающие исходные данные для разработки соответствующих проектных решений.</w:t>
      </w:r>
    </w:p>
    <w:p>
      <w:pPr>
        <w:pStyle w:val="Normal"/>
        <w:spacing w:before="0" w:after="60"/>
        <w:ind w:firstLine="709"/>
        <w:jc w:val="both"/>
        <w:rPr/>
      </w:pPr>
      <w:r>
        <w:rPr/>
        <w:t>Исполнитель обязан самостоятельно запросить у Владельца иного объекта (иные собственники вне территории) недостающие исходные данные и согласования для разработки соответствующих проектных решений и учитывать полученные сведения в РД.</w:t>
      </w:r>
    </w:p>
    <w:p>
      <w:pPr>
        <w:pStyle w:val="Normal"/>
        <w:spacing w:before="0" w:after="60"/>
        <w:ind w:firstLine="709"/>
        <w:jc w:val="both"/>
        <w:rPr/>
      </w:pPr>
      <w:r>
        <w:rPr/>
        <w:t>Проектные решения согласовать с Собственником объекта по результатам предпроектного обследования.</w:t>
      </w:r>
    </w:p>
    <w:p>
      <w:pPr>
        <w:pStyle w:val="Heading1"/>
        <w:numPr>
          <w:ilvl w:val="0"/>
          <w:numId w:val="0"/>
        </w:numPr>
        <w:ind w:left="0" w:hanging="0"/>
        <w:jc w:val="center"/>
        <w:rPr/>
      </w:pPr>
      <w:bookmarkStart w:id="5" w:name="_Toc239927075"/>
      <w:r>
        <w:rPr/>
        <w:t>2. Требования к продукции</w:t>
      </w:r>
      <w:bookmarkEnd w:id="5"/>
    </w:p>
    <w:p>
      <w:pPr>
        <w:pStyle w:val="Heading2"/>
        <w:numPr>
          <w:ilvl w:val="0"/>
        </w:numPr>
        <w:ind w:left="432" w:hanging="432"/>
        <w:rPr/>
      </w:pPr>
      <w:bookmarkStart w:id="6" w:name="_Toc239927076"/>
      <w:r>
        <w:rPr/>
        <w:t>2.1. Требования к объемам и срокам поставки</w:t>
      </w:r>
      <w:bookmarkEnd w:id="6"/>
    </w:p>
    <w:p>
      <w:pPr>
        <w:pStyle w:val="Normal"/>
        <w:spacing w:before="0" w:after="60"/>
        <w:ind w:firstLine="709"/>
        <w:jc w:val="both"/>
        <w:rPr/>
      </w:pPr>
      <w:r>
        <w:rPr/>
        <w:t xml:space="preserve">Результатом выполнения работ является комплект Рабочей документации для установки 5 антенн ВЧ связи  на Воткинской ГЭС </w:t>
      </w:r>
    </w:p>
    <w:p>
      <w:pPr>
        <w:pStyle w:val="Normal"/>
        <w:spacing w:before="0" w:after="60"/>
        <w:ind w:firstLine="709"/>
        <w:jc w:val="both"/>
        <w:rPr/>
      </w:pPr>
      <w:r>
        <w:rPr/>
        <w:t>2.1.1. Перечень закупаемой продукции</w:t>
      </w:r>
    </w:p>
    <w:p>
      <w:pPr>
        <w:pStyle w:val="Heading2"/>
        <w:numPr>
          <w:ilvl w:val="0"/>
        </w:numPr>
        <w:ind w:left="432" w:hanging="432"/>
        <w:rPr/>
      </w:pPr>
      <w:bookmarkStart w:id="7" w:name="_Toc239927077"/>
      <w:r>
        <w:rPr/>
        <w:t>Таблица 1. Перечень закупаемой продукции</w:t>
      </w:r>
      <w:bookmarkEnd w:id="7"/>
    </w:p>
    <w:tbl>
      <w:tblPr>
        <w:tblStyle w:val="affff8"/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94"/>
        <w:gridCol w:w="6983"/>
        <w:gridCol w:w="1246"/>
        <w:gridCol w:w="1187"/>
      </w:tblGrid>
      <w:tr>
        <w:trPr/>
        <w:tc>
          <w:tcPr>
            <w:tcW w:w="494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п/п</w:t>
            </w:r>
          </w:p>
        </w:tc>
        <w:tc>
          <w:tcPr>
            <w:tcW w:w="6983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1246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Единица измерения</w:t>
            </w:r>
          </w:p>
        </w:tc>
        <w:tc>
          <w:tcPr>
            <w:tcW w:w="1187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Количество</w:t>
            </w:r>
          </w:p>
        </w:tc>
      </w:tr>
      <w:tr>
        <w:trPr/>
        <w:tc>
          <w:tcPr>
            <w:tcW w:w="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  <w:tc>
          <w:tcPr>
            <w:tcW w:w="69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 xml:space="preserve">Разработка рабочей документации 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18"/>
                <w:lang w:val="en-US" w:eastAsia="ru-RU" w:bidi="ar-SA"/>
              </w:rPr>
              <w:t>Комп.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4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lang w:val="en-US"/>
              </w:rPr>
            </w:pPr>
            <w:r>
              <w:rPr>
                <w:rFonts w:eastAsia="Times New Roman" w:cs="Times New Roman"/>
                <w:kern w:val="0"/>
                <w:sz w:val="18"/>
                <w:lang w:val="en-US" w:eastAsia="ru-RU" w:bidi="ar-SA"/>
              </w:rPr>
              <w:t>2</w:t>
            </w:r>
          </w:p>
        </w:tc>
        <w:tc>
          <w:tcPr>
            <w:tcW w:w="69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Получение ТУ на подключение к сетям электроснабжения и сети интернет.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lang w:val="en-US"/>
              </w:rPr>
            </w:pPr>
            <w:r>
              <w:rPr>
                <w:rFonts w:eastAsia="Times New Roman" w:cs="Times New Roman"/>
                <w:kern w:val="0"/>
                <w:sz w:val="18"/>
                <w:lang w:val="en-US" w:eastAsia="ru-RU" w:bidi="ar-SA"/>
              </w:rPr>
              <w:t>Комп.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lang w:val="en-US"/>
              </w:rPr>
            </w:pPr>
            <w:r>
              <w:rPr>
                <w:rFonts w:eastAsia="Times New Roman" w:cs="Times New Roman"/>
                <w:kern w:val="0"/>
                <w:sz w:val="18"/>
                <w:lang w:val="en-US" w:eastAsia="ru-RU" w:bidi="ar-SA"/>
              </w:rPr>
              <w:t>1</w:t>
            </w:r>
          </w:p>
        </w:tc>
      </w:tr>
    </w:tbl>
    <w:p>
      <w:pPr>
        <w:pStyle w:val="Heading2"/>
        <w:numPr>
          <w:ilvl w:val="0"/>
        </w:numPr>
        <w:ind w:left="432" w:hanging="432"/>
        <w:rPr/>
      </w:pPr>
      <w:bookmarkStart w:id="8" w:name="_Toc239927078"/>
      <w:r>
        <w:rPr/>
        <w:t>Таблица 1.2. Перечень и объем закупаемых сопутствующих услуг</w:t>
      </w:r>
      <w:bookmarkEnd w:id="8"/>
    </w:p>
    <w:tbl>
      <w:tblPr>
        <w:tblStyle w:val="affff8"/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08"/>
        <w:gridCol w:w="6969"/>
        <w:gridCol w:w="1246"/>
        <w:gridCol w:w="1187"/>
      </w:tblGrid>
      <w:tr>
        <w:trPr/>
        <w:tc>
          <w:tcPr>
            <w:tcW w:w="508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п/п</w:t>
            </w:r>
          </w:p>
        </w:tc>
        <w:tc>
          <w:tcPr>
            <w:tcW w:w="6969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Наименование сопутствующей услуги</w:t>
            </w:r>
          </w:p>
        </w:tc>
        <w:tc>
          <w:tcPr>
            <w:tcW w:w="1246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Единица измерения</w:t>
            </w:r>
          </w:p>
        </w:tc>
        <w:tc>
          <w:tcPr>
            <w:tcW w:w="1187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Количество</w:t>
            </w:r>
          </w:p>
        </w:tc>
      </w:tr>
      <w:tr>
        <w:trPr>
          <w:trHeight w:val="524" w:hRule="atLeast"/>
        </w:trPr>
        <w:tc>
          <w:tcPr>
            <w:tcW w:w="5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  <w:tc>
          <w:tcPr>
            <w:tcW w:w="6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Предпроектное обследование объектов и предполагаемых мест размещения пяти антенн, существующих конструкций, инженерных коммуникаций и сетей.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услуга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2</w:t>
            </w:r>
          </w:p>
        </w:tc>
        <w:tc>
          <w:tcPr>
            <w:tcW w:w="6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Сбор и уточнение исходных данных по антеннам у Заказчика,  включая характеристики электропитания и способ подключения к сети связи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услуга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3</w:t>
            </w:r>
          </w:p>
        </w:tc>
        <w:tc>
          <w:tcPr>
            <w:tcW w:w="6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18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Сбор и получение исходных данных по присоединению к сетям 0,4кВ, сетям связи  у Заказчика и  у Владельца объекта иного собственника.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18"/>
                <w:lang w:val="en-US" w:eastAsia="ru-RU" w:bidi="ar-SA"/>
              </w:rPr>
              <w:t>услуга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16"/>
                <w:lang w:val="en-US" w:eastAsia="ru-RU" w:bidi="ar-SA"/>
              </w:rPr>
              <w:t>2</w:t>
            </w:r>
          </w:p>
        </w:tc>
      </w:tr>
      <w:tr>
        <w:trPr/>
        <w:tc>
          <w:tcPr>
            <w:tcW w:w="50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4</w:t>
            </w:r>
          </w:p>
        </w:tc>
        <w:tc>
          <w:tcPr>
            <w:tcW w:w="69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Разработка и согласование технических решений по размещению, креплению, электроснабжению и подключению антенн к сети связи с владельцами.</w:t>
            </w:r>
          </w:p>
        </w:tc>
        <w:tc>
          <w:tcPr>
            <w:tcW w:w="124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услуга</w:t>
            </w:r>
          </w:p>
        </w:tc>
        <w:tc>
          <w:tcPr>
            <w:tcW w:w="118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5</w:t>
            </w:r>
          </w:p>
        </w:tc>
        <w:tc>
          <w:tcPr>
            <w:tcW w:w="6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 xml:space="preserve">Согласование РД с Заказчиком и Владельцем объекта иного собственника 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услуга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6</w:t>
            </w:r>
          </w:p>
        </w:tc>
        <w:tc>
          <w:tcPr>
            <w:tcW w:w="6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Согласование решений по технологическому присоединению к электрическим сетям и сетям связи в части, необходимой для реализации РД с Владельцем объекта иного собственника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услуга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7</w:t>
            </w:r>
          </w:p>
        </w:tc>
        <w:tc>
          <w:tcPr>
            <w:tcW w:w="6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Формирование и передача Заказчику полного комплекта РД включая сметную документацию и ТУ в бумажном и электронном виде.</w:t>
            </w:r>
          </w:p>
        </w:tc>
        <w:tc>
          <w:tcPr>
            <w:tcW w:w="1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комплект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</w:tr>
    </w:tbl>
    <w:p>
      <w:pPr>
        <w:pStyle w:val="Heading2"/>
        <w:numPr>
          <w:ilvl w:val="0"/>
        </w:numPr>
        <w:ind w:left="432" w:hanging="432"/>
        <w:rPr/>
      </w:pPr>
      <w:bookmarkStart w:id="9" w:name="_Toc239927079"/>
      <w:r>
        <w:rPr/>
        <w:t>2.1.2. Требования по срокам поставки продукции и оказания сопутствующих услуг</w:t>
      </w:r>
      <w:bookmarkEnd w:id="9"/>
    </w:p>
    <w:p>
      <w:pPr>
        <w:pStyle w:val="Normal"/>
        <w:spacing w:before="0" w:after="60"/>
        <w:ind w:firstLine="709"/>
        <w:jc w:val="both"/>
        <w:rPr/>
      </w:pPr>
      <w:r>
        <w:rPr/>
        <w:t>Срок выполнения работ и передачи комплекта РД устанавливается условиями закупки и договором. Этапы предпроектного обследования, получения исходных данных, разработки, согласования и окончательной выдачи РД должны быть предусмотрены календарным планом Исполнителя.</w:t>
      </w:r>
    </w:p>
    <w:p>
      <w:pPr>
        <w:pStyle w:val="Normal"/>
        <w:spacing w:before="0" w:after="60"/>
        <w:ind w:firstLine="709"/>
        <w:jc w:val="both"/>
        <w:rPr/>
      </w:pPr>
      <w:r>
        <w:rPr/>
        <w:t>При выявлении в ходе обследования необходимости получения дополнительных исходных данных, технических условий или согласований Исполнитель обязан своевременно направить Заказчику соответствующий перечень и запрос, не принимая отсутствующие исходные данные без согласования с владельцем объекта.</w:t>
      </w:r>
    </w:p>
    <w:p>
      <w:pPr>
        <w:pStyle w:val="Heading2"/>
        <w:numPr>
          <w:ilvl w:val="0"/>
        </w:numPr>
        <w:ind w:left="432" w:hanging="432"/>
        <w:rPr/>
      </w:pPr>
      <w:bookmarkStart w:id="10" w:name="_Toc239927080"/>
      <w:r>
        <w:rPr/>
        <w:t>Таблица 2.1. Требования по срокам поставки продукции</w:t>
      </w:r>
      <w:bookmarkEnd w:id="10"/>
    </w:p>
    <w:tbl>
      <w:tblPr>
        <w:tblStyle w:val="affff8"/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04"/>
        <w:gridCol w:w="3303"/>
        <w:gridCol w:w="3304"/>
      </w:tblGrid>
      <w:tr>
        <w:trPr/>
        <w:tc>
          <w:tcPr>
            <w:tcW w:w="3304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Наименование</w:t>
            </w:r>
          </w:p>
        </w:tc>
        <w:tc>
          <w:tcPr>
            <w:tcW w:w="3303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Срок</w:t>
            </w:r>
          </w:p>
        </w:tc>
        <w:tc>
          <w:tcPr>
            <w:tcW w:w="3304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Результат</w:t>
            </w:r>
          </w:p>
        </w:tc>
      </w:tr>
      <w:tr>
        <w:trPr/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Комплект согласованной рабочей документации</w:t>
            </w:r>
          </w:p>
        </w:tc>
        <w:tc>
          <w:tcPr>
            <w:tcW w:w="3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30 дней с даты начала действия договора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 xml:space="preserve">Комплект РД, сметной документации, ТУ на подключение к сетям электропитания и связи (включая сети интернет) </w:t>
            </w:r>
          </w:p>
        </w:tc>
      </w:tr>
    </w:tbl>
    <w:p>
      <w:pPr>
        <w:pStyle w:val="Heading2"/>
        <w:numPr>
          <w:ilvl w:val="0"/>
        </w:numPr>
        <w:ind w:left="432" w:hanging="432"/>
        <w:rPr/>
      </w:pPr>
      <w:bookmarkStart w:id="11" w:name="_Toc239927081"/>
      <w:r>
        <w:rPr/>
        <w:t>Таблица 2.2. Требования по срокам оказания сопутствующих услуг</w:t>
      </w:r>
      <w:bookmarkEnd w:id="11"/>
    </w:p>
    <w:tbl>
      <w:tblPr>
        <w:tblStyle w:val="affff8"/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03"/>
        <w:gridCol w:w="3304"/>
        <w:gridCol w:w="3304"/>
      </w:tblGrid>
      <w:tr>
        <w:trPr/>
        <w:tc>
          <w:tcPr>
            <w:tcW w:w="3303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Этап</w:t>
            </w:r>
          </w:p>
        </w:tc>
        <w:tc>
          <w:tcPr>
            <w:tcW w:w="3304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Срок выполнения</w:t>
            </w:r>
          </w:p>
        </w:tc>
        <w:tc>
          <w:tcPr>
            <w:tcW w:w="3304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Результат</w:t>
            </w:r>
          </w:p>
        </w:tc>
      </w:tr>
      <w:tr>
        <w:trPr/>
        <w:tc>
          <w:tcPr>
            <w:tcW w:w="3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Предпроектное обследование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В соответствии с календарным планом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Акт/отчет обследования, фотофиксация, исходные данные для РД</w:t>
            </w:r>
          </w:p>
        </w:tc>
      </w:tr>
      <w:tr>
        <w:trPr/>
        <w:tc>
          <w:tcPr>
            <w:tcW w:w="3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Запрос и получение исходных данных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До начала разработки соответствующих решений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Получение исходных данных</w:t>
            </w:r>
          </w:p>
        </w:tc>
      </w:tr>
      <w:tr>
        <w:trPr/>
        <w:tc>
          <w:tcPr>
            <w:tcW w:w="3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Разработка технических решений, согласование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В соответствии с календарным планом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Разработанные разделы РД</w:t>
            </w:r>
          </w:p>
        </w:tc>
      </w:tr>
      <w:tr>
        <w:trPr>
          <w:trHeight w:val="56" w:hRule="atLeast"/>
        </w:trPr>
        <w:tc>
          <w:tcPr>
            <w:tcW w:w="3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Выдача окончательной РД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30 дней с даты начала действия договора</w:t>
            </w:r>
          </w:p>
        </w:tc>
        <w:tc>
          <w:tcPr>
            <w:tcW w:w="3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Полный комплект РД, сметной документации, ТУ на подключение к сетям электропитания и связи (включая сети интернет) от собственника.</w:t>
            </w:r>
          </w:p>
        </w:tc>
      </w:tr>
    </w:tbl>
    <w:p>
      <w:pPr>
        <w:pStyle w:val="Heading2"/>
        <w:numPr>
          <w:ilvl w:val="0"/>
        </w:numPr>
        <w:ind w:left="432" w:hanging="432"/>
        <w:rPr/>
      </w:pPr>
      <w:bookmarkStart w:id="12" w:name="_Toc239927082"/>
      <w:r>
        <w:rPr/>
        <w:t>2.2. Требования к качеству продукции</w:t>
      </w:r>
      <w:bookmarkEnd w:id="12"/>
    </w:p>
    <w:p>
      <w:pPr>
        <w:pStyle w:val="Normal"/>
        <w:spacing w:before="0" w:after="60"/>
        <w:ind w:firstLine="709"/>
        <w:jc w:val="both"/>
        <w:rPr/>
      </w:pPr>
      <w:r>
        <w:rPr/>
        <w:t>РД должна быть разработана на основании результатов предпроектного обследования, исходных данных Заказчика/Собственника объекта и действующих нормативных и технических документов, применимых к выполняемым работам.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Количество проектируемых антенн — пять. Для каждой антенны должны быть определены место установки, способ и конструкция крепления, трассы прокладки кабелей и точки подключения.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Места установки и способы крепления должны определяться и обосновываться по результатам предпроектного обследования с учетом фактического состояния зданий, сооружений, опорных конструкций, кровель, площадок, коммуникаций и доступности для выполнения СМР.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 xml:space="preserve">До разработки решений по электроснабжению Исполнитель обязан запросить у Собственника объекта характеристики потребляемой мощности каждой антенны/оборудования, номинальное напряжение, фазность, требования к качеству электропитания и иные параметры, необходимые для выбора схемы подключения. 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До разработки решений по сети связи Исполнитель обязан запросить у Собственника объекта способ подключения каждой антенны к сети связи, тип интерфейса, требуемые параметры линии, используемые кабели/оборудование и точку подключения. Полученные данные должны быть отражены в РД.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В РД должны быть предусмотрены решения по прокладке силовых кабелей и кабелей связи, их защите, маркировке, вводу в здания/сооружения, проходкам и герметизации в объеме, необходимом для выполнения СМР.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При необходимости должны быть разработаны решения по заземлению, молниезащите и защите оборудования от перенапряжений с учетом существующей системы защитных мероприятий объекта.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Размещение каждой антенны и связанной с ней инфраструктуры на территории Собственника объекта/ Владельца объекта иного собственника подлежит согласованию с Собственника объекта и Владельцем объекта иного собственника.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Если предполагаемое место размещения или трасса кабельных линий находятся вне территории/объектов Собственника объекта либо затрагивают имущество, земельные участки, здания, сооружения, инженерные сети или иные объекты, принадлежащие либо предоставленные третьим лицам, Исполнитель должен определить перечень необходимых правообладателей и подготовить материалы для согласования с соответствующими собственниками, правообладателями, балансодержателями или иными уполномоченными организациями.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Технические решения по подключению антенн к электрическим сетям должны быть согласованы с Собственником объекта и, в случаях, предусмотренных действующими правилами и условиями подключения, с соответствующей сетевой/эксплуатирующей организацией. При необходимости Исполнитель должен подготовить исходные материалы для получения/согласования технических условий или иных документов на технологическое присоединение.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Технические решения по подключению к сети связи должны быть согласованы с Собственником объекта и владельцем/эксплуатирующей организацией соответствующей сети в части точки подключения, параметров линии, используемого оборудования и кабельной инфраструктуры.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Все выявленные ограничения, существующие коммуникации, охранные зоны, сервитуты и иные обстоятельства, влияющие на возможность размещения и подключения антенн, должны быть отражены в РД либо в документах по результатам обследования.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РД должна содержать чертежи, схемы, спецификации и иные материалы, необходимые подрядной организации для выполнения СМР без дополнительной разработки принципиальных технических решений.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После выполнения согласований замечания Заказчика/Собственника объекта и согласующих организаций должны быть учтены в окончательной редакции РД.</w:t>
      </w:r>
    </w:p>
    <w:p>
      <w:pPr>
        <w:pStyle w:val="Normal"/>
        <w:spacing w:before="0" w:after="40"/>
        <w:ind w:left="425" w:hanging="283"/>
        <w:rPr/>
      </w:pPr>
      <w:r>
        <w:rPr/>
      </w:r>
    </w:p>
    <w:p>
      <w:pPr>
        <w:pStyle w:val="Heading2"/>
        <w:numPr>
          <w:ilvl w:val="0"/>
        </w:numPr>
        <w:ind w:left="432" w:hanging="432"/>
        <w:rPr/>
      </w:pPr>
      <w:bookmarkStart w:id="13" w:name="_Toc239927083"/>
      <w:r>
        <w:rPr/>
        <w:t>Таблица 3. Требования к продукции</w:t>
      </w:r>
      <w:bookmarkEnd w:id="13"/>
    </w:p>
    <w:tbl>
      <w:tblPr>
        <w:tblStyle w:val="affff8"/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58"/>
        <w:gridCol w:w="3977"/>
        <w:gridCol w:w="5376"/>
      </w:tblGrid>
      <w:tr>
        <w:trPr/>
        <w:tc>
          <w:tcPr>
            <w:tcW w:w="558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№</w:t>
            </w:r>
          </w:p>
        </w:tc>
        <w:tc>
          <w:tcPr>
            <w:tcW w:w="3977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Требование</w:t>
            </w:r>
          </w:p>
        </w:tc>
        <w:tc>
          <w:tcPr>
            <w:tcW w:w="5376" w:type="dxa"/>
            <w:tcBorders/>
            <w:shd w:color="auto" w:fill="D9E1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lang w:val="ru-RU" w:eastAsia="ru-RU" w:bidi="ar-SA"/>
              </w:rPr>
              <w:t>Результат</w:t>
            </w:r>
          </w:p>
        </w:tc>
      </w:tr>
      <w:tr>
        <w:trPr/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1</w:t>
            </w:r>
          </w:p>
        </w:tc>
        <w:tc>
          <w:tcPr>
            <w:tcW w:w="3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Пять антенн, индивидуальное место установки и способ крепления</w:t>
            </w:r>
          </w:p>
        </w:tc>
        <w:tc>
          <w:tcPr>
            <w:tcW w:w="53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Планы, разрезы, узлы крепления, спецификации</w:t>
            </w:r>
          </w:p>
        </w:tc>
      </w:tr>
      <w:tr>
        <w:trPr/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2</w:t>
            </w:r>
          </w:p>
        </w:tc>
        <w:tc>
          <w:tcPr>
            <w:tcW w:w="3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 xml:space="preserve">Электроснабжение антенн </w:t>
            </w:r>
          </w:p>
        </w:tc>
        <w:tc>
          <w:tcPr>
            <w:tcW w:w="53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Однолинейные схемы, кабельные трассы, точки подключения, спецификации</w:t>
            </w:r>
          </w:p>
        </w:tc>
      </w:tr>
      <w:tr>
        <w:trPr/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3</w:t>
            </w:r>
          </w:p>
        </w:tc>
        <w:tc>
          <w:tcPr>
            <w:tcW w:w="3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 xml:space="preserve">Подключение антенн к сети связи </w:t>
            </w:r>
          </w:p>
        </w:tc>
        <w:tc>
          <w:tcPr>
            <w:tcW w:w="53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Структурные/принципиальные схемы, трассы, точки подключения, типы кабелей и оборудования</w:t>
            </w:r>
          </w:p>
        </w:tc>
      </w:tr>
      <w:tr>
        <w:trPr/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4</w:t>
            </w:r>
          </w:p>
        </w:tc>
        <w:tc>
          <w:tcPr>
            <w:tcW w:w="3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Предпроектное обследование</w:t>
            </w:r>
          </w:p>
        </w:tc>
        <w:tc>
          <w:tcPr>
            <w:tcW w:w="53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Отчет/акт, фотофиксация и материалы обследования</w:t>
            </w:r>
          </w:p>
        </w:tc>
      </w:tr>
      <w:tr>
        <w:trPr/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5</w:t>
            </w:r>
          </w:p>
        </w:tc>
        <w:tc>
          <w:tcPr>
            <w:tcW w:w="3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Согласование размещения</w:t>
            </w:r>
          </w:p>
        </w:tc>
        <w:tc>
          <w:tcPr>
            <w:tcW w:w="53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Согласованные планы и решения, подтверждения согласований</w:t>
            </w:r>
          </w:p>
        </w:tc>
      </w:tr>
      <w:tr>
        <w:trPr/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6</w:t>
            </w:r>
          </w:p>
        </w:tc>
        <w:tc>
          <w:tcPr>
            <w:tcW w:w="3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Согласование технических присоединений</w:t>
            </w:r>
          </w:p>
        </w:tc>
        <w:tc>
          <w:tcPr>
            <w:tcW w:w="53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Согласованные технические решения, ТУ/исходные документы — при необходимости</w:t>
            </w:r>
          </w:p>
        </w:tc>
      </w:tr>
      <w:tr>
        <w:trPr/>
        <w:tc>
          <w:tcPr>
            <w:tcW w:w="5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7</w:t>
            </w:r>
          </w:p>
        </w:tc>
        <w:tc>
          <w:tcPr>
            <w:tcW w:w="3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18"/>
                <w:lang w:val="en-US" w:eastAsia="ru-RU" w:bidi="ar-SA"/>
              </w:rPr>
              <w:t>Комплект РД</w:t>
            </w:r>
          </w:p>
        </w:tc>
        <w:tc>
          <w:tcPr>
            <w:tcW w:w="53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>Полный комплект чертежей, спецификаций и ведомостей объемов работ, сметная документация в необходимом составе,</w:t>
            </w:r>
            <w:bookmarkStart w:id="14" w:name="_GoBack"/>
            <w:bookmarkEnd w:id="14"/>
            <w:r>
              <w:rPr>
                <w:rFonts w:eastAsia="Times New Roman" w:cs="Times New Roman"/>
                <w:kern w:val="0"/>
                <w:sz w:val="18"/>
                <w:lang w:val="ru-RU" w:eastAsia="ru-RU" w:bidi="ar-SA"/>
              </w:rPr>
              <w:t xml:space="preserve"> ТУ на подключение к сетям электропитания и связи (включая сети интернет)</w:t>
            </w:r>
          </w:p>
        </w:tc>
      </w:tr>
    </w:tbl>
    <w:p>
      <w:pPr>
        <w:pStyle w:val="Heading2"/>
        <w:numPr>
          <w:ilvl w:val="0"/>
        </w:numPr>
        <w:ind w:left="432" w:hanging="432"/>
        <w:rPr/>
      </w:pPr>
      <w:bookmarkStart w:id="15" w:name="_Toc239927084"/>
      <w:r>
        <w:rPr/>
        <w:t>2.3. Требования к документации по ценообразованию на этапе закупки</w:t>
      </w:r>
      <w:bookmarkEnd w:id="15"/>
    </w:p>
    <w:p>
      <w:pPr>
        <w:pStyle w:val="Normal"/>
        <w:spacing w:before="0" w:after="60"/>
        <w:ind w:firstLine="709"/>
        <w:jc w:val="both"/>
        <w:rPr/>
      </w:pPr>
      <w:r>
        <w:rPr/>
        <w:t>Цена предложения должна включать все затраты Исполнителя, необходимые для выполнения требований настоящих ТТ и передачи Заказчику полного комплекта РД, в том числе затраты на предпроектное обследование, выезды специалистов, сбор и уточнение исходных данных, разработку чертежей и схем, подготовку спецификаций, сопровождение и выполнение необходимых согласований, а также устранение замечаний Заказчика по результатам рассмотрения РД.</w:t>
      </w:r>
    </w:p>
    <w:p>
      <w:pPr>
        <w:pStyle w:val="Normal"/>
        <w:spacing w:before="0" w:after="60"/>
        <w:ind w:firstLine="709"/>
        <w:jc w:val="both"/>
        <w:rPr/>
      </w:pPr>
      <w:r>
        <w:rPr/>
        <w:t>В составе ценового предложения рекомендуется выделять стоимость разработки РД и стоимость сопутствующих услуг, указанных в таблице 1.2, если иное не установлено закупочной документацией.</w:t>
      </w:r>
    </w:p>
    <w:p>
      <w:pPr>
        <w:pStyle w:val="Normal"/>
        <w:spacing w:before="0" w:after="60"/>
        <w:ind w:firstLine="709"/>
        <w:jc w:val="both"/>
        <w:rPr/>
      </w:pPr>
      <w:r>
        <w:rPr/>
        <w:t>Дополнительные работы, связанные с отсутствием исходных данных, не должны выполняться исходя из самостоятельно принятых Исполнителем решений без предварительного согласования с Заказчиком/Собственником объекта.</w:t>
      </w:r>
    </w:p>
    <w:p>
      <w:pPr>
        <w:pStyle w:val="Heading2"/>
        <w:numPr>
          <w:ilvl w:val="0"/>
        </w:numPr>
        <w:ind w:left="432" w:hanging="432"/>
        <w:rPr/>
      </w:pPr>
      <w:bookmarkStart w:id="16" w:name="_Toc239927085"/>
      <w:r>
        <w:rPr/>
        <w:t>Состав передаваемой рабочей документации</w:t>
      </w:r>
      <w:bookmarkEnd w:id="16"/>
    </w:p>
    <w:p>
      <w:pPr>
        <w:pStyle w:val="Normal"/>
        <w:spacing w:before="0" w:after="60"/>
        <w:ind w:firstLine="709"/>
        <w:jc w:val="both"/>
        <w:rPr/>
      </w:pPr>
      <w:r>
        <w:rPr/>
        <w:t>Окончательный состав РД определяется Исполнителем по результатам обследования и исходных данных, но должен включать не менее: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общие данные и пояснительную записку с описанием принятых решений;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схемы размещения пяти антенн с указанием координат или привязок к существующим объектам;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чертежи конструкций и узлов крепления антенн;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планы и схемы электроснабжения, кабельные журналы/ведомости и спецификации — в применимой части;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структурные/принципиальные схемы подключения к сети связи и трассы линий связи;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решения по заземлению, молниезащите и защите от перенапряжений — в применимой части;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спецификации оборудования, изделий и материалов;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ведомости объемов работ и иные документы, необходимые для выполнения СМР;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сметная документация, учитывающая ведомости объемов работ и спецификацию оборудования, изделий и материалов;</w:t>
      </w:r>
    </w:p>
    <w:p>
      <w:pPr>
        <w:pStyle w:val="Normal"/>
        <w:spacing w:before="0" w:after="40"/>
        <w:ind w:left="425" w:hanging="283"/>
        <w:jc w:val="both"/>
        <w:rPr/>
      </w:pPr>
      <w:r>
        <w:rPr/>
        <w:t xml:space="preserve">– </w:t>
      </w:r>
      <w:r>
        <w:rPr/>
        <w:t>материалы и документы по согласованиям, полученные/подготовленные в рамках выполнения работ.</w:t>
      </w:r>
    </w:p>
    <w:sectPr>
      <w:headerReference w:type="default" r:id="rId2"/>
      <w:headerReference w:type="first" r:id="rId3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PT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7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>
      <w:sz w:val="22"/>
    </w:rPr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e6214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8276338531" w:customStyle="1">
    <w:name w:val="38276338531"/>
    <w:qFormat/>
  </w:style>
  <w:style w:type="numbering" w:styleId="23291233621" w:customStyle="1">
    <w:name w:val="232912336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49F5B-053A-4A56-B99F-C67AD398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AlterOffice/3.4.0.9$Linux_X86_64 LibreOffice_project/b8daf9e823b1a5463a2f48435ddc2e8696e7d4fc</Application>
  <AppVersion>15.0000</AppVersion>
  <Pages>8</Pages>
  <Words>1598</Words>
  <Characters>11427</Characters>
  <CharactersWithSpaces>11490</CharactersWithSpaces>
  <Paragraphs>198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2026-09-10T09:12:00Z</dcterms:created>
  <dc:creator>Быстров Олег Геннадьевич</dc:creator>
  <dc:description/>
  <dc:language>ru-RU</dc:language>
  <cp:lastModifiedBy>seredkinsv@corp.gidroogk.com</cp:lastModifiedBy>
  <cp:lastPrinted>2026-08-20T09:01:00Z</cp:lastPrinted>
  <dcterms:modified xsi:type="dcterms:W3CDTF">2026-09-11T09:47:07Z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