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Style w:val="affffb"/>
        <w:tblW w:w="495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4910"/>
        <w:gridCol w:w="4910"/>
      </w:tblGrid>
      <w:tr>
        <w:trPr/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right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УТВЕРЖДАЮ: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Директор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Дальневосточного филиала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АО «ТК РусГидро»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left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______________Золотарев В.Ю.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«__»______________2026 г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left"/>
              <w:rPr>
                <w:bCs/>
              </w:rPr>
            </w:pPr>
            <w:r>
              <w:rPr>
                <w:bCs/>
              </w:rPr>
            </w:r>
          </w:p>
        </w:tc>
      </w:tr>
    </w:tbl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spacing w:lineRule="exact" w:line="283"/>
        <w:jc w:val="center"/>
        <w:rPr>
          <w:rFonts w:ascii="Times New Roman" w:hAnsi="Times New Roman"/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 на поставку МТР</w:t>
      </w:r>
    </w:p>
    <w:p>
      <w:pPr>
        <w:pStyle w:val="Normal"/>
        <w:keepNext w:val="true"/>
        <w:keepLines/>
        <w:spacing w:lineRule="exact" w:line="283"/>
        <w:jc w:val="center"/>
        <w:rPr>
          <w:rFonts w:ascii="Times New Roman" w:hAnsi="Times New Roman"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18"/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eastAsia="Calibri" w:ascii="Times New Roman" w:hAnsi="Times New Roman"/>
          <w:b/>
          <w:i/>
          <w:kern w:val="0"/>
          <w:sz w:val="24"/>
          <w:szCs w:val="24"/>
          <w:lang w:eastAsia="en-US"/>
        </w:rPr>
        <w:t>ОКПД2 27.20.23.190 Поставка аккумуляторных батарей в Хабаровский край, Приморский край, Амурскую область, Магаданскую область, Сахалинскую область, Республику Саха (Якутию) для нужд Дальневосточного филиала АО "ТК РусГидро".</w:t>
      </w:r>
    </w:p>
    <w:p>
      <w:pPr>
        <w:pStyle w:val="Normal"/>
        <w:spacing w:lineRule="exact" w:line="283"/>
        <w:jc w:val="center"/>
        <w:rPr>
          <w:rFonts w:ascii="Times New Roman" w:hAnsi="Times New Roman"/>
          <w:b/>
          <w:color w:val="000000"/>
          <w:sz w:val="24"/>
          <w:szCs w:val="24"/>
          <w:shd w:fill="FFFF00" w:val="clear"/>
        </w:rPr>
      </w:pPr>
      <w:r>
        <w:rPr>
          <w:b/>
          <w:color w:val="000000"/>
          <w:sz w:val="24"/>
          <w:szCs w:val="24"/>
          <w:shd w:fill="FFFF00" w:val="clear"/>
        </w:rPr>
      </w:r>
    </w:p>
    <w:p>
      <w:pPr>
        <w:pStyle w:val="Normal"/>
        <w:spacing w:lineRule="exact" w:line="283"/>
        <w:jc w:val="center"/>
        <w:rPr>
          <w:rFonts w:ascii="Times New Roman" w:hAnsi="Times New Roman"/>
          <w:b/>
          <w:color w:val="000000"/>
          <w:sz w:val="24"/>
          <w:szCs w:val="24"/>
          <w:highlight w:val="none"/>
          <w:shd w:fill="auto" w:val="clear"/>
        </w:rPr>
      </w:pPr>
      <w:r>
        <w:rPr>
          <w:b/>
          <w:color w:val="000000"/>
          <w:sz w:val="24"/>
          <w:szCs w:val="24"/>
          <w:shd w:fill="auto" w:val="clear"/>
        </w:rPr>
        <w:t>3069-ЭКСП ПРОД-2027-ТК_Дальневост_фил</w:t>
      </w:r>
    </w:p>
    <w:p>
      <w:pPr>
        <w:pStyle w:val="Normal"/>
        <w:spacing w:lineRule="exact" w:line="283"/>
        <w:jc w:val="center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  <w:r>
        <w:br w:type="page"/>
      </w:r>
    </w:p>
    <w:p>
      <w:pPr>
        <w:pStyle w:val="Normal"/>
        <w:spacing w:lineRule="exact" w:line="283"/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  <w:lang w:eastAsia="zh-CN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Normal"/>
            <w:rPr/>
          </w:pPr>
          <w:r>
            <w:fldChar w:fldCharType="begin"/>
          </w:r>
          <w:r>
            <w:rPr>
              <w:sz w:val="24"/>
              <w:b/>
              <w:szCs w:val="24"/>
              <w:bCs/>
            </w:rPr>
            <w:instrText xml:space="preserve"> TOC \z \o "1-4" \u \h</w:instrText>
          </w:r>
          <w:r>
            <w:rPr>
              <w:sz w:val="24"/>
              <w:b/>
              <w:szCs w:val="24"/>
              <w:bCs/>
            </w:rPr>
            <w:fldChar w:fldCharType="separate"/>
          </w:r>
          <w:r>
            <w:rPr>
              <w:b/>
              <w:bCs/>
              <w:sz w:val="24"/>
              <w:szCs w:val="24"/>
            </w:rPr>
            <w:t xml:space="preserve">1. </w:t>
          </w:r>
          <w:hyperlink w:anchor="_Toc196407760">
            <w:r>
              <w:rPr>
                <w:webHidden/>
                <w:rStyle w:val="Style14"/>
                <w:b/>
                <w:bCs/>
                <w:vanish w:val="false"/>
                <w:sz w:val="24"/>
                <w:szCs w:val="24"/>
              </w:rPr>
              <w:t>Общие сведения……………….………………..………………...………………………………</w:t>
            </w:r>
          </w:hyperlink>
          <w:r>
            <w:rPr>
              <w:b/>
              <w:bCs/>
              <w:sz w:val="24"/>
              <w:szCs w:val="24"/>
            </w:rPr>
            <w:t>...3</w:t>
          </w:r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spacing w:lineRule="exact" w:line="283"/>
            <w:rPr>
              <w:rFonts w:ascii="Times New Roman" w:hAnsi="Times New Roman"/>
              <w:sz w:val="24"/>
              <w:szCs w:val="24"/>
            </w:rPr>
          </w:pPr>
          <w:r>
            <w:rPr>
              <w:b/>
              <w:bCs/>
              <w:iCs/>
              <w:vanish w:val="false"/>
              <w:sz w:val="24"/>
              <w:szCs w:val="24"/>
            </w:rPr>
            <w:t xml:space="preserve">1.1. </w:t>
          </w:r>
          <w:r>
            <w:rPr>
              <w:b/>
              <w:bCs/>
              <w:iCs/>
              <w:sz w:val="24"/>
              <w:szCs w:val="24"/>
              <w:lang w:val="en-US"/>
            </w:rPr>
            <w:t>O</w:t>
          </w:r>
          <w:r>
            <w:rPr>
              <w:b/>
              <w:bCs/>
              <w:iCs/>
              <w:sz w:val="24"/>
              <w:szCs w:val="24"/>
            </w:rPr>
            <w:t>бозначения и сокращения</w:t>
            <w:tab/>
            <w:t>3</w:t>
          </w:r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spacing w:lineRule="exact" w:line="283"/>
            <w:rPr/>
          </w:pPr>
          <w:hyperlink w:anchor="_Toc196407761">
            <w:r>
              <w:rPr>
                <w:webHidden/>
                <w:rStyle w:val="Style14"/>
                <w:b/>
                <w:bCs/>
                <w:iCs/>
                <w:vanish w:val="false"/>
                <w:sz w:val="24"/>
                <w:szCs w:val="24"/>
              </w:rPr>
              <w:t xml:space="preserve">1.2.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_Toc196407761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b/>
                <w:bCs/>
                <w:sz w:val="24"/>
                <w:szCs w:val="24"/>
              </w:rPr>
              <w:t>Наименование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shd w:val="clear" w:color="auto" w:fill="auto"/>
            <w:tabs>
              <w:tab w:val="clear" w:pos="709"/>
              <w:tab w:val="left" w:pos="560" w:leader="none"/>
              <w:tab w:val="right" w:pos="9911" w:leader="dot"/>
            </w:tabs>
            <w:spacing w:lineRule="exact" w:line="283"/>
            <w:rPr/>
          </w:pPr>
          <w:hyperlink w:anchor="_Toc196407765">
            <w:r>
              <w:rPr>
                <w:webHidden/>
                <w:rStyle w:val="Style14"/>
                <w:vanish w:val="false"/>
                <w:sz w:val="24"/>
                <w:szCs w:val="24"/>
              </w:rPr>
              <w:t xml:space="preserve">2.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_Toc196407765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z w:val="24"/>
                <w:szCs w:val="24"/>
              </w:rPr>
              <w:t>Требования к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spacing w:lineRule="exact" w:line="283"/>
            <w:rPr/>
          </w:pPr>
          <w:hyperlink w:anchor="_Toc196407766">
            <w:r>
              <w:rPr>
                <w:webHidden/>
                <w:rStyle w:val="Style14"/>
                <w:b/>
                <w:bCs/>
                <w:iCs/>
                <w:vanish w:val="false"/>
                <w:sz w:val="24"/>
                <w:szCs w:val="24"/>
              </w:rPr>
              <w:t xml:space="preserve">2.1.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_Toc196407766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b/>
                <w:bCs/>
                <w:sz w:val="24"/>
                <w:szCs w:val="24"/>
              </w:rPr>
              <w:t>Требования к объемам и срокам поставки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spacing w:lineRule="exact" w:line="283"/>
            <w:rPr/>
          </w:pPr>
          <w:hyperlink w:anchor="_Toc196407767">
            <w:r>
              <w:rPr>
                <w:webHidden/>
                <w:rStyle w:val="Style14"/>
                <w:b/>
                <w:bCs/>
                <w:vanish w:val="false"/>
                <w:sz w:val="24"/>
                <w:szCs w:val="24"/>
              </w:rPr>
              <w:t xml:space="preserve">2.1.1.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_Toc196407767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b/>
                <w:bCs/>
                <w:sz w:val="24"/>
                <w:szCs w:val="24"/>
              </w:rPr>
              <w:t>Перечень и объем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shd w:val="clear" w:color="auto" w:fill="auto"/>
            <w:tabs>
              <w:tab w:val="clear" w:pos="709"/>
              <w:tab w:val="right" w:pos="9911" w:leader="dot"/>
            </w:tabs>
            <w:spacing w:lineRule="exact" w:line="283"/>
            <w:rPr/>
          </w:pPr>
          <w:hyperlink w:anchor="_Toc19640776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_Toc196407768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  <w:sz w:val="24"/>
                <w:szCs w:val="24"/>
              </w:rPr>
              <w:t>Таблица 1.1 Перечень и объем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spacing w:lineRule="exact" w:line="283"/>
            <w:rPr/>
          </w:pPr>
          <w:hyperlink w:anchor="_Toc196407769">
            <w:r>
              <w:rPr>
                <w:webHidden/>
                <w:rStyle w:val="Style14"/>
                <w:b/>
                <w:bCs/>
                <w:vanish w:val="false"/>
                <w:sz w:val="24"/>
                <w:szCs w:val="24"/>
              </w:rPr>
              <w:t xml:space="preserve">2.1.2. </w:t>
            </w:r>
            <w:r>
              <w:rPr>
                <w:rStyle w:val="Style14"/>
                <w:b/>
                <w:bCs/>
                <w:sz w:val="24"/>
                <w:szCs w:val="24"/>
              </w:rPr>
              <w:t>Требования к срокам поставки продукции и оказания сопутствующих услуг</w:t>
              <w:tab/>
            </w:r>
          </w:hyperlink>
          <w:r>
            <w:rPr>
              <w:b/>
              <w:bCs/>
              <w:sz w:val="24"/>
              <w:szCs w:val="24"/>
            </w:rPr>
            <w:t>4</w:t>
          </w:r>
        </w:p>
        <w:p>
          <w:pPr>
            <w:pStyle w:val="TOC1"/>
            <w:shd w:val="clear" w:color="auto" w:fill="auto"/>
            <w:tabs>
              <w:tab w:val="clear" w:pos="709"/>
              <w:tab w:val="right" w:pos="9911" w:leader="dot"/>
            </w:tabs>
            <w:spacing w:lineRule="exact" w:line="283"/>
            <w:rPr/>
          </w:pPr>
          <w:hyperlink w:anchor="_Toc196407770">
            <w:r>
              <w:rPr>
                <w:webHidden/>
                <w:rStyle w:val="Style14"/>
                <w:vanish w:val="false"/>
                <w:sz w:val="24"/>
                <w:szCs w:val="24"/>
              </w:rPr>
              <w:t>Таблица 2.1 Требования по срокам поставки продукции</w:t>
              <w:tab/>
            </w:r>
          </w:hyperlink>
          <w:r>
            <w:rPr>
              <w:vanish w:val="false"/>
              <w:sz w:val="24"/>
              <w:szCs w:val="24"/>
            </w:rPr>
            <w:t>4</w:t>
          </w:r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spacing w:lineRule="exact" w:line="283"/>
            <w:rPr/>
          </w:pPr>
          <w:hyperlink w:anchor="_Toc196407771">
            <w:r>
              <w:rPr>
                <w:webHidden/>
                <w:rStyle w:val="Style14"/>
                <w:b/>
                <w:bCs/>
                <w:iCs/>
                <w:vanish w:val="false"/>
                <w:sz w:val="24"/>
                <w:szCs w:val="24"/>
              </w:rPr>
              <w:t xml:space="preserve">2.2. </w:t>
            </w:r>
            <w:r>
              <w:rPr>
                <w:rStyle w:val="Style14"/>
                <w:b/>
                <w:bCs/>
                <w:sz w:val="24"/>
                <w:szCs w:val="24"/>
              </w:rPr>
              <w:t>Требования к качеству продукции</w:t>
              <w:tab/>
            </w:r>
          </w:hyperlink>
          <w:r>
            <w:rPr>
              <w:b/>
              <w:bCs/>
              <w:sz w:val="24"/>
              <w:szCs w:val="24"/>
            </w:rPr>
            <w:t>5</w:t>
          </w:r>
        </w:p>
        <w:p>
          <w:pPr>
            <w:pStyle w:val="TOC1"/>
            <w:shd w:val="clear" w:color="auto" w:fill="auto"/>
            <w:tabs>
              <w:tab w:val="clear" w:pos="709"/>
              <w:tab w:val="right" w:pos="9911" w:leader="dot"/>
            </w:tabs>
            <w:spacing w:lineRule="exact" w:line="283"/>
            <w:rPr/>
          </w:pPr>
          <w:hyperlink w:anchor="_Toc196407772">
            <w:r>
              <w:rPr>
                <w:webHidden/>
                <w:rStyle w:val="Style14"/>
                <w:vanish w:val="false"/>
                <w:sz w:val="24"/>
                <w:szCs w:val="24"/>
              </w:rPr>
              <w:t>Таблица 3.1 Требования к продукции</w:t>
              <w:tab/>
            </w:r>
          </w:hyperlink>
          <w:r>
            <w:rPr>
              <w:vanish w:val="false"/>
              <w:sz w:val="24"/>
              <w:szCs w:val="24"/>
            </w:rPr>
            <w:t>5</w:t>
          </w:r>
        </w:p>
        <w:p>
          <w:pPr>
            <w:pStyle w:val="Normal"/>
            <w:rPr>
              <w:rFonts w:ascii="Times New Roman" w:hAnsi="Times New Roman"/>
              <w:sz w:val="24"/>
              <w:szCs w:val="24"/>
            </w:rPr>
          </w:pPr>
          <w:r>
            <w:rPr>
              <w:b/>
              <w:bCs/>
              <w:color w:val="000000"/>
              <w:sz w:val="24"/>
              <w:szCs w:val="24"/>
            </w:rPr>
            <w:t>3. Требования к документации по ценообразованию на этапе заключения (исполнения)договора…….……………..…………………………………………………………...</w:t>
          </w:r>
          <w:r>
            <w:rPr>
              <w:b/>
              <w:bCs/>
              <w:color w:val="000000"/>
              <w:sz w:val="24"/>
              <w:szCs w:val="24"/>
            </w:rPr>
            <w:t>8</w:t>
          </w:r>
        </w:p>
        <w:p>
          <w:pPr>
            <w:pStyle w:val="Normal"/>
            <w:rPr>
              <w:rFonts w:ascii="Times New Roman" w:hAnsi="Times New Roman"/>
              <w:sz w:val="24"/>
              <w:szCs w:val="24"/>
            </w:rPr>
          </w:pPr>
          <w:r>
            <w:rPr>
              <w:color w:val="000000" w:themeColor="text1"/>
              <w:sz w:val="24"/>
              <w:szCs w:val="24"/>
            </w:rPr>
          </w:r>
          <w:r>
            <w:rPr>
              <w:sz w:val="24"/>
              <w:szCs w:val="24"/>
              <w:color w:val="000000"/>
            </w:rPr>
            <w:fldChar w:fldCharType="end"/>
          </w:r>
        </w:p>
      </w:sdtContent>
    </w:sdt>
    <w:p>
      <w:pPr>
        <w:pStyle w:val="TOC1"/>
        <w:shd w:fill="auto" w:val="clear"/>
        <w:tabs>
          <w:tab w:val="clear" w:pos="709"/>
          <w:tab w:val="right" w:pos="9911" w:leader="dot"/>
        </w:tabs>
        <w:spacing w:lineRule="exact" w:line="283"/>
        <w:rPr>
          <w:rFonts w:ascii="Times New Roman" w:hAnsi="Times New Roman" w:eastAsia="" w:cs="Times New Roman" w:eastAsiaTheme="minorEastAsia"/>
          <w:b w:val="false"/>
          <w:bCs w:val="false"/>
          <w:sz w:val="24"/>
          <w:szCs w:val="24"/>
        </w:rPr>
      </w:pPr>
      <w:r>
        <w:rPr>
          <w:rFonts w:eastAsia="" w:cs="Times New Roman" w:eastAsiaTheme="minorEastAsia"/>
          <w:b w:val="false"/>
          <w:bCs w:val="false"/>
          <w:sz w:val="24"/>
          <w:szCs w:val="24"/>
        </w:rPr>
      </w:r>
    </w:p>
    <w:p>
      <w:pPr>
        <w:pStyle w:val="Heading2"/>
        <w:tabs>
          <w:tab w:val="clear" w:pos="0"/>
        </w:tabs>
        <w:spacing w:lineRule="exact" w:line="283"/>
        <w:ind w:left="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spacing w:lineRule="exact" w:line="283"/>
        <w:jc w:val="center"/>
        <w:rPr>
          <w:rFonts w:ascii="Times New Roman" w:hAnsi="Times New Roman"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spacing w:lineRule="exact" w:line="283" w:before="0" w:after="0"/>
        <w:ind w:left="0" w:hanging="0"/>
        <w:jc w:val="center"/>
        <w:rPr>
          <w:rFonts w:ascii="Times New Roman" w:hAnsi="Times New Roman"/>
          <w:sz w:val="20"/>
          <w:szCs w:val="20"/>
        </w:rPr>
      </w:pPr>
      <w:bookmarkStart w:id="0" w:name="_Toc75446566"/>
      <w:bookmarkStart w:id="1" w:name="_Toc196407760"/>
      <w:bookmarkStart w:id="2" w:name="_Toc51339692"/>
      <w:r>
        <w:rPr>
          <w:rFonts w:ascii="Times New Roman" w:hAnsi="Times New Roman"/>
          <w:b/>
          <w:sz w:val="20"/>
          <w:szCs w:val="20"/>
        </w:rPr>
        <w:t>Общие сведения</w:t>
      </w:r>
      <w:bookmarkEnd w:id="0"/>
      <w:bookmarkEnd w:id="1"/>
      <w:bookmarkEnd w:id="2"/>
    </w:p>
    <w:p>
      <w:pPr>
        <w:pStyle w:val="Normal"/>
        <w:rPr>
          <w:rFonts w:ascii="Times New Roman" w:hAnsi="Times New Roman"/>
          <w:sz w:val="20"/>
          <w:szCs w:val="20"/>
          <w:lang w:val="x-none" w:eastAsia="x-none"/>
        </w:rPr>
      </w:pPr>
      <w:r>
        <w:rPr>
          <w:rFonts w:ascii="Times New Roman" w:hAnsi="Times New Roman"/>
          <w:sz w:val="20"/>
          <w:szCs w:val="20"/>
          <w:lang w:val="x-none" w:eastAsia="x-none"/>
        </w:rPr>
      </w:r>
    </w:p>
    <w:p>
      <w:pPr>
        <w:pStyle w:val="Heading4"/>
        <w:numPr>
          <w:ilvl w:val="1"/>
          <w:numId w:val="8"/>
        </w:numPr>
        <w:tabs>
          <w:tab w:val="left" w:pos="0" w:leader="none"/>
          <w:tab w:val="left" w:pos="851" w:leader="none"/>
          <w:tab w:val="left" w:pos="1134" w:leader="none"/>
        </w:tabs>
        <w:spacing w:lineRule="exact" w:line="283" w:before="0"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shd w:fill="auto" w:val="clear"/>
          <w:lang w:val="ru-RU"/>
        </w:rPr>
        <w:t>О</w:t>
      </w:r>
      <w:r>
        <w:rPr>
          <w:rFonts w:ascii="Times New Roman" w:hAnsi="Times New Roman"/>
          <w:b/>
          <w:sz w:val="20"/>
          <w:szCs w:val="20"/>
          <w:shd w:fill="auto" w:val="clear"/>
        </w:rPr>
        <w:t>бозначения и сокращения</w:t>
      </w:r>
    </w:p>
    <w:p>
      <w:pPr>
        <w:pStyle w:val="Normal"/>
        <w:tabs>
          <w:tab w:val="clear" w:pos="709"/>
          <w:tab w:val="left" w:pos="0" w:leader="none"/>
          <w:tab w:val="left" w:pos="851" w:leader="none"/>
          <w:tab w:val="left" w:pos="1134" w:leader="none"/>
        </w:tabs>
        <w:spacing w:lineRule="exact" w:line="283"/>
        <w:ind w:firstLine="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tbl>
      <w:tblPr>
        <w:tblW w:w="9783" w:type="dxa"/>
        <w:jc w:val="center"/>
        <w:tblInd w:w="0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noVBand="1" w:val="04a0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0" w:after="0"/>
              <w:jc w:val="both"/>
              <w:rPr/>
            </w:pPr>
            <w:r>
              <w:rPr>
                <w:rStyle w:val="Style8"/>
                <w:rFonts w:ascii="Times New Roman" w:hAnsi="Times New Roman"/>
                <w:b w:val="false"/>
                <w:bCs/>
                <w:i w:val="false"/>
                <w:iCs/>
                <w:sz w:val="20"/>
                <w:szCs w:val="20"/>
                <w:shd w:fill="auto" w:val="clear"/>
              </w:rPr>
              <w:t>ЕИ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0" w:after="0"/>
              <w:jc w:val="both"/>
              <w:rPr/>
            </w:pPr>
            <w:r>
              <w:rPr>
                <w:rStyle w:val="Style8"/>
                <w:rFonts w:ascii="Times New Roman" w:hAnsi="Times New Roman"/>
                <w:b w:val="false"/>
                <w:bCs/>
                <w:i w:val="false"/>
                <w:iCs/>
                <w:sz w:val="20"/>
                <w:szCs w:val="20"/>
                <w:shd w:fill="auto" w:val="clear"/>
              </w:rPr>
              <w:t>Единица измерения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0" w:after="0"/>
              <w:jc w:val="both"/>
              <w:rPr/>
            </w:pPr>
            <w:r>
              <w:rPr>
                <w:rStyle w:val="Style8"/>
                <w:rFonts w:ascii="Times New Roman" w:hAnsi="Times New Roman"/>
                <w:b w:val="false"/>
                <w:bCs/>
                <w:i w:val="false"/>
                <w:iCs/>
                <w:sz w:val="20"/>
                <w:szCs w:val="20"/>
                <w:shd w:fill="auto" w:val="clear"/>
              </w:rPr>
              <w:t>Кол-во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0" w:after="0"/>
              <w:jc w:val="both"/>
              <w:rPr/>
            </w:pPr>
            <w:r>
              <w:rPr>
                <w:rStyle w:val="Style8"/>
                <w:rFonts w:ascii="Times New Roman" w:hAnsi="Times New Roman"/>
                <w:b w:val="false"/>
                <w:bCs/>
                <w:i w:val="false"/>
                <w:iCs/>
                <w:sz w:val="20"/>
                <w:szCs w:val="20"/>
                <w:shd w:fill="auto" w:val="clear"/>
              </w:rPr>
              <w:t>Количество</w:t>
            </w:r>
          </w:p>
        </w:tc>
      </w:tr>
    </w:tbl>
    <w:p>
      <w:pPr>
        <w:pStyle w:val="Normal"/>
        <w:rPr>
          <w:rFonts w:ascii="Times New Roman" w:hAnsi="Times New Roman"/>
          <w:sz w:val="20"/>
          <w:szCs w:val="20"/>
          <w:lang w:val="x-none" w:eastAsia="x-none"/>
        </w:rPr>
      </w:pPr>
      <w:r>
        <w:rPr>
          <w:rFonts w:ascii="Times New Roman" w:hAnsi="Times New Roman"/>
          <w:sz w:val="20"/>
          <w:szCs w:val="20"/>
          <w:lang w:val="x-none" w:eastAsia="x-none"/>
        </w:rPr>
      </w:r>
    </w:p>
    <w:p>
      <w:pPr>
        <w:pStyle w:val="Heading4"/>
        <w:numPr>
          <w:ilvl w:val="1"/>
          <w:numId w:val="8"/>
        </w:numPr>
        <w:tabs>
          <w:tab w:val="left" w:pos="0" w:leader="none"/>
          <w:tab w:val="left" w:pos="851" w:leader="none"/>
          <w:tab w:val="left" w:pos="1134" w:leader="none"/>
        </w:tabs>
        <w:spacing w:lineRule="exact" w:line="283" w:before="0" w:after="0"/>
        <w:rPr>
          <w:rFonts w:ascii="Times New Roman" w:hAnsi="Times New Roman"/>
          <w:sz w:val="20"/>
          <w:szCs w:val="20"/>
        </w:rPr>
      </w:pPr>
      <w:bookmarkStart w:id="3" w:name="_Toc196407761"/>
      <w:bookmarkStart w:id="4" w:name="_Toc46743506"/>
      <w:bookmarkStart w:id="5" w:name="_Toc75446568"/>
      <w:r>
        <w:rPr>
          <w:rFonts w:ascii="Times New Roman" w:hAnsi="Times New Roman"/>
          <w:b/>
          <w:sz w:val="20"/>
          <w:szCs w:val="20"/>
        </w:rPr>
        <w:t>Наименование закупаемой продукции</w:t>
      </w:r>
      <w:bookmarkEnd w:id="3"/>
      <w:bookmarkEnd w:id="4"/>
      <w:bookmarkEnd w:id="5"/>
    </w:p>
    <w:p>
      <w:pPr>
        <w:pStyle w:val="Normal"/>
        <w:spacing w:lineRule="exact" w:line="283"/>
        <w:jc w:val="both"/>
        <w:rPr>
          <w:rFonts w:ascii="Times New Roman" w:hAnsi="Times New Roman"/>
          <w:sz w:val="20"/>
          <w:szCs w:val="20"/>
        </w:rPr>
      </w:pPr>
      <w:r>
        <w:rPr>
          <w:rFonts w:eastAsia="Calibri" w:ascii="Times New Roman" w:hAnsi="Times New Roman"/>
          <w:b w:val="false"/>
          <w:bCs w:val="false"/>
          <w:i w:val="false"/>
          <w:iCs w:val="false"/>
          <w:sz w:val="20"/>
          <w:szCs w:val="20"/>
        </w:rPr>
        <w:tab/>
        <w:t>ОКПД2 27.20.23.190 Поставка аккумуляторных батарей в Хабаровский край, Приморский край, Амурскую область, Магаданскую область, Сахалинскую область, Республику Саха (Якутию) для нужд Дальневосточного филиала АО "ТК РусГидро".</w:t>
      </w:r>
    </w:p>
    <w:p>
      <w:pPr>
        <w:pStyle w:val="Normal"/>
        <w:spacing w:lineRule="exact" w:line="283"/>
        <w:jc w:val="center"/>
        <w:rPr>
          <w:rFonts w:ascii="Times New Roman" w:hAnsi="Times New Roman" w:eastAsia="Calibri"/>
          <w:b/>
          <w:i/>
          <w:i/>
          <w:sz w:val="20"/>
          <w:szCs w:val="20"/>
        </w:rPr>
      </w:pPr>
      <w:r>
        <w:rPr>
          <w:rFonts w:eastAsia="Calibri" w:ascii="Times New Roman" w:hAnsi="Times New Roman"/>
          <w:b/>
          <w:i/>
          <w:sz w:val="20"/>
          <w:szCs w:val="20"/>
        </w:rPr>
      </w:r>
    </w:p>
    <w:p>
      <w:pPr>
        <w:pStyle w:val="Heading1"/>
        <w:spacing w:lineRule="exact" w:line="283"/>
        <w:ind w:left="0" w:hanging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 </w:t>
      </w:r>
      <w:bookmarkStart w:id="6" w:name="_Toc196407765"/>
      <w:bookmarkStart w:id="7" w:name="_Toc75446573"/>
      <w:bookmarkStart w:id="8" w:name="_Toc51339693"/>
      <w:r>
        <w:rPr>
          <w:rFonts w:ascii="Times New Roman" w:hAnsi="Times New Roman"/>
          <w:b/>
          <w:sz w:val="20"/>
          <w:szCs w:val="20"/>
        </w:rPr>
        <w:t>Требования к продукции</w:t>
      </w:r>
      <w:bookmarkEnd w:id="6"/>
      <w:bookmarkEnd w:id="7"/>
      <w:bookmarkEnd w:id="8"/>
    </w:p>
    <w:p>
      <w:pPr>
        <w:pStyle w:val="Normal"/>
        <w:spacing w:lineRule="exact" w:line="283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Heading4"/>
        <w:tabs>
          <w:tab w:val="left" w:pos="0" w:leader="none"/>
          <w:tab w:val="left" w:pos="1134" w:leader="none"/>
        </w:tabs>
        <w:spacing w:lineRule="exact" w:line="283"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2.1. </w:t>
      </w:r>
      <w:bookmarkStart w:id="9" w:name="_Toc75446574"/>
      <w:bookmarkStart w:id="10" w:name="_Toc196407766"/>
      <w:r>
        <w:rPr>
          <w:rFonts w:ascii="Times New Roman" w:hAnsi="Times New Roman"/>
          <w:b/>
          <w:sz w:val="20"/>
          <w:szCs w:val="20"/>
        </w:rPr>
        <w:t xml:space="preserve">Требования к объемам и срокам </w:t>
      </w:r>
      <w:r>
        <w:rPr>
          <w:rFonts w:ascii="Times New Roman" w:hAnsi="Times New Roman"/>
          <w:b/>
          <w:sz w:val="20"/>
          <w:szCs w:val="20"/>
          <w:lang w:val="ru-RU"/>
        </w:rPr>
        <w:t>поставки</w:t>
      </w:r>
      <w:bookmarkEnd w:id="9"/>
      <w:bookmarkEnd w:id="10"/>
    </w:p>
    <w:p>
      <w:pPr>
        <w:pStyle w:val="Heading3"/>
        <w:tabs>
          <w:tab w:val="left" w:pos="0" w:leader="none"/>
          <w:tab w:val="left" w:pos="1134" w:leader="none"/>
        </w:tabs>
        <w:spacing w:lineRule="exact" w:line="283"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2.1.1. </w:t>
      </w:r>
      <w:bookmarkStart w:id="11" w:name="_Toc196407767"/>
      <w:bookmarkStart w:id="12" w:name="_Toc75446575"/>
      <w:r>
        <w:rPr>
          <w:rFonts w:ascii="Times New Roman" w:hAnsi="Times New Roman"/>
          <w:b/>
          <w:sz w:val="20"/>
          <w:szCs w:val="20"/>
        </w:rPr>
        <w:t>Перечень и объем закупаемой продукции</w:t>
      </w:r>
      <w:bookmarkEnd w:id="11"/>
      <w:bookmarkEnd w:id="12"/>
    </w:p>
    <w:p>
      <w:pPr>
        <w:pStyle w:val="Heading1"/>
        <w:tabs>
          <w:tab w:val="clear" w:pos="0"/>
        </w:tabs>
        <w:spacing w:lineRule="exact" w:line="283"/>
        <w:ind w:left="567" w:hanging="0"/>
        <w:rPr>
          <w:rFonts w:ascii="Times New Roman" w:hAnsi="Times New Roman"/>
          <w:sz w:val="20"/>
          <w:szCs w:val="20"/>
        </w:rPr>
      </w:pPr>
      <w:bookmarkStart w:id="13" w:name="_Toc196407768"/>
      <w:bookmarkStart w:id="14" w:name="_Toc75446576"/>
      <w:bookmarkStart w:id="15" w:name="_Toc51339695"/>
      <w:r>
        <w:rPr>
          <w:rFonts w:ascii="Times New Roman" w:hAnsi="Times New Roman"/>
          <w:b/>
          <w:sz w:val="20"/>
          <w:szCs w:val="20"/>
        </w:rPr>
        <w:t xml:space="preserve">Таблица 1.1 Перечень </w:t>
      </w:r>
      <w:bookmarkEnd w:id="15"/>
      <w:r>
        <w:rPr>
          <w:rFonts w:ascii="Times New Roman" w:hAnsi="Times New Roman"/>
          <w:b/>
          <w:sz w:val="20"/>
          <w:szCs w:val="20"/>
        </w:rPr>
        <w:t>и объем закупаемой продукции</w:t>
      </w:r>
      <w:bookmarkEnd w:id="13"/>
      <w:bookmarkEnd w:id="14"/>
    </w:p>
    <w:p>
      <w:pPr>
        <w:pStyle w:val="Normal"/>
        <w:tabs>
          <w:tab w:val="clear" w:pos="709"/>
        </w:tabs>
        <w:spacing w:lineRule="exact" w:line="283"/>
        <w:ind w:left="567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tabs>
          <w:tab w:val="clear" w:pos="709"/>
        </w:tabs>
        <w:spacing w:lineRule="exact" w:line="283"/>
        <w:ind w:left="567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tbl>
      <w:tblPr>
        <w:tblW w:w="11004" w:type="dxa"/>
        <w:jc w:val="left"/>
        <w:tblInd w:w="-604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99"/>
        <w:gridCol w:w="8739"/>
        <w:gridCol w:w="849"/>
        <w:gridCol w:w="716"/>
      </w:tblGrid>
      <w:tr>
        <w:trPr>
          <w:trHeight w:val="597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продукции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Е.И.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</w:tr>
      <w:tr>
        <w:trPr>
          <w:trHeight w:val="166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Akom 6СТ-100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Akom 6СТ-110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Akom 6СТ-120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Akom 6СТ-60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Akom 6СТ-62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Akom 6СТ-65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Akom 6СТ-85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Akom 6СТ-90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Akom 6СТ-91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ALPHALINE SD 110 пр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Bars 6СТ-60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Bars 6СТ-90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Delta 12V 75Ah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FAVORIT 6СТ-90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FORD (80 Ач, 12 V)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Mutlu 6СТ-190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PAZ 12V 100 Ah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PRESIDENT 65D26L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PRESIDENT 80D23R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RIDER CP DRIVE 31S-1000 А/ч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Rocket 80D26R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Rocket 90D26R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Solite 195G51 200Ah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SPARK SPA 90-3-L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Tiger 6 СТ 90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Topla 6СТ-95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Tyumen Battery 6СТ-115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Tyumen Battery 6СТ-120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Tyumen Battery 6СТ-132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Tyumen Battery 6СТ-150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Tyumen Battery 6СТ-190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Tyumen Battery 6СТ-70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Tyumen Battery 6СТ-95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Tyumen Battery Premium 6СТ-190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>
        <w:trPr>
          <w:trHeight w:val="267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VARTA 6-QW-120T 120 Ач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АКОМ 6СТ-100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АКОМ VL Евро 6СТ-100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Зверь 6СТ-120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Зверь 6СТ-150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Зверь 6СТ-190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Зверь 6СТ-85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Зверь 6СТ-90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>
        <w:trPr>
          <w:trHeight w:val="223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43.</w:t>
            </w:r>
          </w:p>
        </w:tc>
        <w:tc>
          <w:tcPr>
            <w:tcW w:w="87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 Промтех 6СТ-190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</w:tbl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Heading3"/>
        <w:spacing w:lineRule="exact" w:line="283" w:before="0" w:after="0"/>
        <w:ind w:lef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Объем продукции является ориентировочным и Заказчик не несет ответственность за неполную выборку продукции на общую сумму договора.</w:t>
      </w:r>
    </w:p>
    <w:p>
      <w:pPr>
        <w:pStyle w:val="Normal"/>
        <w:spacing w:lineRule="exact" w:line="28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Heading3"/>
        <w:spacing w:lineRule="exact" w:line="283" w:before="0" w:after="0"/>
        <w:ind w:left="0" w:firstLine="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2.1.2. </w:t>
      </w:r>
      <w:bookmarkStart w:id="16" w:name="_Toc51339696"/>
      <w:bookmarkStart w:id="17" w:name="_Toc196407769"/>
      <w:bookmarkStart w:id="18" w:name="_Toc75446578"/>
      <w:r>
        <w:rPr>
          <w:rFonts w:ascii="Times New Roman" w:hAnsi="Times New Roman"/>
          <w:b/>
          <w:sz w:val="20"/>
          <w:szCs w:val="20"/>
        </w:rPr>
        <w:t xml:space="preserve">Требования </w:t>
      </w:r>
      <w:bookmarkEnd w:id="16"/>
      <w:r>
        <w:rPr>
          <w:rFonts w:ascii="Times New Roman" w:hAnsi="Times New Roman"/>
          <w:b/>
          <w:sz w:val="20"/>
          <w:szCs w:val="20"/>
        </w:rPr>
        <w:t>к срокам поставки продукции и оказания сопутствующих услуг</w:t>
      </w:r>
      <w:bookmarkEnd w:id="17"/>
      <w:bookmarkEnd w:id="18"/>
    </w:p>
    <w:p>
      <w:pPr>
        <w:pStyle w:val="Heading1"/>
        <w:tabs>
          <w:tab w:val="clear" w:pos="0"/>
        </w:tabs>
        <w:spacing w:lineRule="exact" w:line="283"/>
        <w:ind w:left="567" w:hanging="0"/>
        <w:rPr>
          <w:rFonts w:ascii="Times New Roman" w:hAnsi="Times New Roman"/>
          <w:sz w:val="20"/>
          <w:szCs w:val="20"/>
        </w:rPr>
      </w:pPr>
      <w:bookmarkStart w:id="19" w:name="_Toc196407770"/>
      <w:bookmarkStart w:id="20" w:name="_Toc75446579"/>
      <w:bookmarkStart w:id="21" w:name="_Toc50125127"/>
      <w:bookmarkStart w:id="22" w:name="_Toc51339697"/>
      <w:bookmarkStart w:id="23" w:name="_Toc501251261"/>
      <w:bookmarkEnd w:id="23"/>
      <w:r>
        <w:rPr>
          <w:rFonts w:ascii="Times New Roman" w:hAnsi="Times New Roman"/>
          <w:b/>
          <w:sz w:val="20"/>
          <w:szCs w:val="20"/>
        </w:rPr>
        <w:t xml:space="preserve">Таблица </w:t>
      </w:r>
      <w:r>
        <w:rPr>
          <w:rFonts w:ascii="Times New Roman" w:hAnsi="Times New Roman"/>
          <w:b/>
          <w:sz w:val="20"/>
          <w:szCs w:val="20"/>
          <w:lang w:val="ru-RU"/>
        </w:rPr>
        <w:t>2</w:t>
      </w:r>
      <w:r>
        <w:rPr>
          <w:rFonts w:ascii="Times New Roman" w:hAnsi="Times New Roman"/>
          <w:b/>
          <w:sz w:val="20"/>
          <w:szCs w:val="20"/>
        </w:rPr>
        <w:t>.</w:t>
      </w:r>
      <w:r>
        <w:rPr>
          <w:rFonts w:ascii="Times New Roman" w:hAnsi="Times New Roman"/>
          <w:b/>
          <w:sz w:val="20"/>
          <w:szCs w:val="20"/>
          <w:lang w:val="ru-RU"/>
        </w:rPr>
        <w:t>1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bookmarkStart w:id="24" w:name="_Hlk50465284"/>
      <w:r>
        <w:rPr>
          <w:rFonts w:ascii="Times New Roman" w:hAnsi="Times New Roman"/>
          <w:b/>
          <w:sz w:val="20"/>
          <w:szCs w:val="20"/>
        </w:rPr>
        <w:t xml:space="preserve">Требования по срокам </w:t>
      </w:r>
      <w:bookmarkEnd w:id="21"/>
      <w:bookmarkEnd w:id="22"/>
      <w:bookmarkEnd w:id="24"/>
      <w:r>
        <w:rPr>
          <w:rFonts w:ascii="Times New Roman" w:hAnsi="Times New Roman"/>
          <w:b/>
          <w:sz w:val="20"/>
          <w:szCs w:val="20"/>
          <w:lang w:val="ru-RU"/>
        </w:rPr>
        <w:t>поставки продукци</w:t>
      </w:r>
      <w:bookmarkEnd w:id="19"/>
      <w:bookmarkEnd w:id="20"/>
      <w:r>
        <w:rPr>
          <w:rFonts w:ascii="Times New Roman" w:hAnsi="Times New Roman"/>
          <w:b/>
          <w:sz w:val="20"/>
          <w:szCs w:val="20"/>
          <w:lang w:val="ru-RU"/>
        </w:rPr>
        <w:t xml:space="preserve">и </w:t>
      </w:r>
    </w:p>
    <w:tbl>
      <w:tblPr>
        <w:tblW w:w="10800" w:type="dxa"/>
        <w:jc w:val="left"/>
        <w:tblInd w:w="-508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noVBand="1" w:val="04a0" w:noHBand="0" w:lastColumn="0" w:firstColumn="1" w:lastRow="0" w:firstRow="1"/>
      </w:tblPr>
      <w:tblGrid>
        <w:gridCol w:w="681"/>
        <w:gridCol w:w="3725"/>
        <w:gridCol w:w="3270"/>
        <w:gridCol w:w="3123"/>
      </w:tblGrid>
      <w:tr>
        <w:trPr/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28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28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продукции / партии продукции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exact" w:line="28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Требования к началу срока поставки продукции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Требования к окончанию срока поставки продукции</w:t>
            </w:r>
          </w:p>
        </w:tc>
      </w:tr>
      <w:tr>
        <w:trPr>
          <w:trHeight w:val="236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28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7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28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lineRule="exact" w:line="283"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lineRule="exact" w:line="283"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25" w:name="_Toc46743510"/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bookmarkEnd w:id="25"/>
          </w:p>
        </w:tc>
      </w:tr>
      <w:tr>
        <w:trPr>
          <w:trHeight w:val="417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lineRule="exact" w:line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bookmarkStart w:id="26" w:name="_Toc54785622"/>
            <w:bookmarkStart w:id="27" w:name="_Toc54785622"/>
            <w:bookmarkEnd w:id="27"/>
          </w:p>
        </w:tc>
        <w:tc>
          <w:tcPr>
            <w:tcW w:w="3725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exact" w:line="28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ОКПД2 27.20.23.190 Поставка аккумуляторных батарей в Хабаровский край, Приморский край, Амурскую область, Магаданскую область, Сахалинскую область, Республику Саха (Якутию) для нужд Дальневосточного филиала АО "ТК РусГидро".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9"/>
                <w:tab w:val="left" w:pos="0" w:leader="none"/>
                <w:tab w:val="left" w:pos="1134" w:leader="none"/>
                <w:tab w:val="left" w:pos="1418" w:leader="none"/>
              </w:tabs>
              <w:spacing w:lineRule="exact" w:line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2C2D2E"/>
                <w:sz w:val="20"/>
                <w:szCs w:val="20"/>
              </w:rPr>
              <w:t>с момента подачи заявки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spacing w:lineRule="exact" w:line="283"/>
              <w:ind w:firstLine="85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В течение 30 (тридцати) календарных дней с момента (даты) направления Заявки Покупателем Поставщику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1134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tabs>
          <w:tab w:val="left" w:pos="0" w:leader="none"/>
          <w:tab w:val="left" w:pos="851" w:leader="none"/>
        </w:tabs>
        <w:spacing w:lineRule="exact" w:line="283"/>
        <w:ind w:lef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2.2. </w:t>
      </w:r>
      <w:bookmarkStart w:id="28" w:name="_Toc51339698"/>
      <w:bookmarkStart w:id="29" w:name="_Toc46743511"/>
      <w:bookmarkStart w:id="30" w:name="_Toc75446581"/>
      <w:bookmarkStart w:id="31" w:name="_Toc196407771"/>
      <w:r>
        <w:rPr>
          <w:rFonts w:ascii="Times New Roman" w:hAnsi="Times New Roman"/>
          <w:b/>
          <w:sz w:val="20"/>
          <w:szCs w:val="20"/>
        </w:rPr>
        <w:t xml:space="preserve">Требования к </w:t>
      </w:r>
      <w:bookmarkEnd w:id="29"/>
      <w:r>
        <w:rPr>
          <w:rFonts w:ascii="Times New Roman" w:hAnsi="Times New Roman"/>
          <w:b/>
          <w:sz w:val="20"/>
          <w:szCs w:val="20"/>
        </w:rPr>
        <w:t>качеству продукции</w:t>
      </w:r>
      <w:bookmarkEnd w:id="30"/>
      <w:bookmarkEnd w:id="31"/>
    </w:p>
    <w:p>
      <w:pPr>
        <w:pStyle w:val="Heading1"/>
        <w:tabs>
          <w:tab w:val="clear" w:pos="0"/>
          <w:tab w:val="left" w:pos="851" w:leader="none"/>
        </w:tabs>
        <w:spacing w:lineRule="exact" w:line="283"/>
        <w:ind w:left="0" w:hanging="0"/>
        <w:rPr>
          <w:rFonts w:ascii="Times New Roman" w:hAnsi="Times New Roman"/>
          <w:sz w:val="20"/>
          <w:szCs w:val="20"/>
        </w:rPr>
      </w:pPr>
      <w:bookmarkStart w:id="32" w:name="_Toc196407772"/>
      <w:bookmarkStart w:id="33" w:name="_Toc75446582"/>
      <w:r>
        <w:rPr>
          <w:rFonts w:ascii="Times New Roman" w:hAnsi="Times New Roman"/>
          <w:b/>
          <w:sz w:val="20"/>
          <w:szCs w:val="20"/>
        </w:rPr>
        <w:t>Таблица </w:t>
      </w:r>
      <w:r>
        <w:rPr>
          <w:rFonts w:ascii="Times New Roman" w:hAnsi="Times New Roman"/>
          <w:b/>
          <w:sz w:val="20"/>
          <w:szCs w:val="20"/>
          <w:lang w:val="ru-RU"/>
        </w:rPr>
        <w:t>3</w:t>
      </w:r>
      <w:r>
        <w:rPr>
          <w:rFonts w:ascii="Times New Roman" w:hAnsi="Times New Roman"/>
          <w:b/>
          <w:sz w:val="20"/>
          <w:szCs w:val="20"/>
        </w:rPr>
        <w:t xml:space="preserve">.1 Требования к </w:t>
      </w:r>
      <w:r>
        <w:rPr>
          <w:rFonts w:ascii="Times New Roman" w:hAnsi="Times New Roman"/>
          <w:b/>
          <w:sz w:val="20"/>
          <w:szCs w:val="20"/>
          <w:lang w:val="ru-RU"/>
        </w:rPr>
        <w:t>продукции</w:t>
      </w:r>
      <w:bookmarkEnd w:id="32"/>
      <w:bookmarkEnd w:id="33"/>
      <w:r>
        <w:rPr>
          <w:rFonts w:ascii="Times New Roman" w:hAnsi="Times New Roman"/>
          <w:b/>
          <w:sz w:val="20"/>
          <w:szCs w:val="20"/>
        </w:rPr>
        <w:t xml:space="preserve"> </w:t>
      </w:r>
      <w:bookmarkEnd w:id="28"/>
    </w:p>
    <w:p>
      <w:pPr>
        <w:pStyle w:val="Normal"/>
        <w:tabs>
          <w:tab w:val="clear" w:pos="709"/>
          <w:tab w:val="left" w:pos="851" w:leader="none"/>
        </w:tabs>
        <w:spacing w:lineRule="exact" w:line="283"/>
        <w:ind w:left="5038" w:hanging="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lineRule="exact" w:line="28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i w:val="false"/>
          <w:iCs w:val="false"/>
          <w:sz w:val="20"/>
          <w:szCs w:val="20"/>
        </w:rPr>
        <w:t xml:space="preserve">Наименование: </w:t>
      </w:r>
      <w:r>
        <w:rPr>
          <w:rFonts w:eastAsia="Calibri" w:ascii="Times New Roman" w:hAnsi="Times New Roman"/>
          <w:b/>
          <w:bCs/>
          <w:i w:val="false"/>
          <w:iCs w:val="false"/>
          <w:sz w:val="20"/>
          <w:szCs w:val="20"/>
        </w:rPr>
        <w:t>ОКПД2 27.20.23.190 Поставка аккумуляторных батарей в Хабаровский край, Приморский край, Амурскую область, Магаданскую область, Сахалинскую область, Республику Саха (Якутию) для нужд Дальневосточного филиала АО "ТК РусГидро".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lineRule="exact" w:line="283"/>
        <w:jc w:val="both"/>
        <w:rPr>
          <w:rFonts w:ascii="Times New Roman" w:hAnsi="Times New Roman" w:eastAsia="Calibri"/>
          <w:b/>
          <w:i/>
          <w:i/>
          <w:sz w:val="20"/>
          <w:szCs w:val="20"/>
        </w:rPr>
      </w:pPr>
      <w:r>
        <w:rPr>
          <w:rFonts w:eastAsia="Calibri" w:ascii="Times New Roman" w:hAnsi="Times New Roman"/>
          <w:b/>
          <w:i/>
          <w:sz w:val="20"/>
          <w:szCs w:val="20"/>
        </w:rPr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lineRule="exact" w:line="28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tbl>
      <w:tblPr>
        <w:tblW w:w="16099" w:type="dxa"/>
        <w:jc w:val="left"/>
        <w:tblInd w:w="-649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13"/>
        <w:gridCol w:w="3175"/>
        <w:gridCol w:w="4487"/>
        <w:gridCol w:w="2488"/>
        <w:gridCol w:w="2500"/>
        <w:gridCol w:w="2636"/>
      </w:tblGrid>
      <w:tr>
        <w:trPr>
          <w:trHeight w:val="585" w:hRule="atLeast"/>
        </w:trPr>
        <w:tc>
          <w:tcPr>
            <w:tcW w:w="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3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4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Требование заказчика</w:t>
            </w:r>
          </w:p>
        </w:tc>
        <w:tc>
          <w:tcPr>
            <w:tcW w:w="4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>
        <w:trPr>
          <w:trHeight w:val="585" w:hRule="atLeast"/>
        </w:trPr>
        <w:tc>
          <w:tcPr>
            <w:tcW w:w="8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1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448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Согласие с требованием / 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Предоставление подтверждающего документа или иной способ подтверждения </w:t>
            </w:r>
          </w:p>
        </w:tc>
        <w:tc>
          <w:tcPr>
            <w:tcW w:w="26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Akom 6СТ-100(или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Akom 6СТ-110(или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Akom 6СТ-120(или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192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Akom 6СТ-60(или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Akom 6СТ-62(или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1.6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Akom 6СТ-65(или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1.7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Akom 6СТ-85(или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1.8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Akom 6СТ-90(или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1.9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Akom 6СТ-91(или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1.10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ALPHALINE SD 110 пр(или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1.11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Bars 6СТ-60(или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1.12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Bars 6СТ-90(или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1.13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Delta 12V 75Ah(или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1.14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FAVORIT 6СТ-90(или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1.15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FORD (80 Ач, 12 V)(или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1.16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Mutlu 6СТ-190(или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1.17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PAZ 12V 100 Ah(или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1.18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PRESIDENT 65D26L(или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1.19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PRESIDENT 80D23R(или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1.20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RIDER CP DRIVE 31S-1000 А/ч(или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1.21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Rocket 80D26R(или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1.22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Rocket 90D26R(или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1.23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Solite 195G51 200Ah(или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1.24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SPARK SPA 90-3-L(или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1.25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Tiger 6 СТ 90(или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1.26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Topla 6СТ-95(или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1.27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Tyumen Battery 6СТ-115(или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1.28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Tyumen Battery 6СТ-120(или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1.29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Tyumen Battery 6СТ-132(или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1.30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Tyumen Battery 6СТ-150(или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1.31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Tyumen Battery 6СТ-190(или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1.32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Tyumen Battery 6СТ-70(или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1.33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Tyumen Battery 6СТ-95(или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1.34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Tyumen Battery Premium 6СТ-190(или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1.35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VARTA 6-QW-120T 120 Ач(или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1.36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АКОМ 6СТ-100(или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1.37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АКОМ VL Евро 6СТ-100(или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1.38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Зверь 6СТ-120(или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1.39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Зверь 6СТ-150(или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1.40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Зверь 6СТ-190(или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1.41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Зверь 6СТ-85(или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1.42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Зверь 6СТ-90(или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1.43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Аккумуляторная батарея</w:t>
            </w:r>
          </w:p>
        </w:tc>
        <w:tc>
          <w:tcPr>
            <w:tcW w:w="4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Промтех 6СТ-190(или эквивалент)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/ - </w:t>
            </w:r>
          </w:p>
        </w:tc>
      </w:tr>
    </w:tbl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lineRule="exact" w:line="28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lineRule="exact" w:line="28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tbl>
      <w:tblPr>
        <w:tblStyle w:val="1c"/>
        <w:tblW w:w="16100" w:type="dxa"/>
        <w:jc w:val="left"/>
        <w:tblInd w:w="-6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50"/>
        <w:gridCol w:w="2100"/>
        <w:gridCol w:w="8500"/>
        <w:gridCol w:w="2275"/>
        <w:gridCol w:w="1238"/>
        <w:gridCol w:w="1137"/>
      </w:tblGrid>
      <w:tr>
        <w:trPr>
          <w:trHeight w:val="249" w:hRule="atLeast"/>
        </w:trPr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2.</w:t>
            </w:r>
          </w:p>
        </w:tc>
        <w:tc>
          <w:tcPr>
            <w:tcW w:w="1060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Требования к безопасности</w:t>
            </w:r>
          </w:p>
        </w:tc>
        <w:tc>
          <w:tcPr>
            <w:tcW w:w="22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12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11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</w:tr>
      <w:tr>
        <w:trPr>
          <w:trHeight w:val="426" w:hRule="atLeast"/>
        </w:trPr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2.1</w:t>
            </w:r>
          </w:p>
        </w:tc>
        <w:tc>
          <w:tcPr>
            <w:tcW w:w="1060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Качество и безопасность товара должны соответствовать техническому регламенту Таможенного союза ТР ТС 018/2011 "О безопасности колесных транспортных средств".</w:t>
            </w:r>
          </w:p>
        </w:tc>
        <w:tc>
          <w:tcPr>
            <w:tcW w:w="22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2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11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291" w:hRule="atLeast"/>
        </w:trPr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3.</w:t>
            </w:r>
          </w:p>
        </w:tc>
        <w:tc>
          <w:tcPr>
            <w:tcW w:w="1060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Требования к конструкции, изготовлению и материалам</w:t>
            </w:r>
          </w:p>
        </w:tc>
        <w:tc>
          <w:tcPr>
            <w:tcW w:w="22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12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11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</w:tr>
      <w:tr>
        <w:trPr>
          <w:trHeight w:val="267" w:hRule="atLeast"/>
        </w:trPr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3.1</w:t>
            </w:r>
          </w:p>
        </w:tc>
        <w:tc>
          <w:tcPr>
            <w:tcW w:w="1060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Не установлено</w:t>
            </w:r>
          </w:p>
        </w:tc>
        <w:tc>
          <w:tcPr>
            <w:tcW w:w="22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12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11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</w:tr>
      <w:tr>
        <w:trPr>
          <w:trHeight w:val="268" w:hRule="atLeast"/>
        </w:trPr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4.</w:t>
            </w:r>
          </w:p>
        </w:tc>
        <w:tc>
          <w:tcPr>
            <w:tcW w:w="1060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2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12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11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</w:tr>
      <w:tr>
        <w:trPr>
          <w:trHeight w:val="289" w:hRule="atLeast"/>
        </w:trPr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4.1</w:t>
            </w:r>
          </w:p>
        </w:tc>
        <w:tc>
          <w:tcPr>
            <w:tcW w:w="1060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Не установлено</w:t>
            </w:r>
          </w:p>
        </w:tc>
        <w:tc>
          <w:tcPr>
            <w:tcW w:w="22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12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11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</w:tr>
      <w:tr>
        <w:trPr>
          <w:trHeight w:val="536" w:hRule="atLeast"/>
        </w:trPr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5.</w:t>
            </w:r>
          </w:p>
        </w:tc>
        <w:tc>
          <w:tcPr>
            <w:tcW w:w="1060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22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12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11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</w:tr>
      <w:tr>
        <w:trPr>
          <w:trHeight w:val="424" w:hRule="atLeast"/>
        </w:trPr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5.1</w:t>
            </w:r>
          </w:p>
        </w:tc>
        <w:tc>
          <w:tcPr>
            <w:tcW w:w="2100" w:type="dxa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Место поставки</w:t>
            </w:r>
          </w:p>
        </w:tc>
        <w:tc>
          <w:tcPr>
            <w:tcW w:w="85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0"/>
                <w:szCs w:val="20"/>
                <w:shd w:fill="FFFFFF" w:val="clear"/>
                <w:lang w:val="ru-RU" w:eastAsia="en-US" w:bidi="ar-SA"/>
              </w:rPr>
              <w:t>- Бурейский ТУ, Нижне-Бурейский ТУ, Амурская область, п. Талакан, база флота Бурейской ГЭС; - Зейский ТУ, Амурская область, г. Зея (терминал транспортной компании); - Якутский ТУ, 677004, Саха /Якутия/ Респ, Якутск г, Беринга ул, дом № 16; - ТУ Нерюнгри, 678965, Саха /Якутия/ Респ, г Нерюнгри, ул Карла Маркса, д. 9, к. 1, кв. 20; - УстьСреднеканский ТУ, УстьСреднеканский ТУ (водная группа), Магаданская область, г. Магадан (терминал транспортной компании); Колымский ТУ Ягоднинский N22 п. Синегорье, база ГЭМ-СГЭМ. - Владивостокский СУ, Приморский край, г. Владивосток, ул. Фадеева 47а.; - Хабаровский ТУ, Хабаровский край, г. Хабаровск, ул. Автономная, д. 5; - Хабаровский УРП, Хабаровский край, г. Хабаровск, ул. Автономная, д. 5; - Партизанский СУ, Приморский край, г. Партизанск, ул. Свердлова д 2. - Колымский ТУ Ягоднинский район, п. Синегорье, база ГЭМ-СГЭМ. - ЮСУРП, Сахалинская область, г. Южно-Сахалинск ул. Шлакоблочная д 28.</w:t>
            </w:r>
          </w:p>
        </w:tc>
        <w:tc>
          <w:tcPr>
            <w:tcW w:w="22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2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11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</w:tr>
      <w:tr>
        <w:trPr>
          <w:trHeight w:val="447" w:hRule="atLeast"/>
        </w:trPr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5.2</w:t>
            </w:r>
          </w:p>
        </w:tc>
        <w:tc>
          <w:tcPr>
            <w:tcW w:w="21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 xml:space="preserve">Требования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к упаковке</w:t>
            </w:r>
          </w:p>
        </w:tc>
        <w:tc>
          <w:tcPr>
            <w:tcW w:w="85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Продукция должна поставляться в упаковке, обеспечивающей защиту от внешних воздействующих факторов (в т.ч. климатических, механических) при транспортировании, хранении и погрузочно-разгрузочных работах.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Маркировка и (или) упаковка продукции должна обеспечивать Заказчику возможность идентифицировать продукцию.</w:t>
            </w:r>
          </w:p>
        </w:tc>
        <w:tc>
          <w:tcPr>
            <w:tcW w:w="22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2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233" w:hRule="atLeast"/>
        </w:trPr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6.</w:t>
            </w:r>
          </w:p>
        </w:tc>
        <w:tc>
          <w:tcPr>
            <w:tcW w:w="1060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Требования к эксплуатации, обеспечению и утилизации</w:t>
            </w:r>
          </w:p>
        </w:tc>
        <w:tc>
          <w:tcPr>
            <w:tcW w:w="22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12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11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</w:tr>
      <w:tr>
        <w:trPr>
          <w:trHeight w:val="197" w:hRule="atLeast"/>
        </w:trPr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6.1</w:t>
            </w:r>
          </w:p>
        </w:tc>
        <w:tc>
          <w:tcPr>
            <w:tcW w:w="10600" w:type="dxa"/>
            <w:gridSpan w:val="2"/>
            <w:tcBorders/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Не установлено</w:t>
            </w:r>
          </w:p>
        </w:tc>
        <w:tc>
          <w:tcPr>
            <w:tcW w:w="22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12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256" w:hRule="atLeast"/>
        </w:trPr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7.</w:t>
            </w:r>
          </w:p>
        </w:tc>
        <w:tc>
          <w:tcPr>
            <w:tcW w:w="1060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2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12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11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</w:tr>
      <w:tr>
        <w:trPr>
          <w:trHeight w:val="688" w:hRule="atLeast"/>
        </w:trPr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7.1</w:t>
            </w:r>
          </w:p>
        </w:tc>
        <w:tc>
          <w:tcPr>
            <w:tcW w:w="2100" w:type="dxa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Срок гарантии</w:t>
            </w:r>
          </w:p>
        </w:tc>
        <w:tc>
          <w:tcPr>
            <w:tcW w:w="85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Гарантийный срок на Товар равен гарантийному сроку производителя и начинает течь с даты подписания Сторонами Накладной ТОРГ-12/УПД.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Установленный в отношении Товара гарантийный срок распространяется на все составные части и комплектующие Товара.</w:t>
            </w:r>
          </w:p>
        </w:tc>
        <w:tc>
          <w:tcPr>
            <w:tcW w:w="22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2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303" w:hRule="atLeast"/>
        </w:trPr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8.</w:t>
            </w:r>
          </w:p>
        </w:tc>
        <w:tc>
          <w:tcPr>
            <w:tcW w:w="1060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2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12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11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</w:tr>
      <w:tr>
        <w:trPr>
          <w:trHeight w:val="688" w:hRule="atLeast"/>
        </w:trPr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8.1</w:t>
            </w:r>
          </w:p>
        </w:tc>
        <w:tc>
          <w:tcPr>
            <w:tcW w:w="2100" w:type="dxa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Документы, передаваемые вместе с продукцией</w:t>
            </w:r>
          </w:p>
        </w:tc>
        <w:tc>
          <w:tcPr>
            <w:tcW w:w="85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Поставщик передает Заказчику товарную накладную (ТОРГ-12)/УПД, счет-фактуру</w:t>
            </w:r>
          </w:p>
        </w:tc>
        <w:tc>
          <w:tcPr>
            <w:tcW w:w="22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2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color w:val="000000" w:themeColor="text1"/>
                <w:sz w:val="20"/>
                <w:szCs w:val="20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ListParagraph"/>
        <w:numPr>
          <w:ilvl w:val="0"/>
          <w:numId w:val="7"/>
        </w:numPr>
        <w:spacing w:lineRule="exact" w:line="28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color w:val="000000" w:themeColor="text1"/>
          <w:sz w:val="20"/>
          <w:szCs w:val="20"/>
        </w:rPr>
        <w:t>Требования к документации по ценообразованию на этапе заключения (исполнения) договора</w:t>
      </w:r>
    </w:p>
    <w:p>
      <w:pPr>
        <w:pStyle w:val="Normal"/>
        <w:spacing w:lineRule="exact" w:line="283" w:before="0" w:after="0"/>
        <w:contextualSpacing/>
        <w:rPr>
          <w:rFonts w:ascii="Times New Roman" w:hAnsi="Times New Roman" w:eastAsia="Calibri"/>
          <w:color w:val="000000" w:themeColor="text1"/>
          <w:sz w:val="20"/>
          <w:szCs w:val="20"/>
        </w:rPr>
      </w:pPr>
      <w:r>
        <w:rPr>
          <w:rFonts w:eastAsia="Calibri" w:ascii="Times New Roman" w:hAnsi="Times New Roman"/>
          <w:color w:val="000000" w:themeColor="text1"/>
          <w:sz w:val="20"/>
          <w:szCs w:val="20"/>
        </w:rPr>
      </w:r>
    </w:p>
    <w:p>
      <w:pPr>
        <w:pStyle w:val="Normal"/>
        <w:spacing w:lineRule="exact" w:line="283"/>
        <w:rPr>
          <w:rFonts w:ascii="Times New Roman" w:hAnsi="Times New Roman"/>
          <w:sz w:val="20"/>
          <w:szCs w:val="20"/>
        </w:rPr>
      </w:pPr>
      <w:r>
        <w:rPr>
          <w:rFonts w:eastAsia="Calibri" w:ascii="Times New Roman" w:hAnsi="Times New Roman"/>
          <w:bCs/>
          <w:sz w:val="20"/>
          <w:szCs w:val="20"/>
        </w:rPr>
        <w:t xml:space="preserve">3.1 </w:t>
      </w:r>
      <w:r>
        <w:rPr>
          <w:rFonts w:eastAsia="Calibri" w:ascii="Times New Roman" w:hAnsi="Times New Roman"/>
          <w:sz w:val="20"/>
          <w:szCs w:val="20"/>
        </w:rPr>
        <w:t>В цену продукции должны быть включены все затраты, связанные с исполнением обязательств по поставке продукции, в том числе, все налоги, сборы и пошлины, расходы на доставку Продукции до места поставки, погрузку и разгрузку, иные расходы, связанные с исполнением обязательств по Договору.</w:t>
      </w:r>
    </w:p>
    <w:p>
      <w:pPr>
        <w:pStyle w:val="Normal"/>
        <w:spacing w:lineRule="exact" w:line="28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spacing w:lineRule="exact" w:line="283"/>
        <w:ind w:lef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Cs/>
          <w:color w:val="000000" w:themeColor="text1"/>
          <w:sz w:val="20"/>
          <w:szCs w:val="20"/>
          <w:lang w:eastAsia="x-none"/>
        </w:rPr>
        <w:t xml:space="preserve">  </w:t>
      </w:r>
      <w:r>
        <w:rPr>
          <w:rFonts w:ascii="Times New Roman" w:hAnsi="Times New Roman"/>
          <w:b/>
          <w:bCs/>
          <w:sz w:val="20"/>
          <w:szCs w:val="20"/>
        </w:rPr>
        <w:t>4. Приложения</w:t>
      </w:r>
    </w:p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  <w:lang w:eastAsia="x-none"/>
        </w:rPr>
        <w:t>Приложение №1: Корпоративные требования.</w:t>
      </w:r>
    </w:p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Приложение №2: Распределение потребности по адресам поставки товара (ассортиментный перечень).</w:t>
      </w:r>
    </w:p>
    <w:p>
      <w:pPr>
        <w:pStyle w:val="Normal"/>
        <w:tabs>
          <w:tab w:val="clear" w:pos="709"/>
          <w:tab w:val="left" w:pos="851" w:leader="none"/>
        </w:tabs>
        <w:spacing w:lineRule="exact" w:line="283" w:before="0" w:after="120"/>
        <w:ind w:left="410" w:hanging="0"/>
        <w:rPr>
          <w:rFonts w:ascii="Times New Roman" w:hAnsi="Times New Roman"/>
          <w:iCs/>
          <w:color w:val="000000" w:themeColor="text1"/>
          <w:sz w:val="20"/>
          <w:szCs w:val="20"/>
          <w:lang w:eastAsia="x-none"/>
        </w:rPr>
      </w:pPr>
      <w:r>
        <w:rPr>
          <w:rFonts w:ascii="Times New Roman" w:hAnsi="Times New Roman"/>
          <w:iCs/>
          <w:color w:val="000000" w:themeColor="text1"/>
          <w:sz w:val="20"/>
          <w:szCs w:val="20"/>
          <w:lang w:eastAsia="x-none"/>
        </w:rPr>
      </w:r>
    </w:p>
    <w:p>
      <w:pPr>
        <w:pStyle w:val="Normal"/>
        <w:tabs>
          <w:tab w:val="clear" w:pos="709"/>
          <w:tab w:val="left" w:pos="851" w:leader="none"/>
        </w:tabs>
        <w:spacing w:lineRule="exact" w:line="283" w:before="0" w:after="120"/>
        <w:ind w:left="410" w:hanging="0"/>
        <w:rPr>
          <w:rFonts w:ascii="Times New Roman" w:hAnsi="Times New Roman"/>
          <w:iCs/>
          <w:color w:val="000000" w:themeColor="text1"/>
          <w:sz w:val="20"/>
          <w:szCs w:val="20"/>
          <w:lang w:eastAsia="x-none"/>
        </w:rPr>
      </w:pPr>
      <w:r>
        <w:rPr>
          <w:rFonts w:ascii="Times New Roman" w:hAnsi="Times New Roman"/>
          <w:iCs/>
          <w:color w:val="000000" w:themeColor="text1"/>
          <w:sz w:val="20"/>
          <w:szCs w:val="20"/>
          <w:lang w:eastAsia="x-none"/>
        </w:rPr>
      </w:r>
    </w:p>
    <w:p>
      <w:pPr>
        <w:pStyle w:val="Normal"/>
        <w:spacing w:lineRule="exact" w:line="28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Исполнитель:</w:t>
      </w:r>
    </w:p>
    <w:p>
      <w:pPr>
        <w:pStyle w:val="Normal"/>
        <w:spacing w:lineRule="exact" w:line="28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exact" w:line="28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Ведущий специалист группы МТС</w:t>
      </w:r>
    </w:p>
    <w:p>
      <w:pPr>
        <w:pStyle w:val="Normal"/>
        <w:spacing w:lineRule="exact" w:line="28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Дальневосточного филиала АО «ТК РусГидро»</w:t>
        <w:tab/>
        <w:tab/>
        <w:tab/>
        <w:tab/>
        <w:tab/>
        <w:t xml:space="preserve">                          В.В. Шемякин</w:t>
      </w:r>
    </w:p>
    <w:p>
      <w:pPr>
        <w:pStyle w:val="Normal"/>
        <w:spacing w:lineRule="exact" w:line="28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exact" w:line="28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Согласовано:</w:t>
      </w:r>
    </w:p>
    <w:p>
      <w:pPr>
        <w:pStyle w:val="Normal"/>
        <w:spacing w:lineRule="exact" w:line="28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exact" w:line="28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Руководитель группы КЭОиРТС</w:t>
      </w:r>
    </w:p>
    <w:p>
      <w:pPr>
        <w:pStyle w:val="Normal"/>
        <w:spacing w:lineRule="exact" w:line="28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Дальневосточного филиала АО «ТК РусГидро»</w:t>
        <w:tab/>
        <w:tab/>
        <w:t xml:space="preserve">                              </w:t>
        <w:tab/>
        <w:t xml:space="preserve">                          С.А. Кусов</w:t>
      </w:r>
    </w:p>
    <w:p>
      <w:pPr>
        <w:pStyle w:val="Normal"/>
        <w:spacing w:lineRule="exact" w:line="28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exact" w:line="28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Руководитель группы МТС</w:t>
      </w:r>
    </w:p>
    <w:p>
      <w:pPr>
        <w:pStyle w:val="Normal"/>
        <w:spacing w:lineRule="exact" w:line="283"/>
        <w:rPr>
          <w:rFonts w:ascii="Times New Roman" w:hAnsi="Times New Roman"/>
          <w:sz w:val="20"/>
          <w:szCs w:val="20"/>
        </w:rPr>
      </w:pPr>
      <w:bookmarkStart w:id="34" w:name="_GoBack_Копия_1"/>
      <w:bookmarkEnd w:id="34"/>
      <w:r>
        <w:rPr>
          <w:rFonts w:ascii="Times New Roman" w:hAnsi="Times New Roman"/>
          <w:color w:val="000000" w:themeColor="text1"/>
          <w:sz w:val="20"/>
          <w:szCs w:val="20"/>
        </w:rPr>
        <w:t xml:space="preserve">Дальневосточного филиала АО «ТК РусГидро» </w:t>
        <w:tab/>
        <w:tab/>
        <w:tab/>
        <w:t xml:space="preserve">                                                      К.И. Пармон</w:t>
      </w:r>
    </w:p>
    <w:p>
      <w:pPr>
        <w:pStyle w:val="Normal"/>
        <w:spacing w:lineRule="exact" w:line="28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exact" w:line="28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exact" w:line="28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exact" w:line="28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exact" w:line="28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bookmarkStart w:id="35" w:name="_GoBack"/>
      <w:bookmarkStart w:id="36" w:name="_GoBack"/>
      <w:bookmarkEnd w:id="36"/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ab/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33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6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i w:val="false"/>
        <w:b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-16" w:hanging="42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433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6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8556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481159"/>
    <w:pPr>
      <w:keepNext w:val="true"/>
      <w:tabs>
        <w:tab w:val="clear" w:pos="709"/>
        <w:tab w:val="left" w:pos="0" w:leader="none"/>
      </w:tabs>
      <w:spacing w:before="120" w:after="0"/>
      <w:ind w:left="567" w:hanging="0"/>
      <w:outlineLvl w:val="2"/>
    </w:pPr>
    <w:rPr>
      <w:rFonts w:eastAsia="Calibri"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481159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Style15" w:customStyle="1">
    <w:name w:val="Маркеры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Style16"/>
    <w:qFormat/>
    <w:pPr/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9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9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hd w:val="clear" w:color="auto" w:fill="FFFFFF"/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e26b68"/>
    <w:pPr>
      <w:tabs>
        <w:tab w:val="clear" w:pos="709"/>
        <w:tab w:val="left" w:pos="1120" w:leader="none"/>
        <w:tab w:val="right" w:pos="9911" w:leader="dot"/>
      </w:tabs>
      <w:ind w:left="280" w:firstLine="287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1" w:customStyle="1">
    <w:name w:val="caption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9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FORMATTEXT" w:customStyle="1">
    <w:name w:val=".FORMATTEXT"/>
    <w:uiPriority w:val="99"/>
    <w:qFormat/>
    <w:rsid w:val="00604f2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paragraph" w:styleId="Style37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paragraph" w:styleId="Style38" w:customStyle="1">
    <w:name w:val="основной для подзаголовков"/>
    <w:basedOn w:val="Heading2"/>
    <w:qFormat/>
    <w:pPr>
      <w:spacing w:before="0" w:after="120"/>
      <w:ind w:left="432" w:hanging="0"/>
    </w:pPr>
    <w:rPr>
      <w:rFonts w:eastAsia="Times New Roman"/>
      <w:bCs w:val="false"/>
      <w:sz w:val="28"/>
      <w:szCs w:val="28"/>
      <w:lang w:val="ru-RU" w:eastAsia="ru-RU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b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18250-169C-42CD-AC27-0B9EF4AA9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Application>AlterOffice/3.4.0.9$Linux_X86_64 LibreOffice_project/b8daf9e823b1a5463a2f48435ddc2e8696e7d4fc</Application>
  <AppVersion>15.0000</AppVersion>
  <Pages>8</Pages>
  <Words>1807</Words>
  <Characters>10883</Characters>
  <CharactersWithSpaces>12501</CharactersWithSpaces>
  <Paragraphs>599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2025-04-28T02:33:00Z</dcterms:created>
  <dc:creator>Быстров Олег Геннадьевич</dc:creator>
  <dc:description/>
  <dc:language>ru-RU</dc:language>
  <cp:lastModifiedBy>shemyakinvv@corp.gidroogk.com</cp:lastModifiedBy>
  <cp:lastPrinted>2026-09-08T18:09:16Z</cp:lastPrinted>
  <dcterms:modified xsi:type="dcterms:W3CDTF">2026-09-12T16:14:44Z</dcterms:modified>
  <cp:revision>45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