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8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Style w:val="affff9"/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95"/>
        <w:gridCol w:w="4677"/>
      </w:tblGrid>
      <w:tr>
        <w:trPr/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u w:val="singl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УТВЕРЖДАЮ: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Первый заместитель директора –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главный инженер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филиала ПАО «РусГидро» -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«Саяно-Шушенская ГЭС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имени П.С. Непорожнего» </w:t>
            </w:r>
          </w:p>
          <w:p>
            <w:pPr>
              <w:pStyle w:val="Normal"/>
              <w:widowControl w:val="false"/>
              <w:suppressAutoHyphens w:val="true"/>
              <w:spacing w:before="24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_________________ Д.Ю. Рыбалко</w:t>
            </w:r>
          </w:p>
          <w:p>
            <w:pPr>
              <w:pStyle w:val="Normal"/>
              <w:widowControl w:val="false"/>
              <w:suppressAutoHyphens w:val="true"/>
              <w:spacing w:before="24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«____» ________________ 20____г.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  <w:bookmarkStart w:id="0" w:name="_Toc139856287"/>
      <w:bookmarkStart w:id="1" w:name="_Toc137554584"/>
      <w:bookmarkStart w:id="2" w:name="_Toc141696704"/>
      <w:bookmarkStart w:id="3" w:name="_Toc139856287"/>
      <w:bookmarkStart w:id="4" w:name="_Toc137554584"/>
      <w:bookmarkStart w:id="5" w:name="_Toc141696704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6" w:name="_Toc139856287_Копия_1"/>
      <w:bookmarkStart w:id="7" w:name="_Toc137554584_Копия_1"/>
      <w:bookmarkStart w:id="8" w:name="_Toc141696704_Копия_1"/>
      <w:bookmarkStart w:id="9" w:name="_Toc139856287_Копия_1"/>
      <w:bookmarkStart w:id="10" w:name="_Toc137554584_Копия_1"/>
      <w:bookmarkStart w:id="11" w:name="_Toc141696704_Копия_1"/>
      <w:bookmarkEnd w:id="9"/>
      <w:bookmarkEnd w:id="10"/>
      <w:bookmarkEnd w:id="11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/>
      </w:pPr>
      <w:r>
        <w:rPr/>
        <w:t xml:space="preserve">«На поставку </w:t>
      </w:r>
      <w:r>
        <w:rPr/>
        <w:t>резервного комплекта СУР и шести комплектов навесных секций полос СУР для гидроагрегатов Майской ГЭС</w:t>
      </w:r>
      <w:r>
        <w:rPr/>
        <w:t>»</w:t>
      </w:r>
    </w:p>
    <w:p>
      <w:pPr>
        <w:pStyle w:val="Normal"/>
        <w:jc w:val="center"/>
        <w:rPr>
          <w:bCs/>
        </w:rPr>
      </w:pPr>
      <w:r>
        <w:rPr>
          <w:bCs/>
        </w:rPr>
      </w:r>
    </w:p>
    <w:p>
      <w:pPr>
        <w:pStyle w:val="Normal"/>
        <w:jc w:val="center"/>
        <w:rPr/>
      </w:pPr>
      <w:r>
        <w:rPr>
          <w:rStyle w:val="Strong"/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ОКПД 2 25.11.23.114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 «Конструкции и детали гидротехнических сооружений из черных металлов»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№______________________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6"/>
          <w:szCs w:val="26"/>
        </w:rPr>
      </w:pPr>
      <w:r>
        <w:rPr>
          <w:sz w:val="26"/>
          <w:szCs w:val="26"/>
        </w:rPr>
      </w:r>
      <w:bookmarkStart w:id="12" w:name="_GoBack"/>
      <w:bookmarkStart w:id="13" w:name="_GoBack"/>
      <w:bookmarkEnd w:id="13"/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</w:rPr>
            <w:instrText xml:space="preserve"> TOC \z \o "1-4" \u \h</w:instrText>
          </w:r>
          <w:r>
            <w:rPr>
              <w:webHidden/>
              <w:rStyle w:val="Style14"/>
            </w:rPr>
            <w:fldChar w:fldCharType="separate"/>
          </w:r>
          <w:hyperlink w:anchor="__RefHeading___Toc7839_1002775054">
            <w:r>
              <w:rPr>
                <w:webHidden/>
                <w:rStyle w:val="Style14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841_1002775054">
            <w:r>
              <w:rPr>
                <w:webHidden/>
                <w:rStyle w:val="Style14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843_1002775054">
            <w:r>
              <w:rPr>
                <w:webHidden/>
                <w:rStyle w:val="Style14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845_1002775054">
            <w:r>
              <w:rPr>
                <w:webHidden/>
                <w:rStyle w:val="Style14"/>
              </w:rPr>
              <w:t>1.3. Цель и задачи использования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847_1002775054">
            <w:r>
              <w:rPr>
                <w:webHidden/>
                <w:rStyle w:val="Style14"/>
              </w:rPr>
              <w:t>Задачи: Приобретение резервного комплекта СУР и шести комплектов навесных секций полос СУР для гидроагрегатов Майской ГЭС.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849_1002775054">
            <w:r>
              <w:rPr>
                <w:webHidden/>
                <w:rStyle w:val="Style14"/>
              </w:rPr>
              <w:t xml:space="preserve">1.4.  </w:t>
            </w:r>
            <w:r>
              <w:rPr>
                <w:rStyle w:val="Style14"/>
                <w:i w:val="false"/>
              </w:rPr>
              <w:t>Существующее положение</w:t>
            </w:r>
            <w:r>
              <w:rPr>
                <w:rStyle w:val="Style14"/>
              </w:rPr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851_1002775054">
            <w:r>
              <w:rPr>
                <w:webHidden/>
                <w:rStyle w:val="Style14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853_1002775054">
            <w:r>
              <w:rPr>
                <w:webHidden/>
                <w:rStyle w:val="Style14"/>
              </w:rPr>
              <w:t>2.1. Требования к объемам и срокам поставки</w:t>
              <w:tab/>
              <w:t>5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7855_1002775054">
            <w:r>
              <w:rPr>
                <w:webHidden/>
                <w:rStyle w:val="Style14"/>
              </w:rPr>
              <w:t>2.1.1. Перечень и объем закупаемой продукции</w:t>
              <w:tab/>
              <w:t>5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7877_1002775054">
            <w:r>
              <w:rPr>
                <w:webHidden/>
                <w:rStyle w:val="Style14"/>
              </w:rPr>
              <w:t>2.1.2. Требования к срокам поставки продукции и оказания сопутствующих услуг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879_1002775054">
            <w:r>
              <w:rPr>
                <w:webHidden/>
                <w:rStyle w:val="Style14"/>
              </w:rPr>
              <w:t>2.2. Требования к качеству продукции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885_1002775054">
            <w:r>
              <w:rPr>
                <w:webHidden/>
                <w:rStyle w:val="Style14"/>
              </w:rPr>
              <w:t>3. Требования к документации по ценообразованию на этапе закупки</w:t>
              <w:tab/>
              <w:t>14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887_1002775054">
            <w:r>
              <w:rPr>
                <w:webHidden/>
                <w:rStyle w:val="Style14"/>
              </w:rPr>
              <w:t xml:space="preserve">4. </w:t>
            </w:r>
            <w:r>
              <w:rPr>
                <w:rStyle w:val="Style14"/>
                <w:iCs/>
              </w:rPr>
              <w:t>Приложения</w:t>
            </w:r>
            <w:r>
              <w:rPr>
                <w:rStyle w:val="Style14"/>
              </w:rPr>
              <w:tab/>
              <w:t>15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4" w:name="__RefHeading___Toc7839_1002775054"/>
      <w:bookmarkStart w:id="15" w:name="_Toc51339692"/>
      <w:bookmarkStart w:id="16" w:name="_Toc75446566"/>
      <w:bookmarkEnd w:id="14"/>
      <w:r>
        <w:rPr>
          <w:lang w:val="ru-RU"/>
        </w:rPr>
        <w:t>Общие сведения</w:t>
      </w:r>
      <w:bookmarkEnd w:id="15"/>
      <w:bookmarkEnd w:id="16"/>
    </w:p>
    <w:p>
      <w:pPr>
        <w:pStyle w:val="Heading4"/>
        <w:numPr>
          <w:ilvl w:val="1"/>
          <w:numId w:val="3"/>
        </w:numPr>
        <w:rPr/>
      </w:pPr>
      <w:bookmarkStart w:id="17" w:name="__RefHeading___Toc7841_1002775054"/>
      <w:bookmarkStart w:id="18" w:name="_Toc46743505"/>
      <w:bookmarkStart w:id="19" w:name="_Toc75446567"/>
      <w:bookmarkEnd w:id="17"/>
      <w:r>
        <w:rPr/>
        <w:t>Обозначения и сокращения</w:t>
      </w:r>
      <w:bookmarkEnd w:id="18"/>
      <w:bookmarkEnd w:id="19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НТД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rStyle w:val="Style8"/>
                <w:b w:val="false"/>
                <w:bCs/>
                <w:i w:val="false"/>
                <w:iCs/>
                <w:sz w:val="24"/>
                <w:szCs w:val="24"/>
                <w:shd w:fill="auto" w:val="clear"/>
              </w:rPr>
              <w:t>Нормативно-техническая документация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Филиал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ПАО «РусГидро» - «Саяно-Шушенская ГЭС имени П.С. Непорожнего»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Майнская ГЭС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СУР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Сороудерживающая решетка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ГА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Гидроагрегат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ст.н.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Станционный номер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АКЗП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Антикоррозионной защитное покрытие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20" w:name="__RefHeading___Toc7843_1002775054"/>
      <w:bookmarkStart w:id="21" w:name="_Toc75446568"/>
      <w:bookmarkStart w:id="22" w:name="_Toc46743506"/>
      <w:bookmarkEnd w:id="20"/>
      <w:r>
        <w:rPr/>
        <w:t>Наименование закупаемой продукции</w:t>
      </w:r>
      <w:bookmarkEnd w:id="21"/>
      <w:bookmarkEnd w:id="22"/>
    </w:p>
    <w:p>
      <w:pPr>
        <w:pStyle w:val="Normal"/>
        <w:suppressAutoHyphens w:val="true"/>
        <w:bidi w:val="0"/>
        <w:spacing w:before="0" w:after="0"/>
        <w:ind w:left="0" w:right="0" w:firstLine="737"/>
        <w:jc w:val="both"/>
        <w:rPr/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«На поставку резервного комплекта СУР и шести комплектов навесных секций полос СУР для гидроагрегатов Майской ГЭС» (далее – Товар).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uppressAutoHyphens w:val="true"/>
        <w:bidi w:val="0"/>
        <w:spacing w:before="0" w:after="0"/>
        <w:ind w:left="0" w:right="0" w:firstLine="737"/>
        <w:jc w:val="both"/>
        <w:rPr>
          <w:rStyle w:val="Style8"/>
          <w:b w:val="false"/>
          <w:bCs/>
          <w:sz w:val="24"/>
          <w:szCs w:val="24"/>
        </w:rPr>
      </w:pPr>
      <w:r>
        <w:rPr>
          <w:rStyle w:val="Strong"/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ОКПД 2 25.11.23.114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 «Конструкции и детали гидротехнических сооружений из черных металлов».</w:t>
      </w:r>
      <w:r>
        <w:rPr>
          <w:sz w:val="24"/>
          <w:szCs w:val="24"/>
        </w:rPr>
        <w:br/>
      </w:r>
    </w:p>
    <w:p>
      <w:pPr>
        <w:pStyle w:val="Heading4"/>
        <w:numPr>
          <w:ilvl w:val="1"/>
          <w:numId w:val="3"/>
        </w:numPr>
        <w:spacing w:before="57" w:after="57"/>
        <w:ind w:left="431" w:hanging="431"/>
        <w:rPr/>
      </w:pPr>
      <w:bookmarkStart w:id="23" w:name="__RefHeading___Toc7845_1002775054"/>
      <w:bookmarkStart w:id="24" w:name="_Toc46743507"/>
      <w:bookmarkEnd w:id="23"/>
      <w:r>
        <w:rPr/>
        <w:t xml:space="preserve">Цель и задачи </w:t>
      </w:r>
      <w:bookmarkEnd w:id="24"/>
      <w:r>
        <w:rPr>
          <w:lang w:val="ru-RU"/>
        </w:rPr>
        <w:t>использования закупаемой продукции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Цели: </w:t>
      </w:r>
      <w:r>
        <w:rPr>
          <w:sz w:val="24"/>
          <w:szCs w:val="24"/>
        </w:rPr>
        <w:t>Замена неисправных секция полос СУР ГА 1,2,3 МГЭС, возможность эксплуатации СУР во всех эксплуатационных режимах ГА МГЭС</w:t>
      </w:r>
      <w:r>
        <w:rPr>
          <w:sz w:val="24"/>
          <w:szCs w:val="24"/>
        </w:rPr>
        <w:t xml:space="preserve">. </w:t>
      </w:r>
    </w:p>
    <w:p>
      <w:pPr>
        <w:pStyle w:val="Heading4"/>
        <w:tabs>
          <w:tab w:val="clear" w:pos="0"/>
        </w:tabs>
        <w:spacing w:before="57" w:after="57"/>
        <w:ind w:left="0" w:firstLine="709"/>
        <w:jc w:val="both"/>
        <w:rPr>
          <w:b w:val="false"/>
        </w:rPr>
      </w:pPr>
      <w:bookmarkStart w:id="25" w:name="__RefHeading___Toc7847_1002775054"/>
      <w:bookmarkEnd w:id="25"/>
      <w:r>
        <w:rPr>
          <w:b w:val="false"/>
        </w:rPr>
        <w:t xml:space="preserve">Задачи: Приобретение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ru-RU" w:eastAsia="ru-RU" w:bidi="ar-SA"/>
        </w:rPr>
        <w:t>резервного комплекта СУР и шести комплектов навесных секций полос СУР для гидроагрегатов Майской ГЭС</w:t>
      </w:r>
      <w:r>
        <w:rPr>
          <w:b w:val="false"/>
        </w:rPr>
        <w:t>.</w:t>
      </w:r>
    </w:p>
    <w:p>
      <w:pPr>
        <w:pStyle w:val="Normal"/>
        <w:spacing w:before="57" w:after="57"/>
        <w:jc w:val="both"/>
        <w:rPr>
          <w:rStyle w:val="Style8"/>
          <w:rFonts w:eastAsia="Calibri"/>
          <w:b w:val="false"/>
          <w:i w:val="false"/>
          <w:i w:val="false"/>
          <w:sz w:val="24"/>
          <w:szCs w:val="24"/>
          <w:shd w:fill="auto" w:val="clear"/>
          <w:lang w:eastAsia="x-none"/>
        </w:rPr>
      </w:pPr>
      <w:r>
        <w:rPr>
          <w:rFonts w:eastAsia="Calibri"/>
          <w:b w:val="false"/>
          <w:i w:val="false"/>
          <w:sz w:val="24"/>
          <w:szCs w:val="24"/>
          <w:shd w:fill="auto" w:val="clear"/>
          <w:lang w:eastAsia="x-none"/>
        </w:rPr>
      </w:r>
    </w:p>
    <w:p>
      <w:pPr>
        <w:pStyle w:val="Heading4"/>
        <w:numPr>
          <w:ilvl w:val="1"/>
          <w:numId w:val="3"/>
        </w:numPr>
        <w:spacing w:before="57" w:after="57"/>
        <w:ind w:left="431" w:hanging="431"/>
        <w:rPr/>
      </w:pPr>
      <w:bookmarkStart w:id="26" w:name="__RefHeading___Toc7849_1002775054"/>
      <w:bookmarkStart w:id="27" w:name="_Toc75446569"/>
      <w:bookmarkEnd w:id="26"/>
      <w:r>
        <w:rPr>
          <w:lang w:val="ru-RU"/>
        </w:rPr>
        <w:t xml:space="preserve"> </w:t>
      </w:r>
      <w:bookmarkEnd w:id="27"/>
      <w:r>
        <w:rPr>
          <w:rStyle w:val="Style8"/>
          <w:b/>
          <w:i w:val="false"/>
          <w:color w:val="000000"/>
          <w:shd w:fill="auto" w:val="clear"/>
          <w:lang w:val="ru-RU"/>
        </w:rPr>
        <w:t>Существующее положение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Style w:val="Style8"/>
          <w:b w:val="false"/>
          <w:i w:val="false"/>
          <w:color w:val="000000"/>
          <w:shd w:fill="auto" w:val="clear"/>
          <w:lang w:eastAsia="x-none"/>
        </w:rPr>
        <w:tab/>
      </w:r>
      <w:r>
        <w:rPr>
          <w:rStyle w:val="Style8"/>
          <w:rFonts w:eastAsia="Times New Roman" w:cs="Times New Roman"/>
          <w:b w:val="false"/>
          <w:i w:val="false"/>
          <w:color w:val="000000"/>
          <w:sz w:val="24"/>
          <w:szCs w:val="24"/>
          <w:shd w:fill="auto" w:val="clear"/>
          <w:lang w:eastAsia="ru-RU"/>
        </w:rPr>
        <w:t>СУР</w:t>
      </w:r>
      <w:r>
        <w:rPr>
          <w:rStyle w:val="Style8"/>
          <w:rFonts w:eastAsia="Times New Roman" w:cs="Times New Roman"/>
          <w:b w:val="false"/>
          <w:i w:val="false"/>
          <w:color w:val="000000"/>
          <w:sz w:val="24"/>
          <w:szCs w:val="24"/>
          <w:shd w:fill="auto" w:val="clear"/>
          <w:lang w:eastAsia="ru-RU"/>
        </w:rPr>
        <w:t xml:space="preserve"> ГА МГЭС</w:t>
      </w:r>
      <w:r>
        <w:rPr>
          <w:rStyle w:val="Style8"/>
          <w:rFonts w:eastAsia="Times New Roman" w:cs="Times New Roman"/>
          <w:b w:val="false"/>
          <w:i w:val="false"/>
          <w:color w:val="000000"/>
          <w:sz w:val="24"/>
          <w:szCs w:val="24"/>
          <w:shd w:fill="auto" w:val="clear"/>
          <w:lang w:eastAsia="ru-RU"/>
        </w:rPr>
        <w:t xml:space="preserve"> изготовлены по проекту 21 МТ СКБ «Ленгидросталь» и введены в эксплуатацию в 1985 году и имеют следующие технические параметры и характеристики: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76"/>
        <w:ind w:left="0" w:firstLine="709"/>
        <w:jc w:val="left"/>
        <w:rPr/>
      </w:pPr>
      <w:r>
        <w:rPr>
          <w:color w:val="000000"/>
        </w:rPr>
        <w:t xml:space="preserve">отверстие - глубинное;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76"/>
        <w:ind w:left="0" w:firstLine="709"/>
        <w:jc w:val="left"/>
        <w:rPr/>
      </w:pPr>
      <w:r>
        <w:rPr>
          <w:color w:val="000000"/>
        </w:rPr>
        <w:t xml:space="preserve">пролёт в свету 12,0 м;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76"/>
        <w:ind w:left="0" w:firstLine="709"/>
        <w:jc w:val="left"/>
        <w:rPr/>
      </w:pPr>
      <w:r>
        <w:rPr>
          <w:color w:val="000000"/>
        </w:rPr>
        <w:t xml:space="preserve">расчётный пролёт 12,5 м;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76"/>
        <w:ind w:left="0" w:firstLine="709"/>
        <w:jc w:val="left"/>
        <w:rPr/>
      </w:pPr>
      <w:r>
        <w:rPr>
          <w:color w:val="000000"/>
        </w:rPr>
        <w:t xml:space="preserve">высота отверстия 19,71 м;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76"/>
        <w:ind w:left="0" w:firstLine="709"/>
        <w:jc w:val="left"/>
        <w:rPr/>
      </w:pPr>
      <w:r>
        <w:rPr>
          <w:color w:val="000000"/>
        </w:rPr>
        <w:t xml:space="preserve">расчетный напор 3,0 м;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76"/>
        <w:ind w:left="0" w:firstLine="709"/>
        <w:jc w:val="left"/>
        <w:rPr/>
      </w:pPr>
      <w:r>
        <w:rPr>
          <w:color w:val="000000"/>
        </w:rPr>
        <w:t xml:space="preserve">расчетное подъёмное и удерживающее усилие 110 тс;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76"/>
        <w:ind w:left="0" w:firstLine="709"/>
        <w:jc w:val="left"/>
        <w:rPr/>
      </w:pPr>
      <w:r>
        <w:rPr>
          <w:color w:val="000000"/>
        </w:rPr>
        <w:t xml:space="preserve">главная нагрузка 765 тс;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76"/>
        <w:ind w:left="0" w:firstLine="709"/>
        <w:jc w:val="left"/>
        <w:rPr/>
      </w:pPr>
      <w:r>
        <w:rPr>
          <w:color w:val="000000"/>
        </w:rPr>
        <w:t xml:space="preserve">количество </w:t>
      </w:r>
      <w:r>
        <w:rPr>
          <w:color w:val="000000"/>
        </w:rPr>
        <w:t>СУР</w:t>
      </w:r>
      <w:r>
        <w:rPr>
          <w:color w:val="000000"/>
        </w:rPr>
        <w:t xml:space="preserve"> на один </w:t>
      </w:r>
      <w:r>
        <w:rPr>
          <w:color w:val="000000"/>
        </w:rPr>
        <w:t>гидро</w:t>
      </w:r>
      <w:r>
        <w:rPr>
          <w:color w:val="000000"/>
        </w:rPr>
        <w:t xml:space="preserve">агрегат 2 шт. 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СУР устанавливаются в отверстиях перед аварийно-ремонтными затворами водоприёмника и предназначены для защиты входных отверстий турбинных водоводов от попадания крупных плавающих тел. 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СУР по высоте состоит из семи секций, соединенных между собой сцепами. Нумерация согласно технической документации принята от нижней секции к верхней. 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Металлические конструкции СУР – сварные, выполнены из прокатных профилей. Каждая секция представляет собой жесткую раму, состоящую из двух опорно-концевых стоек, четырёх поперечных диафрагм и двух наклонных по потоку воды ригелей. Верхняя (седьмая) секция имеет отличную от остальных многоригельную конфигурацию. 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Style w:val="Style8"/>
          <w:rFonts w:eastAsia="Times New Roman" w:cs="Times New Roman"/>
          <w:b w:val="false"/>
          <w:i w:val="false"/>
          <w:color w:val="000000"/>
          <w:sz w:val="24"/>
          <w:szCs w:val="24"/>
          <w:shd w:fill="auto" w:val="clear"/>
          <w:lang w:eastAsia="ru-RU"/>
        </w:rPr>
        <w:t>На раму каждой секции с напорной стороны крепятся на крюках сборно-сварные навесные секции полос, каждый из которых состоит из семи вертикальных сороудерживающих полос высотой 2650 мм для нижней секции №1, 2550мм для секций №№2-5, 3500 мм для верхней секции №6 и четырех (пяти – для верхней секции №6) горизонтальных стягивающих стальных стержней диаметром 30мм, собранных с шагом 198 мм в свету. Секции полос крепятся к верхнему и нижнему ригелям с помощью крюков. Крюки с болтами притягивают секции полос к кронштейнам, установленным на ригелях. Всего на одной секции СУР расположено 8 секций полос. Нумерация секции полос принята от левого берега (ЛБ) к правому берегу (ПБ)</w:t>
      </w:r>
      <w:r>
        <w:rPr>
          <w:sz w:val="24"/>
          <w:szCs w:val="24"/>
        </w:rPr>
        <w:t>.</w:t>
      </w:r>
    </w:p>
    <w:p>
      <w:pPr>
        <w:pStyle w:val="Normal"/>
        <w:spacing w:lineRule="auto" w:line="276"/>
        <w:ind w:firstLine="567"/>
        <w:jc w:val="both"/>
        <w:rPr/>
      </w:pPr>
      <w:r>
        <w:rPr>
          <w:sz w:val="24"/>
          <w:szCs w:val="24"/>
        </w:rPr>
        <w:t xml:space="preserve">В рамках проведения плановых осмотров СУР ГА ст.н.1,2,3 МГЭС были выявлены многочисленные дефекты (трещины и обрывы) перьев секций полос. По результатам проведения динамических исследований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воздействий на конструкции и элементы СУР гидроагрегатов в зависимости от расхода воды через гидротурбины ст.н.1, 2, 3 Майнской ГЭС АО «ВНИИГ им. Б.Е. Веденеево» было рекомендовано следующее:</w:t>
      </w:r>
    </w:p>
    <w:p>
      <w:pPr>
        <w:pStyle w:val="Normal"/>
        <w:spacing w:lineRule="auto" w:line="276"/>
        <w:ind w:firstLine="567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Изготовить один комплект СУР ГА МГЭС по проекту 21МТ1 (использовать его как резервный, на время выполнения работ по замене секций полос на существующих СУР ГА МГЭС, а также в период ремонта СУР ГА МГЭС, приложение №1 к ТТ), и изготовить 6 комплектов секций полос для последующей их замены на существующих СУР ГА МГЭС №№1, 2, 3, 4, 5, 6) по КД разработанной АО «ВНИИГ им. Б.Е. Веденеева» приложение №2 к ТТ.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28" w:name="__RefHeading___Toc7851_1002775054"/>
      <w:bookmarkStart w:id="29" w:name="_Toc51339693"/>
      <w:bookmarkStart w:id="30" w:name="_Toc75446573"/>
      <w:bookmarkStart w:id="31" w:name="_Toc46743510"/>
      <w:bookmarkStart w:id="32" w:name="_Toc50125126"/>
      <w:bookmarkEnd w:id="28"/>
      <w:bookmarkEnd w:id="31"/>
      <w:bookmarkEnd w:id="32"/>
      <w:r>
        <w:rPr>
          <w:iCs/>
        </w:rPr>
        <w:t>Требования к продукции</w:t>
      </w:r>
      <w:bookmarkEnd w:id="29"/>
      <w:bookmarkEnd w:id="30"/>
    </w:p>
    <w:p>
      <w:pPr>
        <w:pStyle w:val="Heading4"/>
        <w:numPr>
          <w:ilvl w:val="1"/>
          <w:numId w:val="3"/>
        </w:numPr>
        <w:rPr/>
      </w:pPr>
      <w:bookmarkStart w:id="33" w:name="__RefHeading___Toc7853_1002775054"/>
      <w:bookmarkStart w:id="34" w:name="_Toc75446574"/>
      <w:bookmarkEnd w:id="33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34"/>
    </w:p>
    <w:p>
      <w:pPr>
        <w:pStyle w:val="Heading3"/>
        <w:numPr>
          <w:ilvl w:val="2"/>
          <w:numId w:val="3"/>
        </w:numPr>
        <w:rPr/>
      </w:pPr>
      <w:bookmarkStart w:id="35" w:name="__RefHeading___Toc7855_1002775054"/>
      <w:bookmarkStart w:id="36" w:name="_Toc75446575"/>
      <w:bookmarkEnd w:id="35"/>
      <w:r>
        <w:rPr>
          <w:lang w:val="ru-RU"/>
        </w:rPr>
        <w:t>Перечень и объем закупаемой продукции</w:t>
      </w:r>
      <w:bookmarkEnd w:id="36"/>
    </w:p>
    <w:p>
      <w:pPr>
        <w:pStyle w:val="Normal"/>
        <w:rPr>
          <w:sz w:val="24"/>
          <w:szCs w:val="24"/>
          <w:lang w:val="ru-RU"/>
        </w:rPr>
      </w:pPr>
      <w:bookmarkStart w:id="37" w:name="_Toc75446576"/>
      <w:bookmarkStart w:id="38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38"/>
      <w:r>
        <w:rPr>
          <w:sz w:val="24"/>
          <w:szCs w:val="24"/>
          <w:lang w:val="ru-RU"/>
        </w:rPr>
        <w:t>и объем закупаемой продукции</w:t>
      </w:r>
      <w:bookmarkEnd w:id="37"/>
    </w:p>
    <w:tbl>
      <w:tblPr>
        <w:tblW w:w="978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2"/>
        <w:gridCol w:w="3450"/>
        <w:gridCol w:w="3525"/>
        <w:gridCol w:w="1320"/>
        <w:gridCol w:w="933"/>
      </w:tblGrid>
      <w:tr>
        <w:trPr>
          <w:trHeight w:val="311" w:hRule="atLeast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3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Тип, марка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</w:tr>
      <w:tr>
        <w:trPr>
          <w:trHeight w:val="253" w:hRule="atLeast"/>
        </w:trPr>
        <w:tc>
          <w:tcPr>
            <w:tcW w:w="5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Сороудерживающая решетка (резервный комплект)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</w:numPr>
              <w:rPr>
                <w:bCs/>
                <w:sz w:val="24"/>
                <w:szCs w:val="24"/>
              </w:rPr>
            </w:pPr>
            <w:bookmarkStart w:id="39" w:name="__RefHeading___Toc7857_1002775054"/>
            <w:bookmarkEnd w:id="39"/>
            <w:r>
              <w:rPr>
                <w:sz w:val="24"/>
                <w:szCs w:val="24"/>
              </w:rPr>
              <w:t xml:space="preserve">Шифр </w:t>
            </w:r>
            <w:r>
              <w:rPr>
                <w:sz w:val="24"/>
                <w:szCs w:val="24"/>
              </w:rPr>
              <w:t>21 МТ1</w:t>
            </w:r>
            <w:r>
              <w:rPr>
                <w:sz w:val="24"/>
                <w:szCs w:val="24"/>
              </w:rPr>
              <w:t xml:space="preserve"> (приложение №1)</w:t>
            </w:r>
            <w:r>
              <w:rPr>
                <w:bCs/>
                <w:sz w:val="24"/>
                <w:szCs w:val="24"/>
              </w:rPr>
              <w:t>;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Навесные секции полос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</w:numPr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bookmarkStart w:id="40" w:name="__RefHeading___Toc7867_1002775054"/>
            <w:bookmarkEnd w:id="40"/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Шифр 1-13-2376 (приложение №2);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>
      <w:pPr>
        <w:pStyle w:val="Normal"/>
        <w:keepNext w:val="true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41" w:name="__RefHeading___Toc7877_1002775054"/>
      <w:bookmarkStart w:id="42" w:name="_Toc75446578"/>
      <w:bookmarkStart w:id="43" w:name="_Toc51339696"/>
      <w:bookmarkEnd w:id="41"/>
      <w:r>
        <w:rPr>
          <w:lang w:val="ru-RU"/>
        </w:rPr>
        <w:t xml:space="preserve">Требования </w:t>
      </w:r>
      <w:bookmarkEnd w:id="43"/>
      <w:r>
        <w:rPr>
          <w:lang w:val="ru-RU"/>
        </w:rPr>
        <w:t>к срокам поставки продукции и оказания сопутствующих услуг</w:t>
      </w:r>
      <w:bookmarkEnd w:id="42"/>
    </w:p>
    <w:p>
      <w:pPr>
        <w:pStyle w:val="Normal"/>
        <w:rPr>
          <w:sz w:val="24"/>
          <w:szCs w:val="24"/>
          <w:lang w:val="ru-RU"/>
        </w:rPr>
      </w:pPr>
      <w:bookmarkStart w:id="44" w:name="_Toc75446579"/>
      <w:bookmarkStart w:id="45" w:name="_Toc50125127"/>
      <w:bookmarkStart w:id="46" w:name="_Toc51339697"/>
      <w:bookmarkStart w:id="47" w:name="_Toc50125126_Копия_1"/>
      <w:bookmarkEnd w:id="4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48" w:name="_Hlk50465284"/>
      <w:r>
        <w:rPr>
          <w:sz w:val="24"/>
          <w:szCs w:val="24"/>
        </w:rPr>
        <w:t xml:space="preserve">Требования по срокам </w:t>
      </w:r>
      <w:bookmarkEnd w:id="45"/>
      <w:bookmarkEnd w:id="46"/>
      <w:bookmarkEnd w:id="48"/>
      <w:r>
        <w:rPr>
          <w:sz w:val="24"/>
          <w:szCs w:val="24"/>
          <w:lang w:val="ru-RU"/>
        </w:rPr>
        <w:t>поставки продукции</w:t>
      </w:r>
      <w:bookmarkEnd w:id="44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2"/>
        <w:gridCol w:w="2848"/>
        <w:gridCol w:w="2979"/>
        <w:gridCol w:w="3116"/>
      </w:tblGrid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Сороудерживающая решетка (резервный комплект).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Этап №1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 даты, следующей за датой подписания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3"/>
              <w:widowControl w:val="false"/>
              <w:spacing w:before="0" w:after="0"/>
              <w:ind w:lef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340</w:t>
            </w:r>
            <w:r>
              <w:rPr>
                <w:sz w:val="24"/>
                <w:szCs w:val="24"/>
              </w:rPr>
              <w:t xml:space="preserve"> календарных дней, с даты, следующей за датой заключения договора, </w:t>
            </w:r>
            <w:r>
              <w:rPr>
                <w:sz w:val="24"/>
                <w:szCs w:val="24"/>
              </w:rPr>
              <w:t>но не позднее 20.03.2028</w:t>
            </w:r>
            <w:r>
              <w:rPr>
                <w:sz w:val="24"/>
                <w:szCs w:val="24"/>
              </w:rPr>
              <w:t xml:space="preserve">. 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 xml:space="preserve">По письменному согласованию сторон допускается досрочная поставка </w:t>
            </w:r>
            <w:r>
              <w:rPr>
                <w:rFonts w:eastAsia="Lucida Grande CY"/>
                <w:sz w:val="24"/>
                <w:szCs w:val="24"/>
                <w:lang w:eastAsia="ar-SA"/>
              </w:rPr>
              <w:t>Товара.</w:t>
            </w:r>
          </w:p>
        </w:tc>
      </w:tr>
      <w:tr>
        <w:trPr/>
        <w:tc>
          <w:tcPr>
            <w:tcW w:w="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2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Навесные секции полос. Этап №2 (3 комплекта)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С даты, следующей за датой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окончания этапа №1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3"/>
              <w:widowControl w:val="false"/>
              <w:spacing w:before="0" w:after="0"/>
              <w:ind w:left="0"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Не позднее 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8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0 календарных дней, с даты, следующей за датой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окончания этапа №1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, но не позднее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15.09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.202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8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.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По письменному согласованию сторон допускается досрочная поставка Товара.</w:t>
            </w:r>
          </w:p>
        </w:tc>
      </w:tr>
      <w:tr>
        <w:trPr>
          <w:trHeight w:val="2523" w:hRule="atLeast"/>
        </w:trPr>
        <w:tc>
          <w:tcPr>
            <w:tcW w:w="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2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Навесные секции полос. Этап №3 (3 комплекта)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С даты, следующей за датой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окончания этапа №2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3"/>
              <w:widowControl w:val="false"/>
              <w:spacing w:before="0" w:after="0"/>
              <w:ind w:left="0"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Не позднее 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0 календарных дней, с даты, следующей за датой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окончания этапа №2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, но не позднее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15.03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.202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9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.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По письменному согласованию сторон допускается досрочная поставка Товара.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134" w:right="851" w:gutter="0" w:header="375" w:top="885" w:footer="0" w:bottom="758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49" w:name="__RefHeading___Toc7879_1002775054"/>
      <w:bookmarkStart w:id="50" w:name="_Toc51339698"/>
      <w:bookmarkStart w:id="51" w:name="_Toc75446581"/>
      <w:bookmarkStart w:id="52" w:name="_Toc46743511"/>
      <w:bookmarkStart w:id="53" w:name="_Toc46743510_Копия_1_Копия_1"/>
      <w:bookmarkEnd w:id="49"/>
      <w:bookmarkEnd w:id="53"/>
      <w:r>
        <w:rPr/>
        <w:t xml:space="preserve">Требования к </w:t>
      </w:r>
      <w:bookmarkEnd w:id="52"/>
      <w:r>
        <w:rPr>
          <w:lang w:val="ru-RU"/>
        </w:rPr>
        <w:t>качеству продукции</w:t>
      </w:r>
      <w:bookmarkEnd w:id="51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bookmarkStart w:id="54" w:name="__RefHeading___Toc7881_1002775054"/>
      <w:bookmarkStart w:id="55" w:name="_Toc75446582"/>
      <w:bookmarkEnd w:id="5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55"/>
      <w:r>
        <w:rPr>
          <w:sz w:val="24"/>
          <w:szCs w:val="24"/>
        </w:rPr>
        <w:t xml:space="preserve"> </w:t>
      </w:r>
      <w:bookmarkEnd w:id="50"/>
    </w:p>
    <w:p>
      <w:pPr>
        <w:pStyle w:val="Normal"/>
        <w:rPr>
          <w:rStyle w:val="Style8"/>
          <w:b w:val="false"/>
        </w:rPr>
      </w:pPr>
      <w:r>
        <w:rPr>
          <w:b w:val="false"/>
        </w:rPr>
      </w:r>
    </w:p>
    <w:tbl>
      <w:tblPr>
        <w:tblStyle w:val="affff9"/>
        <w:tblW w:w="153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2208"/>
        <w:gridCol w:w="1"/>
        <w:gridCol w:w="3629"/>
        <w:gridCol w:w="2657"/>
        <w:gridCol w:w="2555"/>
        <w:gridCol w:w="3413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09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62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21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41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09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6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1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20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6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4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83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техническим и функциональным характеристикам (включая гарантируемые показатели) 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для СУР шифр 21 МТ1</w:t>
            </w:r>
          </w:p>
        </w:tc>
        <w:tc>
          <w:tcPr>
            <w:tcW w:w="26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1.1.</w:t>
            </w:r>
          </w:p>
        </w:tc>
        <w:tc>
          <w:tcPr>
            <w:tcW w:w="220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Габаритные размеры</w:t>
            </w:r>
          </w:p>
        </w:tc>
        <w:tc>
          <w:tcPr>
            <w:tcW w:w="3630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В соответствии с требованиями рабочей документации шифр 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21 МТ1</w:t>
            </w:r>
          </w:p>
        </w:tc>
        <w:tc>
          <w:tcPr>
            <w:tcW w:w="265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341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1.2.</w:t>
            </w:r>
          </w:p>
        </w:tc>
        <w:tc>
          <w:tcPr>
            <w:tcW w:w="220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Конструкция</w:t>
            </w:r>
          </w:p>
        </w:tc>
        <w:tc>
          <w:tcPr>
            <w:tcW w:w="3630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В соответствии с требованиями рабочей документации шифр 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21 МТ1</w:t>
            </w:r>
          </w:p>
        </w:tc>
        <w:tc>
          <w:tcPr>
            <w:tcW w:w="265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341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1.3.</w:t>
            </w:r>
          </w:p>
        </w:tc>
        <w:tc>
          <w:tcPr>
            <w:tcW w:w="220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110"/>
              <w:widowControl w:val="false"/>
              <w:shd w:val="clear" w:color="auto" w:fill="auto"/>
              <w:suppressAutoHyphens w:val="true"/>
              <w:spacing w:lineRule="auto" w:line="240" w:before="0" w:after="0"/>
              <w:ind w:left="57" w:hanging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АКЗП</w:t>
            </w:r>
          </w:p>
        </w:tc>
        <w:tc>
          <w:tcPr>
            <w:tcW w:w="3630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В соответствии с требованиями рабочей документации шифр 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21 МТ1</w:t>
            </w:r>
          </w:p>
        </w:tc>
        <w:tc>
          <w:tcPr>
            <w:tcW w:w="265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341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1.4.</w:t>
            </w:r>
          </w:p>
        </w:tc>
        <w:tc>
          <w:tcPr>
            <w:tcW w:w="220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110"/>
              <w:widowControl w:val="false"/>
              <w:shd w:val="clear" w:color="auto" w:fill="auto"/>
              <w:suppressAutoHyphens w:val="true"/>
              <w:spacing w:lineRule="auto" w:line="240" w:before="0" w:after="0"/>
              <w:ind w:left="57" w:hanging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Материал конструкции</w:t>
            </w:r>
          </w:p>
        </w:tc>
        <w:tc>
          <w:tcPr>
            <w:tcW w:w="3630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В соответствии с требованиями рабочей документации шифр 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21 МТ1</w:t>
            </w:r>
          </w:p>
        </w:tc>
        <w:tc>
          <w:tcPr>
            <w:tcW w:w="265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341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1.5.</w:t>
            </w:r>
          </w:p>
        </w:tc>
        <w:tc>
          <w:tcPr>
            <w:tcW w:w="220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110"/>
              <w:widowControl w:val="false"/>
              <w:shd w:val="clear" w:color="auto" w:fill="auto"/>
              <w:suppressAutoHyphens w:val="true"/>
              <w:spacing w:lineRule="auto" w:line="240" w:before="0" w:after="0"/>
              <w:ind w:left="57" w:hanging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Изготовление и приемка</w:t>
            </w:r>
          </w:p>
        </w:tc>
        <w:tc>
          <w:tcPr>
            <w:tcW w:w="363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 соответствии с РД 34 02.028-2007</w:t>
            </w:r>
          </w:p>
        </w:tc>
        <w:tc>
          <w:tcPr>
            <w:tcW w:w="265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341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83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Требования к техническим и функциональным характеристикам (включая гарантируемые показатели)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для секций полос шифр 1-13-2376</w:t>
            </w:r>
          </w:p>
        </w:tc>
        <w:tc>
          <w:tcPr>
            <w:tcW w:w="26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60"/>
              <w:ind w:left="-57" w:right="0" w:hanging="0"/>
              <w:contextualSpacing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2.1.</w:t>
            </w:r>
          </w:p>
        </w:tc>
        <w:tc>
          <w:tcPr>
            <w:tcW w:w="2209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Габаритные размеры</w:t>
            </w:r>
          </w:p>
        </w:tc>
        <w:tc>
          <w:tcPr>
            <w:tcW w:w="362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В соответствии с требованиями рабочей документации шифр 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1.13-2376</w:t>
            </w:r>
          </w:p>
        </w:tc>
        <w:tc>
          <w:tcPr>
            <w:tcW w:w="265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34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60"/>
              <w:ind w:left="-57" w:right="0" w:hanging="0"/>
              <w:contextualSpacing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2.2.</w:t>
            </w:r>
          </w:p>
        </w:tc>
        <w:tc>
          <w:tcPr>
            <w:tcW w:w="2209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Конструкция</w:t>
            </w:r>
          </w:p>
        </w:tc>
        <w:tc>
          <w:tcPr>
            <w:tcW w:w="362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В соответствии с требованиями рабочей документации шифр 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1.13-2376</w:t>
            </w:r>
          </w:p>
        </w:tc>
        <w:tc>
          <w:tcPr>
            <w:tcW w:w="265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34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60"/>
              <w:ind w:left="-57" w:right="0" w:hanging="0"/>
              <w:contextualSpacing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2.3.</w:t>
            </w:r>
          </w:p>
        </w:tc>
        <w:tc>
          <w:tcPr>
            <w:tcW w:w="2209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110"/>
              <w:widowControl w:val="false"/>
              <w:shd w:val="clear" w:color="auto" w:fill="auto"/>
              <w:suppressAutoHyphens w:val="true"/>
              <w:spacing w:lineRule="auto" w:line="240" w:before="0" w:after="0"/>
              <w:ind w:left="57" w:hanging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АКЗП</w:t>
            </w:r>
          </w:p>
        </w:tc>
        <w:tc>
          <w:tcPr>
            <w:tcW w:w="362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В соответствии с требованиями рабочей документации шифр 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1.13-2376</w:t>
            </w:r>
          </w:p>
        </w:tc>
        <w:tc>
          <w:tcPr>
            <w:tcW w:w="265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34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60"/>
              <w:ind w:left="-57" w:right="0" w:hanging="0"/>
              <w:contextualSpacing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2.4.</w:t>
            </w:r>
          </w:p>
        </w:tc>
        <w:tc>
          <w:tcPr>
            <w:tcW w:w="2209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110"/>
              <w:widowControl w:val="false"/>
              <w:shd w:val="clear" w:color="auto" w:fill="auto"/>
              <w:suppressAutoHyphens w:val="true"/>
              <w:spacing w:lineRule="auto" w:line="240" w:before="0" w:after="0"/>
              <w:ind w:left="57" w:hanging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Материал конструкции</w:t>
            </w:r>
          </w:p>
        </w:tc>
        <w:tc>
          <w:tcPr>
            <w:tcW w:w="362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В соответствии с требованиями рабочей документации шифр 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1.13-2376</w:t>
            </w:r>
          </w:p>
        </w:tc>
        <w:tc>
          <w:tcPr>
            <w:tcW w:w="265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34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60"/>
              <w:ind w:left="-57" w:right="0" w:hanging="0"/>
              <w:contextualSpacing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2.5.</w:t>
            </w:r>
          </w:p>
        </w:tc>
        <w:tc>
          <w:tcPr>
            <w:tcW w:w="2209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110"/>
              <w:widowControl w:val="false"/>
              <w:shd w:val="clear" w:color="auto" w:fill="auto"/>
              <w:suppressAutoHyphens w:val="true"/>
              <w:spacing w:lineRule="auto" w:line="240" w:before="0" w:after="0"/>
              <w:ind w:left="57" w:hanging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Изготовление и приемка</w:t>
            </w:r>
          </w:p>
        </w:tc>
        <w:tc>
          <w:tcPr>
            <w:tcW w:w="362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 соответствии с РД 34 02.028-2007</w:t>
            </w:r>
          </w:p>
        </w:tc>
        <w:tc>
          <w:tcPr>
            <w:tcW w:w="265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34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838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6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4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0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Место поставки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0" w:leader="none"/>
              </w:tabs>
              <w:suppressAutoHyphens w:val="true"/>
              <w:spacing w:before="0" w:after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 xml:space="preserve">Поставка Продукции осуществляется Поставщиком до склада Покупателя, находящегося по адресу: Республика Хакасия, г. Саяногорск, </w:t>
            </w: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Транспортная 1Б</w:t>
            </w:r>
          </w:p>
        </w:tc>
        <w:tc>
          <w:tcPr>
            <w:tcW w:w="26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0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Условия поставки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0" w:leader="none"/>
              </w:tabs>
              <w:suppressAutoHyphens w:val="true"/>
              <w:spacing w:before="0" w:after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 xml:space="preserve">Товар без обязательных сопроводительных документов не принимается, ответственность за его сохранность Покупатель не несет.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before="0" w:after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 xml:space="preserve">Одновременно с передачей Товара Поставщик обязан передать Покупателю оригиналы следующих относящихся к Товару документов: 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455" w:leader="none"/>
              </w:tabs>
              <w:suppressAutoHyphens w:val="false"/>
              <w:spacing w:before="0" w:after="0"/>
              <w:ind w:left="0" w:firstLine="172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сертификат качества в 1 (одном) экз.;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455" w:leader="none"/>
              </w:tabs>
              <w:suppressAutoHyphens w:val="false"/>
              <w:spacing w:before="0" w:after="0"/>
              <w:ind w:left="0" w:firstLine="172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упаковочный лист в 1 (одном) экз.;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55" w:leader="none"/>
              </w:tabs>
              <w:suppressAutoHyphens w:val="false"/>
              <w:spacing w:before="0" w:after="0"/>
              <w:ind w:left="0" w:firstLine="172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иные документы в зависимости от номенклатуры поставляемого Товара;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hd w:val="clear" w:color="auto" w:fill="FFFFFF"/>
              <w:tabs>
                <w:tab w:val="clear" w:pos="708"/>
                <w:tab w:val="left" w:pos="455" w:leader="none"/>
              </w:tabs>
              <w:suppressAutoHyphens w:val="false"/>
              <w:spacing w:before="0" w:after="0"/>
              <w:ind w:left="0" w:firstLine="172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товарно-транспортная накладная формы № 1-Т (для учета товарно-материальных ценностей и расчетов за их перевозки) или транспортная железнодорожная накладная (форма № ГУ-27) в 2 (двух) экз.;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hd w:val="clear" w:color="auto" w:fill="FFFFFF"/>
              <w:tabs>
                <w:tab w:val="clear" w:pos="708"/>
                <w:tab w:val="left" w:pos="455" w:leader="none"/>
              </w:tabs>
              <w:suppressAutoHyphens w:val="false"/>
              <w:spacing w:before="0" w:after="0"/>
              <w:ind w:left="0" w:firstLine="172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накладная ТОРГ-12 в 2 (двух) экз.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before="0" w:after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Условия транспортировки Товара: погрузка и доставка до склада Покупателя осуществляется силами и средствами Поставщика. Поставщик несет все расходы и риски, связанные с доставкой до пункта назначения.</w:t>
            </w:r>
          </w:p>
        </w:tc>
        <w:tc>
          <w:tcPr>
            <w:tcW w:w="26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3.3.</w:t>
            </w:r>
          </w:p>
        </w:tc>
        <w:tc>
          <w:tcPr>
            <w:tcW w:w="220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Условия приемки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1. Не позднее, чем за 10 рабочих дней до даты поставки Поставщик официально уведомляет Покупателя о сроках и способе поставки Продукции и направляет Покупателю данные для отслеживания поставки.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2. При приемке Продукции представителями Покупателя осуществляется внешний осмотр, проверка сохранности тары и упаковки, наличия сопроводительной документации, удостоверяющей качество, и правильность ее оформления. Приемка Продукции осуществляется представителя Поставщика.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3. Приемка Товара со вскрытием упаковки производится Покупателем в присутствии Поставщика в  течение 10 (десяти) рабочих дней с даты подписания товарно-транспортной накладной по форме №1-Т. В случае отсутствия замечаний Покупатель подписывает товарную накладную унифицированной формы ТОРГ-12, либо направляет Поставщику мотивированный отказ.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4. Обязательство по поставке считается исполненным после передачи Товара Покупателю на складе Покупателя и подписания товарной накладной ТОРГ-12 уполномоченными представителями Сторон.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После проведения входного контроля восстановление упаковки, переконсервация производится силами Поставщика.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Контрольная сборка СУР и составление Акта контрольных обмеров производить на заводе-изготовителе в присутствии представителя Заказчика.</w:t>
            </w:r>
          </w:p>
        </w:tc>
        <w:tc>
          <w:tcPr>
            <w:tcW w:w="26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3.4</w:t>
            </w:r>
          </w:p>
        </w:tc>
        <w:tc>
          <w:tcPr>
            <w:tcW w:w="2209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Требования к упаковке</w:t>
            </w:r>
          </w:p>
        </w:tc>
        <w:tc>
          <w:tcPr>
            <w:tcW w:w="36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Поставляемый Товар должен быть упакован в заводскую упаковку.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Упаковка должна обеспечивать защиту поставляемого оборудования: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- в части воздействий климатических факторов - по группе условий хранения  не ниже 3 (п.10.1 ГОСТ 15150-69);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- в части воздействия механических факторов – не ниже С (п.2.1 ГОСТ 23216-78).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Все неокрашенные металлические части оборудования (включая комплектующие), подверженные воздействию внешней среды в процессе транспортирования и хранения, должны быть законсервированы с помощью защитных смазок.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Поставщик несет ответственность за достаточность и надежность упаковки, обеспечивающую устойчивость к воздействиям внешней среды, к особенностям погрузки и выгрузки.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Поставляемое оборудование должно быть для транспортирования упаковано в плотные ящики, материалы или в специальную тару.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Упаковка должна исключать возможность механических повреждений и климатических факторов внешней среды на оборудование.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Упаковка должна обеспечивать полную сохранность и защиту от повреждения Товара на весь срок его транспортировки любым средством транспорта с учетом перегрузок и длительного хранения в течение гарантийного срока хранения (не менее 36 месяцев с даты подписания товарной накладной по форме ТОРГ-12 на поставленный Товар). Товар поставляется в таре завода-изготовителя.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Тара и упаковка Поставщику не возвращаются.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В каждое грузовое место должен быть вложен упаковочный лист, содержащий перечень упакованных частей.</w:t>
            </w:r>
          </w:p>
        </w:tc>
        <w:tc>
          <w:tcPr>
            <w:tcW w:w="265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3.5</w:t>
            </w:r>
          </w:p>
        </w:tc>
        <w:tc>
          <w:tcPr>
            <w:tcW w:w="2209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Требования к маркировке</w:t>
            </w:r>
          </w:p>
        </w:tc>
        <w:tc>
          <w:tcPr>
            <w:tcW w:w="36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Маркировка МТЗ должна быть достоверной, читаемой и доступной для осмотра и идентификации, обладать износостойкостью.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Маркировка наносится силами Поставщика на каждое грузовое местои должна   содержать следующую информацию: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наименование МТЗ (в случае поставки не сборного груза);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наименование страны, производителя;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наименование Поставщика;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- условия хранения (теплый/холодный склад, уличное хранение);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дату изготовления и срок хранения.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В случае если срок хранения на МТЗ не установлен, указывается «срок хранения не ограничен».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Наносимая маркировка должна быть четкой и разборчивой, представлена на русском языке, выделяться или размещаться на фоне, контрастном по отношению к цвету упаковки..</w:t>
            </w:r>
          </w:p>
        </w:tc>
        <w:tc>
          <w:tcPr>
            <w:tcW w:w="265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83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657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0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Срок гарантии на продукцию должен составлять не менее 36 месяцев с даты подписания товарной накладной по форме ТОРГ-12 на поставленный Товар.</w:t>
            </w:r>
          </w:p>
        </w:tc>
        <w:tc>
          <w:tcPr>
            <w:tcW w:w="26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83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65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0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 продукцией</w:t>
            </w:r>
          </w:p>
        </w:tc>
        <w:tc>
          <w:tcPr>
            <w:tcW w:w="36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-  Руководство по эксплуатации и монтажу.</w:t>
            </w:r>
          </w:p>
          <w:p>
            <w:pPr>
              <w:pStyle w:val="Normal"/>
              <w:numPr>
                <w:ilvl w:val="0"/>
              </w:numPr>
              <w:rPr/>
            </w:pPr>
            <w:bookmarkStart w:id="56" w:name="__RefHeading___Toc7883_1002775054"/>
            <w:bookmarkEnd w:id="56"/>
            <w:r>
              <w:rPr>
                <w:i/>
                <w:iCs/>
                <w:sz w:val="24"/>
                <w:szCs w:val="24"/>
              </w:rPr>
              <w:t>- Паспорт</w:t>
            </w:r>
            <w:r>
              <w:rPr/>
              <w:t>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- Комплект исполнительных чертежей, в том числе акты скрытых работ (нанесение АКЗП);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- Сертификаты соответствия, паспорта на применяемые материалы;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- акты контрольных обмеров и другая документация по согласованию с Заказчиком.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- сертификаты соответствия;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- прочая документация, определенная заводом-изготовителем;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- упаковочные листы, упаковочные ярлыки;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- товарно-транспортная накладная формы №1-Т;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- товарная накладная унифицированной формы ТОРГ-12 в 2 экз.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Полный перечень прилагаемой документации разрабатывается подрядчиком и согласовывается с Заказчиком в письменном виде.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Вся документация должна быть на русском языке.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Методика проведения испытаний.</w:t>
            </w:r>
          </w:p>
        </w:tc>
        <w:tc>
          <w:tcPr>
            <w:tcW w:w="26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314" w:type="dxa"/>
            <w:gridSpan w:val="7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70" w:right="227" w:hanging="0"/>
              <w:contextualSpacing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*  - участник обязан описать все позиции Технических требований в соответствии с формой и инструкцией по заполнению, приведенной в разделе 7.4. Документации о закупке.</w:t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737" w:footer="0" w:bottom="709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57" w:name="__RefHeading___Toc7885_1002775054"/>
      <w:bookmarkStart w:id="58" w:name="_Toc75446583"/>
      <w:bookmarkStart w:id="59" w:name="_Toc53393312"/>
      <w:bookmarkEnd w:id="57"/>
      <w:r>
        <w:rPr>
          <w:lang w:val="ru-RU"/>
        </w:rPr>
        <w:t>Требования к документации по ценообразованию</w:t>
      </w:r>
      <w:bookmarkEnd w:id="59"/>
      <w:r>
        <w:rPr>
          <w:lang w:val="ru-RU"/>
        </w:rPr>
        <w:t xml:space="preserve"> на этапе закупки</w:t>
      </w:r>
      <w:bookmarkEnd w:id="5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3.2. Вместе с Коммерческим предложением Участник должен предоставить в составе заявки спецификацию поставляемую продукцию в соответствии с приложением №</w:t>
      </w: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3</w:t>
      </w: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 xml:space="preserve"> к настоящей ТТ.</w:t>
      </w:r>
    </w:p>
    <w:p>
      <w:pPr>
        <w:pStyle w:val="Heading1"/>
        <w:keepLines/>
        <w:tabs>
          <w:tab w:val="clear" w:pos="0"/>
        </w:tabs>
        <w:ind w:left="357" w:hanging="0"/>
        <w:rPr>
          <w:iCs/>
        </w:rPr>
      </w:pPr>
      <w:r>
        <w:rPr>
          <w:iCs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ind w:left="567" w:hanging="0"/>
        <w:rPr>
          <w:b/>
          <w:sz w:val="24"/>
          <w:lang w:eastAsia="x-none"/>
        </w:rPr>
      </w:pPr>
      <w:r>
        <w:rPr>
          <w:b/>
          <w:sz w:val="24"/>
          <w:lang w:eastAsia="x-none"/>
        </w:rPr>
        <w:t>РАЗРАБОТАЛ:</w:t>
      </w:r>
    </w:p>
    <w:p>
      <w:pPr>
        <w:pStyle w:val="Normal"/>
        <w:ind w:left="567" w:hanging="0"/>
        <w:rPr>
          <w:sz w:val="24"/>
          <w:lang w:eastAsia="x-none"/>
        </w:rPr>
      </w:pPr>
      <w:r>
        <w:rPr>
          <w:sz w:val="24"/>
          <w:lang w:eastAsia="x-none"/>
        </w:rPr>
        <w:t>Ведущий инженер ПТС</w:t>
        <w:tab/>
        <w:tab/>
        <w:tab/>
        <w:tab/>
        <w:tab/>
        <w:t>______________ Д.С. Пырьев</w:t>
      </w:r>
    </w:p>
    <w:p>
      <w:pPr>
        <w:pStyle w:val="Normal"/>
        <w:ind w:left="567" w:hanging="0"/>
        <w:rPr>
          <w:sz w:val="24"/>
          <w:lang w:eastAsia="x-none"/>
        </w:rPr>
      </w:pPr>
      <w:r>
        <w:rPr>
          <w:sz w:val="24"/>
          <w:lang w:eastAsia="x-none"/>
        </w:rPr>
      </w:r>
    </w:p>
    <w:p>
      <w:pPr>
        <w:pStyle w:val="Normal"/>
        <w:ind w:left="567" w:hanging="0"/>
        <w:rPr>
          <w:sz w:val="24"/>
          <w:lang w:eastAsia="x-none"/>
        </w:rPr>
      </w:pPr>
      <w:r>
        <w:rPr>
          <w:sz w:val="24"/>
          <w:lang w:eastAsia="x-none"/>
        </w:rPr>
      </w:r>
    </w:p>
    <w:p>
      <w:pPr>
        <w:pStyle w:val="Normal"/>
        <w:ind w:left="567" w:hanging="0"/>
        <w:rPr>
          <w:b/>
          <w:sz w:val="24"/>
          <w:lang w:eastAsia="x-none"/>
        </w:rPr>
      </w:pPr>
      <w:r>
        <w:rPr>
          <w:b/>
          <w:sz w:val="24"/>
          <w:lang w:eastAsia="x-none"/>
        </w:rPr>
        <w:t>СОГЛАСОВАНО:</w:t>
      </w:r>
    </w:p>
    <w:p>
      <w:pPr>
        <w:pStyle w:val="Normal"/>
        <w:ind w:left="567" w:hanging="0"/>
        <w:rPr>
          <w:sz w:val="24"/>
          <w:lang w:eastAsia="x-none"/>
        </w:rPr>
      </w:pPr>
      <w:r>
        <w:rPr>
          <w:sz w:val="24"/>
          <w:lang w:eastAsia="x-none"/>
        </w:rPr>
        <w:t>Начальник ПТС</w:t>
        <w:tab/>
        <w:tab/>
        <w:tab/>
        <w:tab/>
        <w:tab/>
        <w:tab/>
        <w:t>______________ Ю.В. Усачев</w:t>
      </w:r>
      <w:r>
        <w:br w:type="page"/>
      </w:r>
    </w:p>
    <w:p>
      <w:pPr>
        <w:pStyle w:val="Normal"/>
        <w:rPr>
          <w:rFonts w:eastAsia="Calibri"/>
          <w:b/>
          <w:iCs/>
          <w:lang w:val="x-none" w:eastAsia="x-none"/>
        </w:rPr>
      </w:pPr>
      <w:r>
        <w:rPr/>
        <w:tab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</w:rPr>
      </w:pPr>
      <w:bookmarkStart w:id="60" w:name="__RefHeading___Toc7887_1002775054"/>
      <w:bookmarkStart w:id="61" w:name="_Toc75446585"/>
      <w:bookmarkStart w:id="62" w:name="_Toc46743519"/>
      <w:bookmarkStart w:id="63" w:name="_Toc51339699"/>
      <w:bookmarkEnd w:id="60"/>
      <w:r>
        <w:rPr>
          <w:iCs/>
        </w:rPr>
        <w:t>Приложения</w:t>
      </w:r>
      <w:bookmarkEnd w:id="61"/>
      <w:bookmarkEnd w:id="62"/>
      <w:bookmarkEnd w:id="6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 w:val="false"/>
          <w:i w:val="false"/>
          <w:sz w:val="24"/>
          <w:szCs w:val="24"/>
          <w:shd w:fill="auto" w:val="clear"/>
        </w:rPr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 xml:space="preserve">Приложение №1: </w:t>
      </w:r>
      <w:r>
        <w:rPr>
          <w:rFonts w:eastAsia="Calibri"/>
          <w:sz w:val="24"/>
          <w:szCs w:val="24"/>
        </w:rPr>
        <w:t xml:space="preserve">Рабочая документация </w:t>
      </w:r>
      <w:r>
        <w:rPr>
          <w:sz w:val="24"/>
          <w:szCs w:val="24"/>
        </w:rPr>
        <w:t>«</w:t>
      </w:r>
      <w:r>
        <w:rPr>
          <w:sz w:val="24"/>
          <w:szCs w:val="24"/>
        </w:rPr>
        <w:t>Решетка сороудерживающая «12,0-17,0-3,0</w:t>
      </w:r>
      <w:r>
        <w:rPr>
          <w:sz w:val="24"/>
          <w:szCs w:val="24"/>
        </w:rPr>
        <w:t xml:space="preserve">» шифр </w:t>
      </w:r>
      <w:r>
        <w:rPr>
          <w:sz w:val="24"/>
          <w:szCs w:val="24"/>
        </w:rPr>
        <w:t>21МТ1»</w:t>
      </w: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 w:val="false"/>
          <w:i w:val="false"/>
          <w:sz w:val="24"/>
          <w:szCs w:val="24"/>
          <w:shd w:fill="auto" w:val="clear"/>
        </w:rPr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Приложение №</w:t>
      </w: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 xml:space="preserve">2:  </w:t>
      </w:r>
      <w:r>
        <w:rPr>
          <w:rStyle w:val="Style8"/>
          <w:rFonts w:eastAsia="Calibri"/>
          <w:b w:val="false"/>
          <w:bCs/>
          <w:i w:val="false"/>
          <w:sz w:val="24"/>
          <w:szCs w:val="24"/>
          <w:shd w:fill="auto" w:val="clear"/>
        </w:rPr>
        <w:t>Рабочая документация «Модернизация СУР 21МТ» шифр 1-13-2376»;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Fonts w:eastAsia="Calibri"/>
          <w:sz w:val="24"/>
          <w:szCs w:val="24"/>
        </w:rPr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Приложение №</w:t>
      </w: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3</w:t>
      </w: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:</w:t>
      </w:r>
      <w:r>
        <w:rPr>
          <w:rFonts w:eastAsia="Calibri"/>
          <w:sz w:val="24"/>
          <w:szCs w:val="24"/>
        </w:rPr>
        <w:t xml:space="preserve"> </w:t>
      </w: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Форма «Спецификация поставляемой Продукции»</w:t>
      </w:r>
      <w:r>
        <w:rPr>
          <w:sz w:val="24"/>
          <w:szCs w:val="24"/>
        </w:rPr>
        <w:t>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caps/>
          <w:sz w:val="24"/>
          <w:szCs w:val="24"/>
        </w:rPr>
      </w:pPr>
      <w:r>
        <w:rPr/>
      </w:r>
    </w:p>
    <w:sectPr>
      <w:headerReference w:type="default" r:id="rId8"/>
      <w:headerReference w:type="first" r:id="rId9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15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WW8Num9z0" w:customStyle="1">
    <w:name w:val="WW8Num9z0"/>
    <w:qFormat/>
    <w:rPr>
      <w:sz w:val="24"/>
      <w:szCs w:val="24"/>
    </w:rPr>
  </w:style>
  <w:style w:type="character" w:styleId="WW8Num9z1" w:customStyle="1">
    <w:name w:val="WW8Num9z1"/>
    <w:qFormat/>
    <w:rPr>
      <w:sz w:val="24"/>
    </w:rPr>
  </w:style>
  <w:style w:type="character" w:styleId="Style16" w:customStyle="1">
    <w:name w:val="Символ нумерации"/>
    <w:qFormat/>
    <w:rPr/>
  </w:style>
  <w:style w:type="character" w:styleId="WW8Num6z0" w:customStyle="1">
    <w:name w:val="WW8Num6z0"/>
    <w:qFormat/>
    <w:rPr>
      <w:sz w:val="24"/>
      <w:szCs w:val="24"/>
    </w:rPr>
  </w:style>
  <w:style w:type="character" w:styleId="WW8Num6z1" w:customStyle="1">
    <w:name w:val="WW8Num6z1"/>
    <w:qFormat/>
    <w:rPr>
      <w:sz w:val="24"/>
    </w:rPr>
  </w:style>
  <w:style w:type="character" w:styleId="Strong">
    <w:name w:val="Strong"/>
    <w:qFormat/>
    <w:rPr>
      <w:b/>
      <w:b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110" w:customStyle="1">
    <w:name w:val="Основной текст1"/>
    <w:basedOn w:val="Normal"/>
    <w:qFormat/>
    <w:pPr>
      <w:shd w:val="clear" w:color="auto" w:fill="FFFFFF"/>
      <w:spacing w:lineRule="atLeast" w:line="0"/>
    </w:pPr>
    <w:rPr>
      <w:sz w:val="23"/>
      <w:szCs w:val="23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WW8Num9" w:customStyle="1">
    <w:name w:val="WW8Num9"/>
    <w:qFormat/>
  </w:style>
  <w:style w:type="numbering" w:styleId="32205798551" w:customStyle="1">
    <w:name w:val="32205798551"/>
    <w:qFormat/>
  </w:style>
  <w:style w:type="numbering" w:styleId="34258484031" w:customStyle="1">
    <w:name w:val="34258484031"/>
    <w:qFormat/>
  </w:style>
  <w:style w:type="numbering" w:styleId="WW8Num6" w:customStyle="1">
    <w:name w:val="WW8Num6"/>
    <w:qFormat/>
  </w:style>
  <w:style w:type="numbering" w:styleId="29805087391" w:customStyle="1">
    <w:name w:val="2980508739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9FD77-18D7-4917-A158-D73E3BB8F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Application>AlterOffice/3.4.0.9$Linux_X86_64 LibreOffice_project/b8daf9e823b1a5463a2f48435ddc2e8696e7d4fc</Application>
  <AppVersion>15.0000</AppVersion>
  <Pages>15</Pages>
  <Words>1947</Words>
  <Characters>12669</Characters>
  <CharactersWithSpaces>14366</CharactersWithSpaces>
  <Paragraphs>282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2024-11-29T04:24:00Z</dcterms:created>
  <dc:creator>Пырьев Даниил Станиславович</dc:creator>
  <dc:description/>
  <dc:language>ru-RU</dc:language>
  <cp:lastModifiedBy/>
  <cp:lastPrinted>2024-11-29T04:24:00Z</cp:lastPrinted>
  <dcterms:modified xsi:type="dcterms:W3CDTF">2026-08-24T14:27:12Z</dcterms:modified>
  <cp:revision>26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