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 Ж.Н. Доржиев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«___»____________ 2026 г.</w:t>
      </w:r>
    </w:p>
    <w:p>
      <w:pPr>
        <w:pStyle w:val="Normal"/>
        <w:keepNext w:val="true"/>
        <w:keepLines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4"/>
          <w:szCs w:val="24"/>
          <w:highlight w:val="yellow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 «ОКПД2 26.30.11.190 Поставка аппаратуры коммутационной в рамках эксплуатационных расходов для нужд Западных электрических сетей»</w:t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36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shd w:fill="auto" w:val="clear"/>
        </w:rPr>
        <w:t xml:space="preserve">Лот № </w:t>
      </w:r>
      <w:r>
        <w:rPr>
          <w:rFonts w:eastAsia="Calibri"/>
          <w:b/>
          <w:sz w:val="24"/>
          <w:szCs w:val="24"/>
          <w:highlight w:val="yellow"/>
        </w:rPr>
        <w:t xml:space="preserve"> 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cs="Times New Roman"/>
            </w:rPr>
            <w:fldChar w:fldCharType="separate"/>
          </w:r>
          <w:hyperlink w:anchor="_Toc137116589">
            <w:r>
              <w:rPr>
                <w:webHidden/>
                <w:rStyle w:val="Style14"/>
                <w:rFonts w:cs="Times New Roman"/>
                <w:vanish w:val="false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</w:rPr>
              <w:t>Общие сведения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590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Наименование закупаемой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591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Цель использования закупаемой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37116592">
            <w:r>
              <w:rPr>
                <w:webHidden/>
                <w:rStyle w:val="Style14"/>
                <w:rFonts w:cs="Times New Roman"/>
                <w:vanish w:val="false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</w:rPr>
              <w:tab/>
            </w:r>
            <w:r>
              <w:rPr>
                <w:rStyle w:val="Style14"/>
                <w:rFonts w:cs="Times New Roman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593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объемам и срокам поставки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594">
            <w:r>
              <w:rPr>
                <w:webHidden/>
                <w:rStyle w:val="Style14"/>
                <w:rFonts w:cs="Times New Roman"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Перечень и объем закупаемой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371165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 1.1 Перечень и объем закупаемой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596">
            <w:r>
              <w:rPr>
                <w:webHidden/>
                <w:rStyle w:val="Style14"/>
                <w:rFonts w:cs="Times New Roman"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371165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 2.1 Требования по срокам поставки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598">
            <w:r>
              <w:rPr>
                <w:webHidden/>
                <w:rStyle w:val="Style14"/>
                <w:rFonts w:cs="Times New Roman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" w:cs="Times New Roman" w:eastAsiaTheme="minorEastAsia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>Требования к качеству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</w:rPr>
          </w:pPr>
          <w:hyperlink w:anchor="_Toc1371165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_Toc137116599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cs="Times New Roman"/>
                <w:vanish w:val="false"/>
              </w:rPr>
              <w:t>Таблица 3. Требования к продукции</w:t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rPr>
              <w:rFonts w:eastAsia="" w:cs="Times New Roman" w:eastAsiaTheme="minorEastAsia"/>
              <w:sz w:val="24"/>
              <w:szCs w:val="24"/>
            </w:rPr>
          </w:pPr>
          <w:hyperlink w:anchor="_Toc137116600">
            <w:r>
              <w:rPr>
                <w:webHidden/>
                <w:rStyle w:val="Style14"/>
                <w:rFonts w:cs="Times New Roman"/>
                <w:i/>
                <w:vanish w:val="false"/>
                <w:sz w:val="24"/>
                <w:szCs w:val="24"/>
              </w:rPr>
              <w:t>Согласие с требованием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_Toc137116600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4"/>
                <w:szCs w:val="24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4"/>
              <w:szCs w:val="24"/>
              <w:rFonts w:cs="Times New Roman"/>
            </w:rPr>
            <w:fldChar w:fldCharType="end"/>
          </w:r>
        </w:p>
      </w:sdtContent>
    </w:sdt>
    <w:p>
      <w:pPr>
        <w:pStyle w:val="Heading2"/>
        <w:numPr>
          <w:ilvl w:val="0"/>
        </w:numPr>
        <w:ind w:hanging="0" w:left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2"/>
        </w:numPr>
        <w:ind w:hanging="357" w:left="357"/>
        <w:jc w:val="center"/>
        <w:rPr>
          <w:caps/>
          <w:sz w:val="24"/>
          <w:szCs w:val="24"/>
          <w:lang w:val="ru-RU"/>
        </w:rPr>
      </w:pPr>
      <w:bookmarkStart w:id="0" w:name="_Toc137116589"/>
      <w:bookmarkStart w:id="1" w:name="_Toc51339692"/>
      <w:bookmarkEnd w:id="0"/>
      <w:bookmarkEnd w:id="1"/>
      <w:r>
        <w:rPr>
          <w:sz w:val="24"/>
          <w:szCs w:val="24"/>
          <w:lang w:val="ru-RU"/>
        </w:rPr>
        <w:t>Общие сведения</w:t>
      </w:r>
    </w:p>
    <w:p>
      <w:pPr>
        <w:pStyle w:val="Heading4"/>
        <w:numPr>
          <w:ilvl w:val="1"/>
          <w:numId w:val="2"/>
        </w:numPr>
        <w:rPr/>
      </w:pPr>
      <w:bookmarkStart w:id="2" w:name="_Toc137116590"/>
      <w:bookmarkStart w:id="3" w:name="_Toc46743506"/>
      <w:bookmarkEnd w:id="2"/>
      <w:bookmarkEnd w:id="3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8"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"ОКПД2 26.30.11.190 Поставка аппаратуры коммутационной в рамках эксплуатационных расходов для нужд Западных электрических сетей"</w:t>
        <w:br/>
      </w:r>
      <w:bookmarkStart w:id="4" w:name="_Toc137116591"/>
      <w:bookmarkStart w:id="5" w:name="_Toc46743507"/>
      <w:r>
        <w:rPr>
          <w:sz w:val="24"/>
          <w:szCs w:val="24"/>
        </w:rPr>
        <w:t xml:space="preserve">Цель </w:t>
      </w:r>
      <w:bookmarkEnd w:id="5"/>
      <w:r>
        <w:rPr>
          <w:sz w:val="24"/>
          <w:szCs w:val="24"/>
        </w:rPr>
        <w:t>использования закупаемой продукции</w:t>
      </w:r>
      <w:bookmarkEnd w:id="4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sz w:val="24"/>
          <w:szCs w:val="24"/>
          <w:lang w:eastAsia="x-none"/>
        </w:rPr>
      </w:pPr>
      <w:r>
        <w:rPr>
          <w:i/>
          <w:sz w:val="24"/>
          <w:szCs w:val="24"/>
          <w:lang w:eastAsia="x-none"/>
        </w:rPr>
        <w:t>Эксплуатация 2027 года</w:t>
      </w:r>
    </w:p>
    <w:p>
      <w:pPr>
        <w:pStyle w:val="Heading1"/>
        <w:numPr>
          <w:ilvl w:val="0"/>
          <w:numId w:val="2"/>
        </w:numPr>
        <w:ind w:hanging="340" w:left="-170"/>
        <w:jc w:val="center"/>
        <w:rPr>
          <w:iCs/>
          <w:caps/>
          <w:sz w:val="24"/>
          <w:szCs w:val="24"/>
          <w:lang w:val="ru-RU"/>
        </w:rPr>
      </w:pPr>
      <w:bookmarkStart w:id="6" w:name="_Toc51339693"/>
      <w:bookmarkStart w:id="7" w:name="_Toc137116592"/>
      <w:bookmarkStart w:id="8" w:name="_Toc50125126"/>
      <w:bookmarkEnd w:id="6"/>
      <w:bookmarkEnd w:id="7"/>
      <w:bookmarkEnd w:id="8"/>
      <w:r>
        <w:rPr>
          <w:iCs/>
          <w:sz w:val="24"/>
          <w:szCs w:val="24"/>
        </w:rPr>
        <w:t>Требования к продукции</w:t>
      </w:r>
    </w:p>
    <w:p>
      <w:pPr>
        <w:pStyle w:val="Heading4"/>
        <w:numPr>
          <w:ilvl w:val="1"/>
          <w:numId w:val="2"/>
        </w:numPr>
        <w:rPr/>
      </w:pPr>
      <w:bookmarkStart w:id="9" w:name="_Toc137116593"/>
      <w:r>
        <w:rPr/>
        <w:t xml:space="preserve">Требования к объемам и срокам </w:t>
      </w:r>
      <w:bookmarkEnd w:id="9"/>
      <w:r>
        <w:rPr>
          <w:lang w:val="ru-RU"/>
        </w:rPr>
        <w:t>поставки</w:t>
      </w:r>
    </w:p>
    <w:p>
      <w:pPr>
        <w:pStyle w:val="Heading3"/>
        <w:numPr>
          <w:ilvl w:val="2"/>
          <w:numId w:val="2"/>
        </w:numPr>
        <w:rPr/>
      </w:pPr>
      <w:bookmarkStart w:id="10" w:name="_Toc137116594"/>
      <w:bookmarkEnd w:id="10"/>
      <w:r>
        <w:rPr>
          <w:lang w:val="ru-RU"/>
        </w:rPr>
        <w:t>Перечень и объем закупаемой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bookmarkStart w:id="11" w:name="_Toc51339695"/>
      <w:bookmarkStart w:id="12" w:name="_Toc1371165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bookmarkEnd w:id="12"/>
      <w:r>
        <w:rPr>
          <w:sz w:val="24"/>
          <w:szCs w:val="24"/>
          <w:lang w:val="ru-RU"/>
        </w:rPr>
        <w:t>и объем закупаемой продукции</w:t>
      </w:r>
    </w:p>
    <w:tbl>
      <w:tblPr>
        <w:tblW w:w="10985" w:type="dxa"/>
        <w:jc w:val="left"/>
        <w:tblInd w:w="-5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2"/>
        <w:gridCol w:w="3917"/>
        <w:gridCol w:w="1695"/>
        <w:gridCol w:w="690"/>
        <w:gridCol w:w="870"/>
        <w:gridCol w:w="3260"/>
      </w:tblGrid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ОКПД-2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внутренний для радиостанции А630 6-38ГГц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наружный для радиостанции А630 RR6O-H180032 48В 0-18ГГц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наружный для радиостанции А630 RR6O-Н180031 48В 6-38ГГц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наружный радиорелейной системы Антерум 630 RR60-H080011 6-38ГГц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интерфейсный радиорелейной системы Антерум 630 RC6V-3200000 4110 GigE 2хE1 Ethernet SFP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модема радиорелейной системы Антерум 630 RC6M с поддержкой XPIC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питания А630-48 VDC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управления для радиорелейной системы А 630 Imaqliq RC6M-2000001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Передатчик верхний цифровой радиорелейной связи Imaqliq RR6M-7180020 CTT-H 18гГц п.01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Передатчик нижний радиорелейной системы Антерум 630 RR6M-7080010 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Передатчик нижний цифровой радиорелейной связи RR6M-7180020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 CTT-H RR6M-7080020 системы цифровой радиорелейной связи Антерум 630 08ГГц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 верхний для радиосистемы Imaqliq RR6M-7180030 18ГГц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  <w:tr>
        <w:trPr/>
        <w:tc>
          <w:tcPr>
            <w:tcW w:w="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3917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 нижний для радиосистемы Imaqliq RR6M-7180030 18ГГц</w:t>
            </w:r>
          </w:p>
        </w:tc>
        <w:tc>
          <w:tcPr>
            <w:tcW w:w="1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0"/>
                <w:szCs w:val="20"/>
              </w:rPr>
              <w:t>26.30.11.190</w:t>
            </w:r>
          </w:p>
        </w:tc>
        <w:tc>
          <w:tcPr>
            <w:tcW w:w="6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70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 режим ограничения закупки иностранной продукции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2"/>
        </w:numPr>
        <w:rPr/>
      </w:pPr>
      <w:bookmarkStart w:id="13" w:name="_Toc51339696"/>
      <w:bookmarkStart w:id="14" w:name="_Toc75446578"/>
      <w:bookmarkStart w:id="15" w:name="_Toc137116596"/>
      <w:r>
        <w:rPr>
          <w:lang w:val="ru-RU"/>
        </w:rPr>
        <w:t xml:space="preserve">Требования </w:t>
      </w:r>
      <w:bookmarkEnd w:id="13"/>
      <w:bookmarkEnd w:id="14"/>
      <w:bookmarkEnd w:id="15"/>
      <w:r>
        <w:rPr>
          <w:lang w:val="ru-RU"/>
        </w:rPr>
        <w:t>к срокам поставки продукции и оказания сопутствующих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sz w:val="24"/>
          <w:szCs w:val="24"/>
        </w:rPr>
      </w:pPr>
      <w:bookmarkStart w:id="16" w:name="_Toc137116597"/>
      <w:bookmarkStart w:id="17" w:name="_Toc51339697"/>
      <w:bookmarkStart w:id="18" w:name="_Toc50125127"/>
      <w:bookmarkStart w:id="19" w:name="_Toc501251261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0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11130" w:type="dxa"/>
        <w:jc w:val="left"/>
        <w:tblInd w:w="-5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0"/>
        <w:gridCol w:w="7364"/>
        <w:gridCol w:w="1425"/>
        <w:gridCol w:w="1590"/>
      </w:tblGrid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1" w:name="_Toc46743510"/>
            <w:bookmarkEnd w:id="21"/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05" w:hRule="atLeast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внутренний для радиостанции А630 6-38ГГц</w:t>
            </w:r>
          </w:p>
        </w:tc>
        <w:tc>
          <w:tcPr>
            <w:tcW w:w="142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59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24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24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24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24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дней с даты подписания до</w:t>
            </w:r>
            <w:bookmarkStart w:id="22" w:name="_GoBack"/>
            <w:bookmarkEnd w:id="22"/>
            <w:r>
              <w:rPr>
                <w:sz w:val="20"/>
                <w:szCs w:val="20"/>
              </w:rPr>
              <w:t>говора</w:t>
            </w:r>
          </w:p>
        </w:tc>
      </w:tr>
      <w:tr>
        <w:trPr>
          <w:trHeight w:val="305" w:hRule="atLeast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наружный для радиостанции А630 RR6O-H180032 48В 0-18ГГц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5" w:hRule="atLeast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наружный для радиостанции А630 RR6O-Н180031 48В 6-38ГГц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Блок наружный радиорелейной системы Антерум 630 RR60-H080011 6-38ГГц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интерфейсный радиорелейной системы Антерум 630 RC6V-3200000 4110 GigE 2хE1 Ethernet SFP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3" w:hRule="atLeast"/>
        </w:trPr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модема радиорелейной системы Антерум 630 RC6M с поддержкой XPIC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питания А630-48 VDC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Модуль управления для радиорелейной системы А 630 Imaqliq RC6M-2000001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Передатчик верхний цифровой радиорелейной связи Imaqliq RR6M-7180020 CTT-H 18гГц п.01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Передатчик нижний радиорелейной системы Антерум 630 RR6M-7080010 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Передатчик нижний цифровой радиорелейной связи RR6M-7180020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 CTT-H RR6M-7080020 системы цифровой радиорелейной связи Антерум 630 08ГГц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 верхний для радиосистемы Imaqliq RR6M-7180030 18ГГц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</w:r>
          </w:p>
        </w:tc>
        <w:tc>
          <w:tcPr>
            <w:tcW w:w="7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Приемник нижний для радиосистемы Imaqliq RR6M-7180030 18ГГц</w:t>
            </w:r>
          </w:p>
        </w:tc>
        <w:tc>
          <w:tcPr>
            <w:tcW w:w="1425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90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005" w:right="851" w:gutter="0" w:header="285" w:top="735" w:footer="0" w:bottom="27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"/>
        </w:numPr>
        <w:rPr>
          <w:rStyle w:val="Pagenumber"/>
        </w:rPr>
      </w:pPr>
      <w:bookmarkStart w:id="23" w:name="_Toc51339698"/>
      <w:bookmarkStart w:id="24" w:name="_Toc75446581"/>
      <w:bookmarkStart w:id="25" w:name="_Toc137116598"/>
      <w:bookmarkStart w:id="26" w:name="_Toc46743511"/>
      <w:r>
        <w:rPr/>
        <w:t xml:space="preserve">Требования к </w:t>
      </w:r>
      <w:bookmarkEnd w:id="24"/>
      <w:bookmarkEnd w:id="25"/>
      <w:bookmarkEnd w:id="26"/>
      <w:r>
        <w:rPr>
          <w:lang w:val="ru-RU"/>
        </w:rPr>
        <w:t>качеству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13711659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3"/>
      <w:bookmarkEnd w:id="27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rStyle w:val="Style8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№1-14 Таблицы 1.1): </w:t>
      </w:r>
      <w:r>
        <w:rPr>
          <w:rFonts w:eastAsia="Calibri"/>
          <w:i/>
          <w:sz w:val="24"/>
          <w:szCs w:val="24"/>
          <w:lang w:eastAsia="x-none"/>
        </w:rPr>
        <w:t>"</w:t>
      </w:r>
      <w:r>
        <w:rPr>
          <w:rFonts w:eastAsia="Calibri"/>
          <w:bCs/>
          <w:i/>
          <w:sz w:val="24"/>
          <w:szCs w:val="24"/>
        </w:rPr>
        <w:t xml:space="preserve"> </w:t>
      </w:r>
      <w:r>
        <w:rPr>
          <w:rFonts w:eastAsia="Calibri"/>
          <w:bCs/>
          <w:i/>
          <w:sz w:val="24"/>
          <w:szCs w:val="24"/>
          <w:lang w:eastAsia="x-none"/>
        </w:rPr>
        <w:t xml:space="preserve">ОКПД2 26.30.11.190 Поставка аппаратуры коммутационной в рамках эксплуатационных расходов для нужд Западных электрических сетей </w:t>
      </w:r>
      <w:r>
        <w:rPr>
          <w:rFonts w:eastAsia="Calibri"/>
          <w:i/>
          <w:sz w:val="24"/>
          <w:szCs w:val="24"/>
          <w:lang w:eastAsia="x-none"/>
        </w:rPr>
        <w:t>й "</w:t>
      </w:r>
    </w:p>
    <w:tbl>
      <w:tblPr>
        <w:tblStyle w:val="affff6"/>
        <w:tblW w:w="15642" w:type="dxa"/>
        <w:jc w:val="left"/>
        <w:tblInd w:w="-3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5"/>
        <w:gridCol w:w="3022"/>
        <w:gridCol w:w="4960"/>
        <w:gridCol w:w="2126"/>
        <w:gridCol w:w="2836"/>
        <w:gridCol w:w="1842"/>
      </w:tblGrid>
      <w:tr>
        <w:trPr/>
        <w:tc>
          <w:tcPr>
            <w:tcW w:w="8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02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96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6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02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6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3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9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1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83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8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8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8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496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496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496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ГОСТ 15150-69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sz w:val="22"/>
                <w:szCs w:val="22"/>
                <w:lang w:val="ru-RU" w:eastAsia="ru-RU"/>
              </w:rPr>
            </w:pPr>
            <w:bookmarkStart w:id="28" w:name="_Toc137116600"/>
            <w:bookmarkEnd w:id="28"/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b w:val="false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firstLine="142" w:left="-117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7982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 исполнения Постановления Правительства РФ от 23.12.2024 №1875</w:t>
            </w:r>
          </w:p>
        </w:tc>
        <w:tc>
          <w:tcPr>
            <w:tcW w:w="212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8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firstLine="142" w:left="-117"/>
              <w:contextualSpacing/>
              <w:jc w:val="center"/>
              <w:rPr>
                <w:rStyle w:val="Pagenumber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7982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2"/>
                <w:szCs w:val="22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2126" w:type="dxa"/>
            <w:tcBorders>
              <w:top w:val="nil"/>
            </w:tcBorders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rFonts w:eastAsia="Times New Roman"/>
                <w:b w:val="false"/>
                <w:i/>
                <w:i/>
                <w:sz w:val="22"/>
                <w:szCs w:val="22"/>
                <w:lang w:val="ru-RU" w:eastAsia="ru-RU"/>
              </w:rPr>
            </w:pPr>
            <w:bookmarkStart w:id="29" w:name="_Toc137116600_Копия_1"/>
            <w:bookmarkEnd w:id="29"/>
            <w:r>
              <w:rPr>
                <w:rFonts w:eastAsia="Times New Roman" w:cs="Times New Roman"/>
                <w:b w:val="false"/>
                <w:i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67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</w:tr>
    </w:tbl>
    <w:p>
      <w:pPr>
        <w:pStyle w:val="Normal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450" w:top="795" w:footer="0" w:bottom="341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>
          <w:rFonts w:eastAsia="Calibri"/>
          <w:iCs/>
          <w:sz w:val="24"/>
          <w:szCs w:val="24"/>
          <w:lang w:eastAsia="x-none"/>
        </w:rPr>
        <w:t>И.о. на</w:t>
      </w:r>
      <w:r>
        <w:rPr>
          <w:rFonts w:eastAsia="Calibri"/>
          <w:iCs/>
          <w:sz w:val="24"/>
          <w:szCs w:val="24"/>
          <w:lang w:eastAsia="x-none"/>
        </w:rPr>
        <w:t>чальник</w:t>
      </w:r>
      <w:r>
        <w:rPr>
          <w:rFonts w:eastAsia="Calibri"/>
          <w:iCs/>
          <w:sz w:val="24"/>
          <w:szCs w:val="24"/>
          <w:lang w:eastAsia="x-none"/>
        </w:rPr>
        <w:t>а</w:t>
      </w:r>
      <w:r>
        <w:rPr>
          <w:rFonts w:eastAsia="Calibri"/>
          <w:iCs/>
          <w:sz w:val="24"/>
          <w:szCs w:val="24"/>
          <w:lang w:eastAsia="x-none"/>
        </w:rPr>
        <w:t xml:space="preserve"> ССДТУ _____________________ /</w:t>
      </w:r>
      <w:r>
        <w:rPr>
          <w:rFonts w:eastAsia="Calibri"/>
          <w:iCs/>
          <w:sz w:val="24"/>
          <w:szCs w:val="24"/>
          <w:lang w:eastAsia="x-none"/>
        </w:rPr>
        <w:t>Пучков К.</w:t>
      </w:r>
      <w:r>
        <w:rPr>
          <w:rFonts w:eastAsia="Calibri"/>
          <w:iCs/>
          <w:sz w:val="24"/>
          <w:szCs w:val="24"/>
          <w:lang w:eastAsia="x-none"/>
        </w:rPr>
        <w:t>В./</w:t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jc w:val="both"/>
        <w:rPr>
          <w:rStyle w:val="Style8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i/>
          <w:sz w:val="24"/>
          <w:szCs w:val="24"/>
          <w:lang w:eastAsia="x-none"/>
        </w:rPr>
        <w:t>"</w:t>
      </w:r>
      <w:r>
        <w:rPr>
          <w:rFonts w:eastAsia="Calibri"/>
          <w:bCs/>
          <w:i/>
          <w:sz w:val="24"/>
          <w:szCs w:val="24"/>
        </w:rPr>
        <w:t xml:space="preserve"> </w:t>
      </w:r>
      <w:r>
        <w:rPr>
          <w:rFonts w:eastAsia="Calibri"/>
          <w:bCs/>
          <w:i/>
          <w:sz w:val="24"/>
          <w:szCs w:val="24"/>
          <w:lang w:eastAsia="x-none"/>
        </w:rPr>
        <w:t>ОКПД2 26.30.11.190 Поставка аппаратуры коммутационной в рамках эксплуатационных расходов для нужд Западных электрических сетей</w:t>
      </w:r>
      <w:r>
        <w:rPr>
          <w:rFonts w:eastAsia="Calibri"/>
          <w:i/>
          <w:sz w:val="24"/>
          <w:szCs w:val="24"/>
          <w:lang w:eastAsia="x-none"/>
        </w:rPr>
        <w:t xml:space="preserve"> "</w:t>
      </w:r>
    </w:p>
    <w:tbl>
      <w:tblPr>
        <w:tblStyle w:val="1d"/>
        <w:tblW w:w="150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1"/>
        <w:gridCol w:w="1543"/>
        <w:gridCol w:w="1864"/>
        <w:gridCol w:w="1573"/>
        <w:gridCol w:w="4494"/>
        <w:gridCol w:w="1513"/>
        <w:gridCol w:w="851"/>
        <w:gridCol w:w="768"/>
        <w:gridCol w:w="846"/>
        <w:gridCol w:w="930"/>
      </w:tblGrid>
      <w:tr>
        <w:trPr>
          <w:trHeight w:val="311" w:hRule="atLeast"/>
        </w:trPr>
        <w:tc>
          <w:tcPr>
            <w:tcW w:w="67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543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186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58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Требования заказчика *</w:t>
            </w:r>
          </w:p>
        </w:tc>
        <w:tc>
          <w:tcPr>
            <w:tcW w:w="3395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Предложения участника**</w:t>
            </w:r>
          </w:p>
        </w:tc>
      </w:tr>
      <w:tr>
        <w:trPr>
          <w:trHeight w:val="726" w:hRule="atLeast"/>
        </w:trPr>
        <w:tc>
          <w:tcPr>
            <w:tcW w:w="67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eastAsiaTheme="minorHAnsi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1543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eastAsiaTheme="minorHAnsi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186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eastAsiaTheme="minorHAnsi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sz w:val="22"/>
                <w:szCs w:val="22"/>
                <w:lang w:eastAsia="en-US"/>
              </w:rPr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Тех. и функцхаракт</w:t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</w:tr>
      <w:tr>
        <w:trPr>
          <w:trHeight w:val="223" w:hRule="atLeast"/>
        </w:trPr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eastAsiaTheme="minorHAnsi"/>
                <w:b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1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Блок внутренний для радиостанции А630 6-38ГГц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Обработка цифровых потоков: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принимает пользовательский трафик (каналы E1, потоки SDH/PDH, Ethernet) и готовит его к передаче по радиоканалу.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Модуляция и демодуляция: 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в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блоке есть модулятор и демодулятор. Он выбирает тип модуляции (PSK, QAM, вплоть до 4096QAM), настраивает полосу пропускания, уровень выходной мощности и радиочастотный канал под конкретную задачу. 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Коррекция ошибок: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реализует мощные методы кодирования для прямого исправления ошибок (FEC), что повышает надёжность связи.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Управление сетью: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включает сетевой процессор для работы с протоколом SNMP и другие функции для мониторинга и управления системой.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Коммутация: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содержит Ethernet-коммутатор и специальное устройство для обработки кадров — для поддержки схем защиты «1+1» (с горячим резервированием) или маршрутизации в кольцевых топологиях. </w:t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Выполнен в стандартном монтажном блоке типа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1RU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. </w:t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Питается от источника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-48 В постоянного тока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</w:t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Имеет разные интерфейсы: USB, RJ-45 (для SNMP и управления), разъёмы для E1, STM-1, DS-3, а также специальный разъём TNC для связи с наружным блоком (по нему передаются и питание, и сигналы промежуточной частоты).</w:t>
            </w:r>
            <w:r>
              <w:rPr>
                <w:rFonts w:eastAsia="Calibri" w:cs="Arial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</w:p>
        </w:tc>
        <w:tc>
          <w:tcPr>
            <w:tcW w:w="1513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678174, Республика Саха (Якутия), г. Мирный, Ленинградский пр-т, 5/2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9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2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Блок наружный для радиостанции А630 RR6O-H180032 48В 0-18ГГц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Приёмопередающий модуль (outdoor-блок), который вместе с антенной устанавливается снаружи — например, на антенной опоре. Его задача — работать в микроволновом диапазоне и формировать радиоканал. 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Питание: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-48 В постоянного тока (допускается отклонение ±10%). Важно: питание подаётся на наружный блок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от внутреннего блока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 через специальный коаксиальный кабель. 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Частотный диапазон: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система в целом поддерживает несколько поддиапазонов в пределах 6–38 ГГц. Конкретно конфигурация с маркировкой H180032 рассчитана на работу в районе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18 ГГц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(точнее, в одном из выделенных поддиапазонов внутри этого спектра). </w:t>
            </w:r>
          </w:p>
        </w:tc>
        <w:tc>
          <w:tcPr>
            <w:tcW w:w="15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9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3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Блок наружный для радиостанции А630 RR6O-Н180031 48В 6-38ГГц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Рабочий диапазон 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один из: 6, 7/8, 11, 13, 15, 18, 23, 38 ГГц;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Питание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−48 В постоянного тока;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Температура эксплуатации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от −50 °C до +55 °C;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Габариты 267 × 89 мм;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Вес 4,6кг.;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Подключение к внутреннему блоку 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коаксиальный кабель (до 200–300 м), разъём TNC;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Промежуточная частота 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ПЧ 350 МГц (на передачу), 140 МГц (на приём);</w:t>
            </w:r>
          </w:p>
          <w:p>
            <w:pPr>
              <w:pStyle w:val="Normal"/>
              <w:widowControl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Модуляция 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QPSK, 16/32/64/128 QAM;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Скорость передачи 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от 4 × E1 (8 Мбит/с) до 2 × STM-1 (311 Мбит/с)</w:t>
            </w:r>
          </w:p>
        </w:tc>
        <w:tc>
          <w:tcPr>
            <w:tcW w:w="15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>
          <w:trHeight w:val="390" w:hRule="atLeast"/>
        </w:trPr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9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4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Блок наружный радиорелейной системы Антерум 630 RR60-H080011 6-38ГГц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Style33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Style33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Рассчитан на работу в широком диапазоне частот — от 6 до 38 ГГц. Это позволяет гибко подбирать канал под конкретные условия связи (город, открытая местность, загруженность спектра) и строить линии разной протяжённости. 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Температурный режим: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от –50 °C до +55 °C. 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Интерфейсы связи: 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м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ежду блоками идёт обмен сигналами промежуточной частоты: на наружный блок подаётся 350 МГц, от него принимается 140 МГц. 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Функционал: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 реализовано адаптивное регулирование мощности передачи, встроенная система мониторинга коэффициента ошибок (BER), поддержка разных видов модуляции (BPSK, QPSK, 16 QAM и более сложных вплоть до 4096 QAM) и методов коррекции ошибок (FEC). Также поддерживается работа в защищённых конфигурациях (1+0, 1+1 с горячим резервированием).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Пропускная способность: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возможность организовывать каналы разной ёмкости: от нескольких десятков Мбит/с до сотен (например, до 311 Мбит/с), поддерживать интерфейсы E1, DS-3/E-3, STM-1, Ethernet. </w:t>
            </w:r>
          </w:p>
        </w:tc>
        <w:tc>
          <w:tcPr>
            <w:tcW w:w="15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9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Модуль интерфейсный радиорелейной системы Антерум 630 RC6V-3200000 4110 GigE 2хE1 Ethernet SFP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Плата/модуль, обеспечивающая подключение внешних линий связи к радиорелейному оборудованию.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- 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RC6V</w:t>
              <w:noBreakHyphen/>
              <w:t>3200000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 — внутренний артикул/код модуля (идентификатор конкретной аппаратной версии). 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- 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4110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 — номер модификации/конфигурации или парт</w:t>
              <w:noBreakHyphen/>
              <w:t xml:space="preserve">номер для заказа. 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- 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GigE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 — поддержка интерфейса Gigabit Ethernet (1 Гбит/с). 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- 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2×E1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 — два порта E1 (по 2,048 Мбит/с каждый), типичные для телефонии и TDM</w:t>
              <w:noBreakHyphen/>
              <w:t xml:space="preserve">трафика.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-  </w:t>
            </w:r>
            <w:r>
              <w:rPr>
                <w:rFonts w:eastAsia="Calibri" w:cs="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Ethernet SFP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 — наличие SFP</w:t>
              <w:noBreakHyphen/>
              <w:t>слота для подключения по оптике или меди через сменные трансиверы.</w:t>
            </w:r>
          </w:p>
        </w:tc>
        <w:tc>
          <w:tcPr>
            <w:tcW w:w="15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9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6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Модуль модема радиорелейной системы Антерум 630 RC6M с поддержкой XPIC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Поддерживает XPIC (Cross Polarization Interference Cancellation - подавление помех от кросс-поляризации). Система может одновременно работать с двумя поляризациями (например, вертикальной и горизонтальной) на одной частоте. Это удваивает пропускную способность, но при этом сигналы могут взаимно мешать друг другу. Модем алгоритмически выделяет полезный сигнал одной поляризации на фоне другой — то самое XPIC.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Также поддерживает:</w:t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Гибкую модуляцию (QPSK, 16QAM, 32QAM, 64QAM, 128QAM, 256QAM) — выбор зависит от условий связи и требуемой скорости. </w:t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Мощные методы коррекции ошибок (FEC) для повышения надёжности. </w:t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Адаптивные алгоритмы — система сама подстраивает параметры (модуляцию, мощность) под меняющиеся условия в радиоканале. </w:t>
            </w:r>
          </w:p>
        </w:tc>
        <w:tc>
          <w:tcPr>
            <w:tcW w:w="15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 w:eastAsia="Times New Roman"/>
                <w:iCs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iC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7.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7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Модуль питания А630-48 VDC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Входные параметры:</w:t>
            </w:r>
            <w:r>
              <w:rPr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b w:val="false"/>
                <w:color w:val="333333"/>
                <w:kern w:val="0"/>
                <w:sz w:val="22"/>
                <w:szCs w:val="22"/>
                <w:lang w:val="ru-RU" w:eastAsia="en-US" w:bidi="ar-SA"/>
              </w:rPr>
              <w:t>Номинальное входное напряжение:</w:t>
            </w:r>
            <w:r>
              <w:rPr>
                <w:rFonts w:eastAsia="Calibri" w:cs="" w:ascii="Times New Roman" w:hAnsi="Times New Roman"/>
                <w:b/>
                <w:color w:val="333333"/>
                <w:kern w:val="0"/>
                <w:sz w:val="22"/>
                <w:szCs w:val="22"/>
                <w:lang w:val="ru-RU" w:eastAsia="en-US" w:bidi="ar-SA"/>
              </w:rPr>
              <w:t> -48 В ±10%.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hd w:val="clear" w:color="auto" w:fill="FFFFFF"/>
              <w:suppressAutoHyphens w:val="false"/>
              <w:spacing w:before="0" w:after="12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b w:val="false"/>
                <w:color w:val="333333"/>
                <w:kern w:val="0"/>
                <w:sz w:val="22"/>
                <w:szCs w:val="22"/>
                <w:lang w:val="ru-RU" w:eastAsia="en-US" w:bidi="ar-SA"/>
              </w:rPr>
              <w:t>Рекомендуемый диапазон входного напряжения:</w:t>
            </w:r>
            <w:r>
              <w:rPr>
                <w:rFonts w:eastAsia="Calibri" w:cs="" w:ascii="Times New Roman" w:hAnsi="Times New Roman"/>
                <w:b/>
                <w:color w:val="333333"/>
                <w:kern w:val="0"/>
                <w:sz w:val="22"/>
                <w:szCs w:val="22"/>
                <w:lang w:val="ru-RU" w:eastAsia="en-US" w:bidi="ar-SA"/>
              </w:rPr>
              <w:t> от -36 В до -72 В.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hd w:val="clear" w:color="auto" w:fill="FFFFFF"/>
              <w:suppressAutoHyphens w:val="false"/>
              <w:spacing w:before="0" w:after="12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b w:val="false"/>
                <w:color w:val="333333"/>
                <w:kern w:val="0"/>
                <w:sz w:val="22"/>
                <w:szCs w:val="22"/>
                <w:lang w:val="ru-RU" w:eastAsia="en-US" w:bidi="ar-SA"/>
              </w:rPr>
              <w:t>Номинальный ток:</w:t>
            </w:r>
            <w:r>
              <w:rPr>
                <w:rFonts w:eastAsia="Calibri" w:cs="" w:ascii="Times New Roman" w:hAnsi="Times New Roman"/>
                <w:b/>
                <w:color w:val="333333"/>
                <w:kern w:val="0"/>
                <w:sz w:val="22"/>
                <w:szCs w:val="22"/>
                <w:lang w:val="ru-RU" w:eastAsia="en-US" w:bidi="ar-SA"/>
              </w:rPr>
              <w:t> 2 А.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Выходные параметры: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b w:val="false"/>
                <w:color w:val="333333"/>
                <w:kern w:val="0"/>
                <w:sz w:val="22"/>
                <w:szCs w:val="22"/>
                <w:lang w:val="ru-RU" w:eastAsia="en-US" w:bidi="ar-SA"/>
              </w:rPr>
              <w:t>Преобразуемое напряжение:</w:t>
            </w:r>
            <w:r>
              <w:rPr>
                <w:rFonts w:eastAsia="Calibri" w:cs="" w:ascii="Times New Roman" w:hAnsi="Times New Roman"/>
                <w:b/>
                <w:color w:val="333333"/>
                <w:kern w:val="0"/>
                <w:sz w:val="22"/>
                <w:szCs w:val="22"/>
                <w:lang w:val="ru-RU" w:eastAsia="en-US" w:bidi="ar-SA"/>
              </w:rPr>
              <w:t xml:space="preserve"> -48 В. 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hd w:val="clear" w:color="auto" w:fill="FFFFFF"/>
              <w:suppressAutoHyphens w:val="false"/>
              <w:spacing w:before="0" w:after="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b w:val="false"/>
                <w:color w:val="333333"/>
                <w:kern w:val="0"/>
                <w:sz w:val="22"/>
                <w:szCs w:val="22"/>
                <w:lang w:val="ru-RU" w:eastAsia="en-US" w:bidi="ar-SA"/>
              </w:rPr>
              <w:t>Вторичные напряжения:</w:t>
            </w:r>
            <w:r>
              <w:rPr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 система требует нескольких уровней напряжения (например, +5 В, +12 В и др.). Эти напряжения формируются внутри модуля с помощью встроенных DC/DC-конвертеров.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hd w:val="clear" w:color="auto" w:fill="FFFFFF"/>
              <w:suppressAutoHyphens w:val="false"/>
              <w:spacing w:before="0" w:after="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Тип разъёма:</w:t>
            </w:r>
            <w:r>
              <w:rPr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 двухконтактный, невыпадающий.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hd w:val="clear" w:color="auto" w:fill="FFFFFF"/>
              <w:suppressAutoHyphens w:val="false"/>
              <w:spacing w:before="0" w:after="12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Назначение контактов: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shd w:val="clear" w:color="auto" w:fill="FFFFFF"/>
              <w:suppressAutoHyphens w:val="false"/>
              <w:spacing w:before="0" w:after="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Контакт 1:</w:t>
            </w:r>
            <w:r>
              <w:rPr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 обратный провод (заземление шасси блока).</w:t>
            </w:r>
          </w:p>
          <w:p>
            <w:pPr>
              <w:pStyle w:val="Normal"/>
              <w:widowControl/>
              <w:numPr>
                <w:ilvl w:val="1"/>
                <w:numId w:val="9"/>
              </w:numPr>
              <w:shd w:val="clear" w:color="auto" w:fill="FFFFFF"/>
              <w:suppressAutoHyphens w:val="false"/>
              <w:spacing w:before="0" w:after="12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Контакт 2:</w:t>
            </w:r>
            <w:r>
              <w:rPr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 линия -48 В относительно заземления шасси.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hd w:val="clear" w:color="auto" w:fill="FFFFFF"/>
              <w:suppressAutoHyphens w:val="false"/>
              <w:spacing w:before="0" w:after="120"/>
              <w:ind w:hanging="360" w:left="0"/>
              <w:jc w:val="left"/>
              <w:rPr/>
            </w:pPr>
            <w:r>
              <w:rPr>
                <w:rStyle w:val="Strong"/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Подключение:</w:t>
            </w:r>
            <w:r>
              <w:rPr>
                <w:rFonts w:eastAsia="Calibri" w:cs="" w:ascii="Times New Roman" w:hAnsi="Times New Roman"/>
                <w:color w:val="333333"/>
                <w:kern w:val="0"/>
                <w:sz w:val="22"/>
                <w:szCs w:val="22"/>
                <w:lang w:val="ru-RU" w:eastAsia="en-US" w:bidi="ar-SA"/>
              </w:rPr>
              <w:t> кабель с разъёмом MSTB 2,5/2-STF (толщина 5 мм) поставляется в комплекте с внутренним блоком.</w:t>
            </w:r>
          </w:p>
        </w:tc>
        <w:tc>
          <w:tcPr>
            <w:tcW w:w="15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8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Модуль управления для радиорелейной системы А 630 Имаклик RC6M-2000001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Модуль управления (он же — модуль центрального процессора, или «карта управления») — один из ключевых функциональных блоков внутреннего блока Антерум 630. Внутренний блок собран по модульному принципу в шасси 1RU. 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9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Передатчик верхний цифровой радиорелейной связи Imaqliq RR6M-7180020 CTT-H 18гГц п.1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Наружный блок (ODU) радиорелейной системы Антерум 630, настроенный на работу в </w:t>
            </w:r>
            <w:r>
              <w:rPr>
                <w:rStyle w:val="Strong"/>
                <w:rFonts w:eastAsia="Calibri"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верхней половине частотного диапазона 18 ГГц</w:t>
            </w:r>
            <w:r>
              <w:rPr>
                <w:rFonts w:eastAsia="Calibri" w:cs="" w:ascii="Times New Roman" w:hAnsi="Times New Roman"/>
                <w:b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 (17,7–19,7 ГГц).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Дуплексный разнос в диапазоне 18 ГГц составляет </w:t>
            </w:r>
            <w:r>
              <w:rPr>
                <w:rStyle w:val="Strong"/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1010 МГц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 согласно рекомендации ITU-R F.595. Линейка Антерум ST/DT поддерживает концепцию «Low band / High band в одном радио» — то есть один радиоблок может работать как на нижней, так и на верхней половине. 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10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Передатчик нижний радиорелейной системы Антерум 630 RR6M-7080010 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Наружный блок (ODU) радиорелейной системы Антерум 630, настроенный на передачу в 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нижней половине диапазона 7/8 ГГц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(7125–8500 МГц). На одном конце пролёта передатчик работает на нижних частотах, приёмник — на верхних; на другом конце — наоборот. Это классическая схема частотного плана с дуплексным разносом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530 МГц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артикуле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RR6M-7080010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:</w:t>
            </w:r>
          </w:p>
          <w:p>
            <w:pPr>
              <w:pStyle w:val="Normal"/>
              <w:widowControl/>
              <w:numPr>
                <w:ilvl w:val="0"/>
                <w:numId w:val="12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RR6M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— серия наружного блока (Radio Relay 6M);</w:t>
            </w:r>
          </w:p>
          <w:p>
            <w:pPr>
              <w:pStyle w:val="Normal"/>
              <w:widowControl/>
              <w:numPr>
                <w:ilvl w:val="0"/>
                <w:numId w:val="12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708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—указание на диапазон 7/8 ГГц;</w:t>
            </w:r>
          </w:p>
          <w:p>
            <w:pPr>
              <w:pStyle w:val="Normal"/>
              <w:widowControl/>
              <w:numPr>
                <w:ilvl w:val="0"/>
                <w:numId w:val="12"/>
              </w:numPr>
              <w:shd w:val="clear" w:color="auto" w:fill="FFFFFF"/>
              <w:suppressAutoHyphens w:val="false"/>
              <w:spacing w:before="120" w:after="120"/>
              <w:ind w:hanging="360" w:left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0010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— позиция в частотном плане или ревизия.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11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Передатчик нижний цифровой радиорелейной связи RR6M-7180020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Web"/>
              <w:widowControl/>
              <w:shd w:val="clear" w:color="auto" w:fill="FFFFFF"/>
              <w:suppressAutoHyphens w:val="true"/>
              <w:spacing w:beforeAutospacing="0" w:before="120" w:afterAutospacing="0" w:after="12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Один и тот же наружный блок (ODU) Антерум 630 в диапазоне 18 ГГц аппаратно перекрывает весь диапазон 17,7–19,7 ГГц, а «верхний» или «нижний» определяется конфигурацией — назначенным частотным каналом. «Передатчик нижний» — это ODU, настроенный на передачу в</w:t>
            </w:r>
            <w:r>
              <w:rPr>
                <w:rFonts w:eastAsia="Calibri" w:cs="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 </w:t>
            </w:r>
            <w:r>
              <w:rPr>
                <w:rStyle w:val="Strong"/>
                <w:rFonts w:eastAsia="Calibri" w:cs="" w:ascii="Times New Roman" w:hAnsi="Times New Roman"/>
                <w:b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нижней половине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диапазона 18 ГГц (17,7–18,7 ГГц), приём при этом идёт из верхней половины (18,71–19,7 ГГц). Дуплексный разнос — </w:t>
            </w:r>
            <w:r>
              <w:rPr>
                <w:rStyle w:val="Strong"/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1010 МГц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. </w:t>
            </w:r>
          </w:p>
          <w:p>
            <w:pPr>
              <w:pStyle w:val="NormalWeb"/>
              <w:widowControl/>
              <w:shd w:val="clear" w:color="auto" w:fill="FFFFFF"/>
              <w:suppressAutoHyphens w:val="true"/>
              <w:spacing w:beforeAutospacing="0" w:before="120" w:afterAutospacing="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Таким образом, пара «передатчик верхний + передатчик нижний» с одинаковым базовым артикулом RR6M-7180020 — это два одинаковых наружных блока, разведённых по разным половинам диапазона на противоположных концах пролёта.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12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Приемник CTT-H RR6M-7080020 системы цифровой радиорелейной связи Антерум 630 08ГГц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Наружный блок Антерум 630 — это </w:t>
            </w:r>
            <w:r>
              <w:rPr>
                <w:rStyle w:val="Strong"/>
                <w:rFonts w:eastAsia="Calibri"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приёмопередатчик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 (трансивер): он одновременно и передаёт, и принимает. В спецификациях «приёмником» его называют, подчёркивая, что на данной станции этот ODU </w:t>
            </w:r>
            <w:r>
              <w:rPr>
                <w:rStyle w:val="Strong"/>
                <w:rFonts w:eastAsia="Calibri"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настроен на приём из конкретной половины диапазона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 — той, с которой передаёт противоположный конец пролёта. Физически это тот же ODU, что и «передатчик», просто с другим частотным назначением.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13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Приемник верхний для радиосистемы Imaqliq RR6M-7180030 18ГГц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NormalWeb"/>
              <w:widowControl/>
              <w:shd w:val="clear" w:color="auto" w:fill="FFFFFF"/>
              <w:suppressAutoHyphens w:val="true"/>
              <w:spacing w:beforeAutospacing="0" w:before="120" w:afterAutospacing="0" w:after="12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Наружный блок (ODU) Антерум 630 в диапазоне 18 ГГц. Суффикс </w:t>
            </w:r>
            <w:r>
              <w:rPr>
                <w:rStyle w:val="Strong"/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030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 указывает на иную позицию в частотном плане.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Это также полный приёмопередатчик (трансивер). В спецификации его называют «приёмником верхним», подчёркивая, что на данной станции он </w:t>
            </w:r>
            <w:r>
              <w:rPr>
                <w:rFonts w:eastAsia="Calibri" w:cs="" w:ascii="Times New Roman" w:hAnsi="Times New Roman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настроен на приём из верхней половины диапазона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 (18 710–19 700 МГц). Передача при этом ведётся в нижней половине (17 700–18 690 МГц). Дуплексный разнос — </w:t>
            </w:r>
            <w:r>
              <w:rPr>
                <w:rFonts w:eastAsia="Calibri" w:cs="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1010 МГц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hd w:val="clear" w:color="auto" w:fill="FFFFFF"/>
              <w:suppressAutoHyphens w:val="false"/>
              <w:spacing w:before="120" w:after="12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Таким образом, «приёмник верхний» — это пара для «передатчика верхнего» на противоположном конце пролёта: один передаёт сверху вниз, другой принимает сверху.</w:t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67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360" w:left="459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5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Позиция 14</w:t>
            </w:r>
          </w:p>
        </w:tc>
        <w:tc>
          <w:tcPr>
            <w:tcW w:w="18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Приемник нижний для радиосистемы Imaqliq RR6M-7180030 18ГГц</w:t>
            </w:r>
          </w:p>
        </w:tc>
        <w:tc>
          <w:tcPr>
            <w:tcW w:w="1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2"/>
                <w:szCs w:val="22"/>
                <w:lang w:val="ru-RU" w:eastAsia="en-US" w:bidi="ar-SA"/>
              </w:rPr>
              <w:t>Паспорт, сертификат</w:t>
            </w:r>
          </w:p>
        </w:tc>
        <w:tc>
          <w:tcPr>
            <w:tcW w:w="4494" w:type="dxa"/>
            <w:tcBorders/>
            <w:shd w:color="auto" w:fill="auto" w:val="clear"/>
            <w:vAlign w:val="center"/>
          </w:tcPr>
          <w:p>
            <w:pPr>
              <w:pStyle w:val="Heading2"/>
              <w:widowControl/>
              <w:numPr>
                <w:ilvl w:val="0"/>
              </w:numPr>
              <w:shd w:val="clear" w:color="auto" w:fill="FFFFFF"/>
              <w:suppressAutoHyphens w:val="true"/>
              <w:spacing w:lineRule="auto" w:line="240" w:before="360" w:after="180"/>
              <w:ind w:hanging="0" w:left="0"/>
              <w:jc w:val="left"/>
              <w:rPr/>
            </w:pP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 xml:space="preserve">Для реализации </w:t>
            </w:r>
            <w:r>
              <w:rPr>
                <w:rStyle w:val="Strong"/>
                <w:rFonts w:cs="" w:ascii="Times New Roman" w:hAnsi="Times New Roman"/>
                <w:b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>конфигурации 1+1 HSB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> (горячее резервирование) — на каждом конце пролёта стоит по два ODU: рабочий и резервный - п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lang w:bidi="ar-SA"/>
              </w:rPr>
              <w:t>олный состав ODU 18 ГГц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lang w:val="ru-RU" w:bidi="ar-SA"/>
              </w:rPr>
              <w:t xml:space="preserve">. 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>Для 1+1 с </w:t>
            </w:r>
            <w:r>
              <w:rPr>
                <w:rStyle w:val="Strong"/>
                <w:rFonts w:cs="" w:ascii="Times New Roman" w:hAnsi="Times New Roman"/>
                <w:b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>частотным разнесением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> (frequency diversity) рабочий и резервный ODU передают на немного разных частотах внутри одной половины диапазона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.</w:t>
            </w:r>
          </w:p>
          <w:p>
            <w:pPr>
              <w:pStyle w:val="Heading2"/>
              <w:widowControl/>
              <w:numPr>
                <w:ilvl w:val="0"/>
              </w:numPr>
              <w:shd w:val="clear" w:color="auto" w:fill="FFFFFF"/>
              <w:suppressAutoHyphens w:val="true"/>
              <w:spacing w:lineRule="auto" w:line="240" w:before="0" w:after="180"/>
              <w:ind w:hanging="0" w:left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Диапазон: 17 700–19 700 МГц</w:t>
            </w:r>
          </w:p>
          <w:p>
            <w:pPr>
              <w:pStyle w:val="Heading2"/>
              <w:widowControl/>
              <w:numPr>
                <w:ilvl w:val="0"/>
              </w:numPr>
              <w:shd w:val="clear" w:color="auto" w:fill="FFFFFF"/>
              <w:suppressAutoHyphens w:val="true"/>
              <w:spacing w:lineRule="auto" w:line="240" w:before="0" w:after="180"/>
              <w:ind w:hanging="0" w:left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Дуплексный разнос: 1 010 МГц</w:t>
            </w:r>
          </w:p>
          <w:p>
            <w:pPr>
              <w:pStyle w:val="Heading2"/>
              <w:widowControl/>
              <w:numPr>
                <w:ilvl w:val="0"/>
              </w:numPr>
              <w:shd w:val="clear" w:color="auto" w:fill="FFFFFF"/>
              <w:suppressAutoHyphens w:val="true"/>
              <w:spacing w:lineRule="auto" w:line="240" w:before="0" w:after="180"/>
              <w:ind w:hanging="0" w:left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Модуляция: QPSK … 256QAM</w:t>
            </w:r>
          </w:p>
          <w:p>
            <w:pPr>
              <w:pStyle w:val="Heading2"/>
              <w:widowControl/>
              <w:numPr>
                <w:ilvl w:val="0"/>
              </w:numPr>
              <w:shd w:val="clear" w:color="auto" w:fill="FFFFFF"/>
              <w:suppressAutoHyphens w:val="true"/>
              <w:spacing w:lineRule="auto" w:line="240" w:before="0" w:after="180"/>
              <w:ind w:hanging="0" w:left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Чувствительность (QPSK, 4E1, 7 МГц): −89−89 дБм</w:t>
            </w:r>
          </w:p>
          <w:p>
            <w:pPr>
              <w:pStyle w:val="Heading2"/>
              <w:widowControl/>
              <w:numPr>
                <w:ilvl w:val="0"/>
              </w:numPr>
              <w:shd w:val="clear" w:color="auto" w:fill="FFFFFF"/>
              <w:suppressAutoHyphens w:val="true"/>
              <w:spacing w:lineRule="auto" w:line="240" w:before="0" w:after="180"/>
              <w:ind w:hanging="0" w:left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" w:ascii="Times New Roman" w:hAnsi="Times New Roman"/>
                <w:b w:val="false"/>
                <w:color w:val="000000"/>
                <w:kern w:val="0"/>
                <w:sz w:val="22"/>
                <w:szCs w:val="22"/>
                <w:lang w:eastAsia="ru-RU" w:bidi="ar-SA"/>
              </w:rPr>
              <w:t>Мощность TX (QPSK): +25,5+25,5 дБм</w:t>
            </w:r>
            <w:r>
              <w:rPr>
                <w:rFonts w:cs="" w:ascii="Times New Roman" w:hAnsi="Times New Roman"/>
                <w:b w:val="false"/>
                <w:color w:val="000000"/>
                <w:kern w:val="0"/>
                <w:sz w:val="22"/>
                <w:szCs w:val="22"/>
                <w:shd w:fill="FFFFFF" w:val="clear"/>
                <w:lang w:bidi="ar-SA"/>
              </w:rPr>
              <w:t> 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>
              <w:rPr>
                <w:rFonts w:ascii="Times New Roman" w:hAnsi="Times New Roman"/>
                <w:color w:val="333333"/>
                <w:sz w:val="22"/>
                <w:szCs w:val="22"/>
              </w:rPr>
            </w:r>
          </w:p>
        </w:tc>
        <w:tc>
          <w:tcPr>
            <w:tcW w:w="1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7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84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  <w:tc>
          <w:tcPr>
            <w:tcW w:w="9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pacing w:before="40" w:after="120"/>
        <w:ind w:hanging="0" w:right="-28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spacing w:before="40" w:after="120"/>
        <w:ind w:hanging="0" w:right="-28"/>
        <w:jc w:val="both"/>
        <w:rPr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>
      <w:pPr>
        <w:pStyle w:val="Normal"/>
        <w:spacing w:before="40" w:after="120"/>
        <w:ind w:hanging="0" w:right="-28"/>
        <w:jc w:val="both"/>
        <w:rPr>
          <w:i/>
          <w:i/>
          <w:iCs/>
          <w:sz w:val="24"/>
          <w:szCs w:val="24"/>
        </w:rPr>
      </w:pPr>
      <w:bookmarkStart w:id="30" w:name="_Ref40301253"/>
      <w:r>
        <w:rPr>
          <w:i/>
          <w:iCs/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30"/>
      <w:r>
        <w:rPr>
          <w:i/>
          <w:iCs/>
          <w:sz w:val="24"/>
          <w:szCs w:val="24"/>
        </w:rPr>
        <w:t>.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Товар, поставленных в рамках настоящего договора, является новым (период изготовления: не ранее 4 кв. 2023г.), ранее неиспользованный;</w:t>
      </w:r>
    </w:p>
    <w:p>
      <w:pPr>
        <w:pStyle w:val="Normal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Гарантийный срок на товар соответствует гарантии изготовителя, но не менее 24 месяц с даты поставки на склад Покупателя.</w:t>
      </w:r>
    </w:p>
    <w:p>
      <w:pPr>
        <w:pStyle w:val="Normal"/>
        <w:rPr>
          <w:rStyle w:val="Pagenumber"/>
          <w:sz w:val="24"/>
          <w:szCs w:val="24"/>
        </w:rPr>
      </w:pPr>
      <w:r>
        <w:rPr>
          <w:i/>
          <w:iCs/>
          <w:sz w:val="24"/>
          <w:szCs w:val="24"/>
        </w:rPr>
        <w:t>Наличие сертификатов соответствия на поставляемый Товар: Вместе с Товаром должны передаваться относящиеся к нему документы, установленные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 эксплуатации, документация, входящая в стандартную поставку изделий заводом-изготовителем.</w:t>
      </w:r>
    </w:p>
    <w:p>
      <w:pPr>
        <w:pStyle w:val="Normal"/>
        <w:spacing w:before="0" w:after="60"/>
        <w:ind w:hanging="0" w:left="1134" w:right="99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60"/>
        <w:ind w:hanging="0" w:right="9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</w:t>
      </w:r>
    </w:p>
    <w:p>
      <w:pPr>
        <w:pStyle w:val="Normal"/>
        <w:spacing w:before="0" w:after="60"/>
        <w:ind w:hanging="0" w:right="991"/>
        <w:jc w:val="both"/>
        <w:rPr>
          <w:rStyle w:val="Pagenumber"/>
          <w:sz w:val="24"/>
          <w:szCs w:val="24"/>
        </w:rPr>
      </w:pPr>
      <w:r>
        <w:rPr>
          <w:sz w:val="24"/>
          <w:szCs w:val="24"/>
        </w:rPr>
        <w:t>И.о. н</w:t>
      </w:r>
      <w:r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С СДТУ                    ________________ /</w:t>
      </w:r>
      <w:r>
        <w:rPr>
          <w:sz w:val="24"/>
          <w:szCs w:val="24"/>
        </w:rPr>
        <w:t>Пучков К.В.</w:t>
      </w:r>
      <w:r>
        <w:rPr>
          <w:sz w:val="24"/>
          <w:szCs w:val="24"/>
        </w:rPr>
        <w:t xml:space="preserve">/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eastAsia="Calibri"/>
          <w:iCs/>
          <w:sz w:val="24"/>
          <w:szCs w:val="24"/>
          <w:lang w:eastAsia="x-none"/>
        </w:rPr>
        <w:t>Зам. главного инженер по ОТУ _______________ /Харитонов К.И./</w:t>
      </w:r>
      <w:r>
        <w:rPr>
          <w:sz w:val="24"/>
          <w:szCs w:val="24"/>
        </w:rPr>
        <w:t xml:space="preserve">                                        </w:t>
      </w:r>
    </w:p>
    <w:p>
      <w:pPr>
        <w:pStyle w:val="Normal"/>
        <w:spacing w:before="40" w:after="120"/>
        <w:ind w:hanging="0" w:right="-28"/>
        <w:jc w:val="both"/>
        <w:rPr>
          <w:rStyle w:val="Pagenumber"/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7"/>
      <w:headerReference w:type="first" r:id="rId8"/>
      <w:type w:val="nextPage"/>
      <w:pgSz w:orient="landscape" w:w="16838" w:h="11906"/>
      <w:pgMar w:left="992" w:right="1134" w:gutter="0" w:header="680" w:top="737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numPr>
        <w:ilvl w:val="0"/>
        <w:numId w:val="0"/>
      </w:numPr>
      <w:outlineLvl w:val="1"/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numPr>
        <w:ilvl w:val="2"/>
        <w:numId w:val="1"/>
      </w:numPr>
      <w:spacing w:lineRule="auto" w:line="276"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Futurisfootnotegroup" w:customStyle="1">
    <w:name w:val="futurisfootnotegroup"/>
    <w:basedOn w:val="DefaultParagraphFont"/>
    <w:qFormat/>
    <w:rsid w:val="00392354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uiPriority w:val="9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link w:val="22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hanging="0" w:left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37FDB-B0A7-40CC-B906-80BDCFEC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Application>AlterOffice/2026.2.0.0$Linux_X86_64 LibreOffice_project/bc4ef1adf80b36c7a6365f8ed6cbf29021361edd</Application>
  <AppVersion>15.0000</AppVersion>
  <Pages>13</Pages>
  <Words>2454</Words>
  <Characters>15950</Characters>
  <CharactersWithSpaces>18123</CharactersWithSpaces>
  <Paragraphs>371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2026-09-10T23:41:00Z</dcterms:created>
  <dc:creator>Быстров Олег Геннадьевич</dc:creator>
  <dc:description/>
  <dc:language>ru-RU</dc:language>
  <cp:lastModifiedBy>blagadarovarr@Elektra.local</cp:lastModifiedBy>
  <cp:lastPrinted>2026-09-14T08:53:31Z</cp:lastPrinted>
  <dcterms:modified xsi:type="dcterms:W3CDTF">2026-09-14T09:03:35Z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