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280" w:after="280"/>
        <w:jc w:val="center"/>
        <w:rPr>
          <w:rFonts w:eastAsia="Calibri"/>
          <w:b/>
          <w:sz w:val="26"/>
          <w:szCs w:val="26"/>
        </w:rPr>
      </w:pPr>
      <w:r>
        <w:rPr/>
      </w:r>
    </w:p>
    <w:p>
      <w:pPr>
        <w:pStyle w:val="NormalWeb"/>
        <w:spacing w:before="280" w:after="280"/>
        <w:jc w:val="center"/>
        <w:rPr>
          <w:rFonts w:eastAsia="Calibri"/>
          <w:b/>
          <w:sz w:val="26"/>
          <w:szCs w:val="26"/>
        </w:rPr>
      </w:pPr>
      <w:r>
        <w:rPr/>
      </w:r>
    </w:p>
    <w:p>
      <w:pPr>
        <w:pStyle w:val="NormalWeb"/>
        <w:spacing w:before="280" w:after="280"/>
        <w:jc w:val="center"/>
        <w:rPr>
          <w:rFonts w:eastAsia="Calibri"/>
          <w:b/>
          <w:sz w:val="26"/>
          <w:szCs w:val="26"/>
        </w:rPr>
      </w:pPr>
      <w:r>
        <w:rPr/>
      </w:r>
    </w:p>
    <w:p>
      <w:pPr>
        <w:pStyle w:val="NormalWeb"/>
        <w:spacing w:before="280" w:after="280"/>
        <w:jc w:val="center"/>
        <w:rPr>
          <w:rFonts w:eastAsia="Calibri"/>
          <w:b/>
          <w:sz w:val="26"/>
          <w:szCs w:val="26"/>
        </w:rPr>
      </w:pPr>
      <w:r>
        <w:rPr/>
      </w:r>
    </w:p>
    <w:p>
      <w:pPr>
        <w:pStyle w:val="NormalWeb"/>
        <w:spacing w:before="280" w:after="280"/>
        <w:jc w:val="center"/>
        <w:rPr>
          <w:rFonts w:eastAsia="Calibri"/>
          <w:b/>
          <w:sz w:val="26"/>
          <w:szCs w:val="26"/>
        </w:rPr>
      </w:pPr>
      <w:r>
        <w:rPr/>
      </w:r>
    </w:p>
    <w:p>
      <w:pPr>
        <w:pStyle w:val="NormalWeb"/>
        <w:spacing w:before="280" w:after="280"/>
        <w:jc w:val="center"/>
        <w:rPr>
          <w:rFonts w:eastAsia="Calibri"/>
          <w:b/>
          <w:sz w:val="26"/>
          <w:szCs w:val="26"/>
        </w:rPr>
      </w:pPr>
      <w:r>
        <w:rPr/>
      </w:r>
    </w:p>
    <w:p>
      <w:pPr>
        <w:pStyle w:val="NormalWeb"/>
        <w:spacing w:before="280" w:after="280"/>
        <w:jc w:val="center"/>
        <w:rPr>
          <w:rFonts w:eastAsia="Calibri"/>
          <w:b/>
          <w:sz w:val="26"/>
          <w:szCs w:val="26"/>
        </w:rPr>
      </w:pPr>
      <w:r>
        <w:rPr/>
      </w:r>
    </w:p>
    <w:p>
      <w:pPr>
        <w:pStyle w:val="NormalWeb"/>
        <w:spacing w:before="280" w:after="28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Web"/>
        <w:spacing w:before="280" w:after="280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Heading4"/>
        <w:jc w:val="both"/>
        <w:rPr>
          <w:b/>
          <w:bCs/>
        </w:rPr>
      </w:pPr>
      <w:r>
        <w:rPr>
          <w:rFonts w:eastAsia="Calibri"/>
          <w:b/>
          <w:bCs/>
          <w:sz w:val="26"/>
          <w:szCs w:val="26"/>
          <w:lang w:val="ru-RU"/>
        </w:rPr>
        <w:t xml:space="preserve">ОКПД2: 45.20.21 Услуги по шиномонтажу и шиноремонту грузовых и легковых транспортных средств в населенном пункте Хабаровск для нужд Хабаровского ТУ </w:t>
      </w:r>
      <w:r>
        <w:rPr>
          <w:rFonts w:eastAsia="Calibri"/>
          <w:b/>
          <w:bCs/>
          <w:sz w:val="26"/>
          <w:szCs w:val="26"/>
          <w:lang w:val="ru-RU"/>
        </w:rPr>
        <w:t>и Хабаровского СУ</w:t>
      </w:r>
      <w:r>
        <w:rPr>
          <w:rFonts w:eastAsia="Calibri"/>
          <w:b/>
          <w:bCs/>
          <w:sz w:val="26"/>
          <w:szCs w:val="26"/>
          <w:lang w:val="ru-RU"/>
        </w:rPr>
        <w:t xml:space="preserve">  Дальневосточного филиала АО "ТК РусГидро"</w:t>
      </w:r>
    </w:p>
    <w:p>
      <w:pPr>
        <w:pStyle w:val="Normal"/>
        <w:keepNext w:val="true"/>
        <w:keepLine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jc w:val="center"/>
        <w:rPr>
          <w:strike/>
          <w:color w:val="C9211E"/>
        </w:rPr>
      </w:pPr>
      <w:r>
        <w:rPr/>
      </w:r>
    </w:p>
    <w:p>
      <w:pPr>
        <w:pStyle w:val="ListParagraph"/>
        <w:widowControl w:val="false"/>
        <w:suppressAutoHyphens w:val="true"/>
        <w:spacing w:before="0" w:after="0"/>
        <w:ind w:hanging="0" w:left="0"/>
        <w:contextualSpacing/>
        <w:jc w:val="center"/>
        <w:rPr>
          <w:rFonts w:ascii="Times New Roman" w:hAnsi="Times New Roman" w:eastAsia="Calibri" w:cs="Times New Roman"/>
          <w:b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/>
          <w:b/>
          <w:color w:val="auto"/>
          <w:kern w:val="0"/>
          <w:sz w:val="26"/>
          <w:szCs w:val="26"/>
          <w:lang w:val="ru-RU" w:eastAsia="ru-RU" w:bidi="ar-SA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694">
            <w:r>
              <w:rPr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5">
            <w:r>
              <w:rPr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6">
            <w:r>
              <w:rPr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54643697">
            <w:r>
              <w:rPr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оказания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ind w:hanging="0" w:left="567"/>
            <w:rPr>
              <w:rFonts w:eastAsia="新細明體" w:eastAsiaTheme="minorEastAsia"/>
              <w:sz w:val="20"/>
              <w:szCs w:val="20"/>
            </w:rPr>
          </w:pPr>
          <w:r>
            <w:rPr>
              <w:rFonts w:eastAsia="新細明體" w:eastAsiaTheme="minorEastAsia"/>
              <w:sz w:val="20"/>
              <w:szCs w:val="20"/>
            </w:rPr>
            <w:t>1.4.     Существующее положение                                                                                                                               3</w:t>
          </w:r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699">
            <w:r>
              <w:rPr>
                <w:rStyle w:val="Style14"/>
                <w:vanish w:val="false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2">
            <w:r>
              <w:rPr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3">
            <w:r>
              <w:rPr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4">
            <w:r>
              <w:rPr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перечню и объему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5">
            <w:r>
              <w:rPr>
                <w:rStyle w:val="Style14"/>
                <w:vanish w:val="false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6">
            <w:r>
              <w:rPr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7">
            <w:r>
              <w:rPr>
                <w:rStyle w:val="Style14"/>
                <w:vanish w:val="false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8">
            <w:r>
              <w:rPr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9">
            <w:r>
              <w:rPr>
                <w:rStyle w:val="Style14"/>
                <w:vanish w:val="false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10">
            <w:r>
              <w:rPr>
                <w:rStyle w:val="Style14"/>
                <w:bCs/>
                <w:vanish w:val="false"/>
                <w:sz w:val="24"/>
                <w:szCs w:val="24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4"/>
                <w:szCs w:val="24"/>
              </w:rPr>
              <w:tab/>
            </w:r>
            <w:r>
              <w:rPr>
                <w:rStyle w:val="Style14"/>
                <w:rFonts w:eastAsia="新細明體" w:cs="Arial" w:cstheme="minorBidi" w:eastAsiaTheme="minorEastAsia"/>
                <w:b/>
                <w:bCs/>
                <w:sz w:val="24"/>
                <w:szCs w:val="24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Cs/>
                <w:sz w:val="24"/>
                <w:szCs w:val="24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keepNext w:val="true"/>
            <w:keepLines/>
            <w:jc w:val="center"/>
            <w:rPr>
              <w:rFonts w:eastAsia="Calibri"/>
              <w:b/>
              <w:sz w:val="26"/>
              <w:szCs w:val="26"/>
            </w:rPr>
          </w:pPr>
          <w:r>
            <w:rPr>
              <w:rFonts w:eastAsia="Calibri"/>
              <w:b/>
              <w:sz w:val="26"/>
              <w:szCs w:val="26"/>
            </w:rPr>
          </w:r>
        </w:p>
        <w:p>
          <w:pPr>
            <w:pStyle w:val="Normal"/>
            <w:keepNext w:val="true"/>
            <w:keepLines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Normal"/>
            <w:jc w:val="center"/>
            <w:rPr>
              <w:rFonts w:eastAsia="Calibri"/>
              <w:b/>
              <w:sz w:val="26"/>
              <w:szCs w:val="26"/>
            </w:rPr>
          </w:pPr>
          <w:r>
            <w:rPr/>
          </w:r>
        </w:p>
        <w:p>
          <w:pPr>
            <w:pStyle w:val="Heading1"/>
            <w:rPr>
              <w:caps/>
            </w:rPr>
          </w:pPr>
          <w:r>
            <w:rPr>
              <w:lang w:val="ru-RU"/>
            </w:rPr>
            <w:t xml:space="preserve">1. </w:t>
          </w:r>
          <w:bookmarkStart w:id="0" w:name="_Toc54643694"/>
          <w:r>
            <w:rPr/>
            <w:t>Общие сведения</w:t>
          </w:r>
          <w:bookmarkEnd w:id="0"/>
        </w:p>
        <w:p>
          <w:pPr>
            <w:pStyle w:val="Heading4"/>
            <w:rPr/>
          </w:pPr>
          <w:r>
            <w:rPr>
              <w:lang w:val="ru-RU"/>
            </w:rPr>
            <w:t xml:space="preserve">1.1. </w:t>
          </w:r>
          <w:bookmarkStart w:id="1" w:name="_Toc54643695"/>
          <w:bookmarkStart w:id="2" w:name="_Toc46743505"/>
          <w:r>
            <w:rPr/>
            <w:t>Обозначения и сокращения</w:t>
          </w:r>
          <w:bookmarkEnd w:id="1"/>
          <w:bookmarkEnd w:id="2"/>
        </w:p>
      </w:sdtContent>
    </w:sdt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</w:rPr>
            </w:pPr>
            <w:r>
              <w:rPr>
                <w:sz w:val="26"/>
                <w:szCs w:val="26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</w:rPr>
            </w:pPr>
            <w:r>
              <w:rPr>
                <w:sz w:val="26"/>
                <w:szCs w:val="26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  <w:shd w:fill="auto" w:val="clear"/>
              </w:rPr>
            </w:pPr>
            <w:r>
              <w:rPr>
                <w:sz w:val="26"/>
                <w:szCs w:val="26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  <w:shd w:fill="auto" w:val="clear"/>
              </w:rPr>
            </w:pPr>
            <w:r>
              <w:rPr>
                <w:sz w:val="26"/>
                <w:szCs w:val="26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Транспортный участок</w:t>
            </w:r>
          </w:p>
        </w:tc>
      </w:tr>
    </w:tbl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rPr/>
      </w:pPr>
      <w:bookmarkStart w:id="3" w:name="_Toc54643696"/>
      <w:bookmarkStart w:id="4" w:name="_Toc46743506"/>
      <w:r>
        <w:rPr>
          <w:lang w:val="ru-RU"/>
        </w:rPr>
        <w:t xml:space="preserve">1.2. </w:t>
      </w:r>
      <w:r>
        <w:rPr/>
        <w:t>Наименование закупаемой продукции</w:t>
      </w:r>
      <w:bookmarkEnd w:id="3"/>
      <w:bookmarkEnd w:id="4"/>
    </w:p>
    <w:p>
      <w:pPr>
        <w:pStyle w:val="Heading4"/>
        <w:jc w:val="both"/>
        <w:rPr>
          <w:b w:val="false"/>
          <w:bCs w:val="false"/>
        </w:rPr>
      </w:pPr>
      <w:r>
        <w:rPr>
          <w:b w:val="false"/>
          <w:bCs w:val="false"/>
          <w:sz w:val="26"/>
          <w:szCs w:val="26"/>
          <w:lang w:val="ru-RU"/>
        </w:rPr>
        <w:t xml:space="preserve">ОКПД2: 45.20.21 Услуги по шиномонтажу и шиноремонту грузовых и легковых транспортных средств в населенном пункте Хабаровск для нужд Хабаровского ТУ </w:t>
      </w:r>
      <w:r>
        <w:rPr>
          <w:b w:val="false"/>
          <w:bCs w:val="false"/>
          <w:sz w:val="26"/>
          <w:szCs w:val="26"/>
          <w:lang w:val="ru-RU"/>
        </w:rPr>
        <w:t>и Хабаровского СУ</w:t>
      </w:r>
      <w:r>
        <w:rPr>
          <w:b w:val="false"/>
          <w:bCs w:val="false"/>
          <w:sz w:val="26"/>
          <w:szCs w:val="26"/>
          <w:lang w:val="ru-RU"/>
        </w:rPr>
        <w:t xml:space="preserve">  Дальневосточного филиала АО "ТК РусГидро"</w:t>
      </w:r>
      <w:bookmarkStart w:id="5" w:name="_Toc54643697"/>
      <w:bookmarkStart w:id="6" w:name="_Toc46743507"/>
    </w:p>
    <w:p>
      <w:pPr>
        <w:pStyle w:val="Heading4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1.3. </w:t>
      </w:r>
      <w:r>
        <w:rPr>
          <w:sz w:val="26"/>
          <w:szCs w:val="26"/>
        </w:rPr>
        <w:t xml:space="preserve">Цель </w:t>
      </w:r>
      <w:bookmarkEnd w:id="6"/>
      <w:r>
        <w:rPr>
          <w:sz w:val="26"/>
          <w:szCs w:val="26"/>
        </w:rPr>
        <w:t xml:space="preserve">оказания услуг </w:t>
      </w:r>
      <w:bookmarkEnd w:id="5"/>
    </w:p>
    <w:p>
      <w:pPr>
        <w:pStyle w:val="Normal"/>
        <w:jc w:val="both"/>
        <w:rPr>
          <w:sz w:val="26"/>
          <w:szCs w:val="26"/>
        </w:rPr>
      </w:pPr>
      <w:r>
        <w:rPr>
          <w:color w:val="171717"/>
          <w:sz w:val="26"/>
          <w:szCs w:val="26"/>
          <w:shd w:fill="FFFFFF" w:val="clear"/>
        </w:rPr>
        <w:t xml:space="preserve">Проведение шиномонтажа и шиноремонта с соблюдением «Правил оказания услуг (выполнения работ) по техническому обслуживанию и ремонту автомототранспортных средств» с целью поддержания надлежащего технического состояния транспортных средств. </w:t>
      </w:r>
    </w:p>
    <w:p>
      <w:pPr>
        <w:pStyle w:val="Normal"/>
        <w:ind w:firstLine="567"/>
        <w:jc w:val="both"/>
        <w:rPr>
          <w:b w:val="false"/>
          <w:i w:val="false"/>
          <w:i w:val="false"/>
          <w:sz w:val="26"/>
          <w:szCs w:val="26"/>
          <w:shd w:fill="auto" w:val="clear"/>
          <w:lang w:eastAsia="x-none"/>
        </w:rPr>
      </w:pPr>
      <w:r>
        <w:rPr>
          <w:b w:val="false"/>
          <w:i w:val="false"/>
          <w:sz w:val="26"/>
          <w:szCs w:val="26"/>
          <w:shd w:fill="auto" w:val="clear"/>
          <w:lang w:eastAsia="x-none"/>
        </w:rPr>
      </w:r>
    </w:p>
    <w:p>
      <w:pPr>
        <w:pStyle w:val="Heading1"/>
        <w:rPr>
          <w:rStyle w:val="Style8"/>
          <w:b/>
          <w:i w:val="false"/>
          <w:i w:val="false"/>
          <w:sz w:val="26"/>
          <w:szCs w:val="26"/>
          <w:shd w:fill="auto" w:val="clear"/>
          <w:lang w:val="ru-RU"/>
        </w:rPr>
      </w:pPr>
      <w:bookmarkStart w:id="7" w:name="_Toc54643699"/>
      <w:r>
        <w:rPr/>
        <w:t>Таблица 1. Перечень объектов заказчика</w:t>
      </w:r>
      <w:bookmarkEnd w:id="7"/>
    </w:p>
    <w:tbl>
      <w:tblPr>
        <w:tblW w:w="991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06"/>
        <w:gridCol w:w="2580"/>
        <w:gridCol w:w="2264"/>
        <w:gridCol w:w="2164"/>
        <w:gridCol w:w="2100"/>
      </w:tblGrid>
      <w:tr>
        <w:trPr/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588" w:hRule="atLeast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ОКПД2: 45.20.21 Услуги по шиномонтажу и шиноремонту грузовых и легковых транспортных средств в населенном пункте Хабаровск для нужд Хабаровского ТУ </w:t>
            </w:r>
            <w:r>
              <w:rPr>
                <w:iCs/>
                <w:sz w:val="24"/>
                <w:szCs w:val="24"/>
              </w:rPr>
              <w:t>и Хабаровского СУ</w:t>
            </w:r>
            <w:r>
              <w:rPr>
                <w:iCs/>
                <w:sz w:val="24"/>
                <w:szCs w:val="24"/>
              </w:rPr>
              <w:t xml:space="preserve"> Дальневосточного филиала АО "ТК РусГидро"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Хабаровский край,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г. Хабаровск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321" w:leader="none"/>
              </w:tabs>
              <w:ind w:hanging="0" w:left="37"/>
              <w:jc w:val="center"/>
              <w:rPr/>
            </w:pPr>
            <w:r>
              <w:rPr>
                <w:color w:val="171717" w:themeColor="background2" w:themeShade="1a"/>
                <w:shd w:fill="FFFFFF" w:val="clear"/>
              </w:rPr>
              <w:t xml:space="preserve">ТС Хабаровского ТУ </w:t>
            </w:r>
            <w:r>
              <w:rPr>
                <w:color w:val="171717" w:themeColor="background2" w:themeShade="1a"/>
                <w:shd w:fill="FFFFFF" w:val="clear"/>
              </w:rPr>
              <w:t>и Хабаровского СУ</w:t>
            </w:r>
            <w:r>
              <w:rPr>
                <w:color w:val="171717" w:themeColor="background2" w:themeShade="1a"/>
                <w:shd w:fill="FFFFFF" w:val="clear"/>
              </w:rPr>
              <w:t xml:space="preserve"> (список ТС Таблица 2.1. настоящих ТТ)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21" w:leader="none"/>
              </w:tabs>
              <w:rPr/>
            </w:pPr>
            <w:r>
              <w:rPr/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1"/>
        <w:numPr>
          <w:ilvl w:val="0"/>
          <w:numId w:val="8"/>
        </w:numPr>
        <w:rPr>
          <w:caps/>
          <w:lang w:val="ru-RU"/>
        </w:rPr>
      </w:pPr>
      <w:bookmarkStart w:id="8" w:name="_Toc51339693"/>
      <w:bookmarkStart w:id="9" w:name="_Toc54643702"/>
      <w:r>
        <w:rPr>
          <w:lang w:val="ru-RU"/>
        </w:rPr>
        <w:t>Требования</w:t>
      </w:r>
      <w:r>
        <w:rPr/>
        <w:t xml:space="preserve"> к продукции</w:t>
      </w:r>
      <w:bookmarkEnd w:id="8"/>
      <w:bookmarkEnd w:id="9"/>
    </w:p>
    <w:p>
      <w:pPr>
        <w:pStyle w:val="Heading4"/>
        <w:numPr>
          <w:ilvl w:val="1"/>
          <w:numId w:val="8"/>
        </w:numPr>
        <w:rPr/>
      </w:pPr>
      <w:bookmarkStart w:id="10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0"/>
    </w:p>
    <w:p>
      <w:pPr>
        <w:pStyle w:val="Heading3"/>
        <w:numPr>
          <w:ilvl w:val="2"/>
          <w:numId w:val="8"/>
        </w:numPr>
        <w:rPr/>
      </w:pPr>
      <w:bookmarkStart w:id="11" w:name="_Toc54643704"/>
      <w:r>
        <w:rPr/>
        <w:t>Требования к перечню и объему услуг</w:t>
      </w:r>
      <w:bookmarkEnd w:id="11"/>
    </w:p>
    <w:p>
      <w:pPr>
        <w:pStyle w:val="Heading1"/>
        <w:rPr/>
      </w:pPr>
      <w:bookmarkStart w:id="12" w:name="_Toc54643705"/>
      <w:bookmarkStart w:id="13" w:name="_Toc51339695"/>
      <w:r>
        <w:rPr/>
        <w:t xml:space="preserve">Таблица 2. Перечень </w:t>
      </w:r>
      <w:bookmarkEnd w:id="13"/>
      <w:r>
        <w:rPr/>
        <w:t>и объем оказываемых услуг</w:t>
      </w:r>
      <w:bookmarkEnd w:id="12"/>
    </w:p>
    <w:tbl>
      <w:tblPr>
        <w:tblW w:w="980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238"/>
        <w:gridCol w:w="3582"/>
        <w:gridCol w:w="2124"/>
        <w:gridCol w:w="2860"/>
      </w:tblGrid>
      <w:tr>
        <w:trPr>
          <w:trHeight w:val="652" w:hRule="atLeast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Количество*</w:t>
            </w:r>
          </w:p>
        </w:tc>
      </w:tr>
      <w:tr>
        <w:trPr>
          <w:trHeight w:val="318" w:hRule="atLeast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318" w:hRule="atLeast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ind w:hanging="0" w:left="0"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8"/>
                <w:szCs w:val="28"/>
                <w:u w:val="none"/>
                <w:em w:val="none"/>
                <w:lang w:val="ru-RU" w:eastAsia="ru-RU" w:bidi="ar-SA"/>
              </w:rPr>
              <w:t>Внедорожники, Кроссоверы, Микроавтобусы (</w:t>
            </w: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TOYOTA LAND CRUISER, TOYOTA LAND CRUISER 120, TOYOTA LAND CRUISER 150, TOYOTA HILUX, TOYOTA HIGHLANDER, TOYOTA RAV4, NISSAN PATROL, RENAULT DUSTER, Mitsubishi L200, TOYOTA HIACE, VOLKSWAGEN 7HC CARAVELLE, УАЗ Пикап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8"/>
                <w:szCs w:val="28"/>
                <w:u w:val="none"/>
                <w:em w:val="none"/>
                <w:lang w:val="ru-RU" w:eastAsia="ru-RU" w:bidi="ar-SA"/>
              </w:rPr>
              <w:t>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ед.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19</w:t>
            </w:r>
          </w:p>
        </w:tc>
      </w:tr>
      <w:tr>
        <w:trPr>
          <w:trHeight w:val="318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ind w:hanging="0" w:left="0"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1.1.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Сезонная смена автошин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усл.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38</w:t>
            </w:r>
          </w:p>
        </w:tc>
      </w:tr>
      <w:tr>
        <w:trPr>
          <w:trHeight w:val="318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ind w:hanging="0" w:left="0"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1.2.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Ремонт автошин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усл.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00</w:t>
            </w:r>
          </w:p>
        </w:tc>
      </w:tr>
      <w:tr>
        <w:trPr>
          <w:trHeight w:val="318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ind w:hanging="0" w:left="0"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2.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Легковые ТС (TOYOTA CAMRY, Toyota Corolla)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ед.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9</w:t>
            </w:r>
          </w:p>
        </w:tc>
      </w:tr>
      <w:tr>
        <w:trPr>
          <w:trHeight w:val="318" w:hRule="atLeast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ind w:hanging="0" w:left="0"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2.1.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Сезонная смена автошин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усл.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</w:t>
            </w:r>
          </w:p>
        </w:tc>
      </w:tr>
      <w:tr>
        <w:trPr>
          <w:trHeight w:val="318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ind w:hanging="0" w:left="0"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2.2.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Ремонт автошин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усл.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</w:t>
            </w:r>
            <w:r>
              <w:rPr>
                <w:color w:val="000000"/>
                <w:sz w:val="24"/>
                <w:szCs w:val="24"/>
                <w:shd w:fill="auto" w:val="clear"/>
              </w:rPr>
              <w:t>50</w:t>
            </w:r>
          </w:p>
        </w:tc>
      </w:tr>
      <w:tr>
        <w:trPr>
          <w:trHeight w:val="652" w:hRule="atLeast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ind w:hanging="0" w:left="0"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3.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val="en-US"/>
              </w:rPr>
              <w:t>Автобусы (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ЛИАЗ 525645, DAEWOO BS-106, ПАЗ 320405, ПАЗ 4234</w:t>
            </w:r>
            <w:r>
              <w:rPr>
                <w:color w:val="000000"/>
                <w:sz w:val="24"/>
                <w:szCs w:val="24"/>
                <w:shd w:fill="auto" w:val="clear"/>
                <w:lang w:val="en-US"/>
              </w:rPr>
              <w:t>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ед.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5</w:t>
            </w:r>
          </w:p>
        </w:tc>
      </w:tr>
      <w:tr>
        <w:trPr>
          <w:trHeight w:val="318" w:hRule="atLeast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ind w:hanging="0" w:left="0"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3.1.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Сезонная смена автошин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усл.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10</w:t>
            </w:r>
          </w:p>
        </w:tc>
      </w:tr>
      <w:tr>
        <w:trPr>
          <w:trHeight w:val="318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ind w:hanging="0" w:left="0"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3.2.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Ремонт автошин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усл.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  <w:r>
              <w:rPr>
                <w:color w:val="000000"/>
                <w:sz w:val="24"/>
                <w:szCs w:val="24"/>
                <w:shd w:fill="auto" w:val="clear"/>
              </w:rPr>
              <w:t>2</w:t>
            </w:r>
            <w:r>
              <w:rPr>
                <w:color w:val="000000"/>
                <w:sz w:val="24"/>
                <w:szCs w:val="24"/>
                <w:shd w:fill="auto" w:val="clear"/>
              </w:rPr>
              <w:t>0</w:t>
            </w:r>
          </w:p>
        </w:tc>
      </w:tr>
      <w:tr>
        <w:trPr>
          <w:trHeight w:val="318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ind w:hanging="0" w:left="0"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4.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Грузовые ТС (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МАЗ 650128-584-000, Кран-манипулятор 5908ВН (КАМАЗ 43118), XCMGXZI5290 кран 25т., КАМАЗ 43118(АПТ-35), К3В1А4 437783-10, КАМАЗ К3342,  Полуприцеп WIELTON NS-3, Прицеп СЗАП-8357-02, Самосвал JAC N350, Самосвал НINO 700 658991, Самосвал FAW J6,  погрузчик JCB, ISUZU GIGA, ZOOMLION ZRT400, ZOOMLION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ZRT600, Shacman SХ42584V324, FAW CA 3250, ГАЗ 2705, NEW HOLLAND B115B, TOYOTA 62-8FD30, полуприцеп МАЗ-938660-044, XCMG XCR30_S1, полуприцеп ОДАЗ 9385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)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ед.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48</w:t>
            </w:r>
          </w:p>
        </w:tc>
      </w:tr>
      <w:tr>
        <w:trPr>
          <w:trHeight w:val="318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ind w:hanging="0" w:left="0"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автошин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усл.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</w:t>
            </w:r>
          </w:p>
        </w:tc>
      </w:tr>
    </w:tbl>
    <w:p>
      <w:pPr>
        <w:pStyle w:val="Heading3"/>
        <w:rPr>
          <w:rStyle w:val="Strong"/>
          <w:i/>
          <w:i/>
        </w:rPr>
      </w:pPr>
      <w:r>
        <w:rPr>
          <w:i/>
        </w:rPr>
      </w:r>
    </w:p>
    <w:p>
      <w:pPr>
        <w:pStyle w:val="Heading3"/>
        <w:rPr>
          <w:bCs/>
          <w:i/>
          <w:i/>
        </w:rPr>
      </w:pPr>
      <w:r>
        <w:rPr/>
        <w:t>Таблица 2.1. Список ТС Хабаровского ТУ</w:t>
      </w:r>
      <w:r>
        <w:rPr>
          <w:bCs/>
          <w:i/>
        </w:rPr>
        <w:t xml:space="preserve"> </w:t>
      </w:r>
      <w:r>
        <w:rPr>
          <w:bCs/>
          <w:i w:val="false"/>
          <w:iCs w:val="false"/>
        </w:rPr>
        <w:t>и Хабаровского СУ</w:t>
      </w:r>
    </w:p>
    <w:tbl>
      <w:tblPr>
        <w:tblW w:w="977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5785"/>
        <w:gridCol w:w="2863"/>
      </w:tblGrid>
      <w:tr>
        <w:trPr>
          <w:trHeight w:val="307" w:hRule="atLeast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2F2F2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5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DEDED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Марка автомобиля</w:t>
            </w:r>
          </w:p>
        </w:tc>
        <w:tc>
          <w:tcPr>
            <w:tcW w:w="2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2F2F2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Гос. номер</w:t>
            </w:r>
          </w:p>
        </w:tc>
      </w:tr>
      <w:tr>
        <w:trPr>
          <w:trHeight w:val="322" w:hRule="atLeast"/>
        </w:trPr>
        <w:tc>
          <w:tcPr>
            <w:tcW w:w="1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5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46" w:hRule="atLeast"/>
        </w:trPr>
        <w:tc>
          <w:tcPr>
            <w:tcW w:w="1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5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Corolla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Х 053 ТА 750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RAV4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М 460 МА 05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TOYOTA LAND CRUISER 120 (PRADO) 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М 812 РТ 27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ОДАЗ 9385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 АВ 1522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НINO 700 658991 Е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 620 АК 49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JAC N350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 630 КР 19</w:t>
            </w:r>
          </w:p>
        </w:tc>
      </w:tr>
      <w:tr>
        <w:trPr>
          <w:trHeight w:val="523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Shacman SХ42584V324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 847 НК 27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ЧДМ 943856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 АМ 1374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K3B1A4-4377B3-10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Т 946 ХТ 27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КАМАЗ 43118 (АПТ-35)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 678 МЕ 19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JCB, 3CXS14M2NM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27 ХА 4047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ТСМ (FG25C3)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27 ХР 4188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REDSTAR T28/28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27 ХА 4915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XCMG XCR30_S1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27 ХЕ 0162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NEW HOLLAND B115B 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 ХА 5690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JAC N350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 027 КР 19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МАЗ 650128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 590 ТО 27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JAC N350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 183 КР 19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FAW CA 3250 W0K00 бортовой с КМУ (681602)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 499 НА 27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RED MACHINE (ПСС-131.22Э)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 597 УЕ 27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FAW с КМУ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 529 МУ 19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FAW с КМУ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 613 МУ 19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FAW CA 3250 W0K00 бортовой с КМУ (3416B1)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 781 МХ 27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FAW CA 3250 W0K00 бортовой с КМУ (3416B1)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 149 РХ 27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XCMGXZJ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 161 КР 19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МАЗ 650128-584-000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В 464 ЕС 41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FAW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Е 377 МЕ 19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НINO 700 658991 Е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 470 АК 49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JAC N350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 036 КР 19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НINO 700 658991 Е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 556 АК 49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ZOOMLION ZRT400 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27 ХА 6984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ZOOMLION ZRT600 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27 ХА 6982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XCMG XCT25L4_S/25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 697 УН 27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НINO 700 658991 Е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 484 АК 49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Wielton NS-3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 ЕВ 7606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ГАЗ 2705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 532 ЕХ 163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НINO 700 658991 Е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 618 АК 49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ISUZU GIGA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 737 ЕК 27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ISUZU GIGA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Т 252 АУ 27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40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UAZ Pikup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Е 869 СО 28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JAC N350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 035 КР 19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JAC N350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 691 КР 19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FAW J6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 713 ТН 27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FAW J6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 774 ТН27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НINO 700 658991 Е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 709 АК 49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НINO 700 658991 Е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 647 АК 49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НINO 700 658991 Е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 679 АК 49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НINO 700 658991 Е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 642 АК 49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КАМАЗ К3342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 349 КО 19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МАЗ-938660-044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 АЕ 1828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62-8FD30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 РХ 8218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MAN LION'S INTERSITY R60 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 376 АК 49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ПАЗ 320405-04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 118 РН 125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Mitsubishi L200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Х 322 ХО 750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TOYOTA LAND CRUISER 150 (PRADO) 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 151 ЕА 152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Camry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 605 НР 750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Camry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 461 МВ 750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Camry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В 384 ТС 799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Land Cruiser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М 222 МК 163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Camry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Е 111 ОХ 82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Volkswagen 7HC Caravelle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 881 ЕВ 27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Toyota Hilux 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 413 КО 27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Toyota Highlander 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 228 ХЕ 163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TOYOTA LAND CRUISER 150 (PRADO) 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В 586 АВ 763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Camry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 601 НР 750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Camry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 028 ЕН 790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Camry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Е 770 РР 777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Camry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 607 НР 750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СЗАП-8357-02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27 УУ 0187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ЛиАЗ 525653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 299 ТТ 28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Daewoo BS-106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 077 KX 28 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LAND CRUISER 150(PRADO)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Е 820 КH 28 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LAND CRUISER 150(PRADO)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 525 АУ 50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NISSAN PATROL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Х 364 ТР 59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ПАЗ 4234-04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Х 138 ХО 750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Land Cruiser 200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М 580 НХ 197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Hiace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А 672 МА 750 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RENAULT DUSTER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Х 572 РЕ 799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RENAULT DUSTER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Е 581 ЕК 763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HIACE TRH223L-LEMNKX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ind w:hanging="0" w:left="0" w:right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 520 ХТ 27</w:t>
            </w:r>
          </w:p>
        </w:tc>
      </w:tr>
      <w:tr>
        <w:trPr>
          <w:trHeight w:val="30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TOYOTA LAND CRUISER 150(PRADO)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Е 428 ТО 28 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8"/>
        </w:numPr>
        <w:rPr/>
      </w:pPr>
      <w:r>
        <w:rPr/>
        <w:t>Требования к срокам оказания услуг</w:t>
      </w:r>
    </w:p>
    <w:p>
      <w:pPr>
        <w:pStyle w:val="Heading1"/>
        <w:rPr>
          <w:lang w:val="ru-RU"/>
        </w:rPr>
      </w:pPr>
      <w:bookmarkStart w:id="14" w:name="_Toc54643707"/>
      <w:bookmarkStart w:id="15" w:name="_Toc51339697"/>
      <w:bookmarkStart w:id="16" w:name="_Toc50125127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17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15"/>
      <w:bookmarkEnd w:id="16"/>
      <w:bookmarkEnd w:id="17"/>
      <w:r>
        <w:rPr>
          <w:lang w:val="ru-RU"/>
        </w:rPr>
        <w:t>оказания услуг</w:t>
      </w:r>
      <w:bookmarkEnd w:id="14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0"/>
        <w:gridCol w:w="2996"/>
        <w:gridCol w:w="2977"/>
        <w:gridCol w:w="2834"/>
      </w:tblGrid>
      <w:tr>
        <w:trPr/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ОКПД2: 45.20.21 Услуги по шиномонтажу и шиноремонту грузовых и легковых транспортных средств в населенном пункте Хабаровск для нужд Хабаровского ТУ </w:t>
            </w:r>
            <w:r>
              <w:rPr>
                <w:sz w:val="24"/>
                <w:szCs w:val="24"/>
              </w:rPr>
              <w:t>и Хабаровского СУ</w:t>
            </w:r>
            <w:r>
              <w:rPr>
                <w:sz w:val="24"/>
                <w:szCs w:val="24"/>
              </w:rPr>
              <w:t xml:space="preserve">  Дальневосточного филиала АО "ТК РусГидро"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hanging="0" w:left="0"/>
              <w:jc w:val="both"/>
              <w:rPr/>
            </w:pPr>
            <w:r>
              <w:rPr>
                <w:bCs/>
                <w:sz w:val="24"/>
                <w:szCs w:val="24"/>
              </w:rPr>
              <w:t>c даты заключения договора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737" w:footer="0" w:bottom="1276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8"/>
        </w:numPr>
        <w:rPr/>
      </w:pPr>
      <w:r>
        <w:rPr/>
        <w:t xml:space="preserve">Требования к </w:t>
      </w:r>
      <w:r>
        <w:rPr>
          <w:lang w:val="ru-RU"/>
        </w:rPr>
        <w:t>качеству услуг</w:t>
      </w:r>
    </w:p>
    <w:p>
      <w:pPr>
        <w:pStyle w:val="Heading1"/>
        <w:rPr/>
      </w:pPr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r>
        <w:rPr>
          <w:lang w:val="ru-RU"/>
        </w:rPr>
        <w:t>качеству услуг</w:t>
      </w: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9"/>
          <w:tab w:val="left" w:pos="6946" w:leader="none"/>
        </w:tabs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Наименование услуг/этапа услуг:</w:t>
      </w:r>
      <w:r>
        <w:rPr>
          <w:sz w:val="26"/>
          <w:szCs w:val="26"/>
        </w:rPr>
        <w:t xml:space="preserve"> ОКПД2: 45.20.21 Услуги по шиномонтажу и шиноремонту грузовых и легковых транспортных средств в населенном пункте Хабаровск для нужд Хабаровского ТУ </w:t>
      </w:r>
      <w:r>
        <w:rPr>
          <w:sz w:val="26"/>
          <w:szCs w:val="26"/>
        </w:rPr>
        <w:t>и Хабаровского СУ</w:t>
      </w:r>
      <w:r>
        <w:rPr>
          <w:sz w:val="26"/>
          <w:szCs w:val="26"/>
        </w:rPr>
        <w:t xml:space="preserve">  Дальневосточного филиала АО "ТК РусГидро"</w:t>
      </w:r>
    </w:p>
    <w:p>
      <w:pPr>
        <w:pStyle w:val="Normal"/>
        <w:tabs>
          <w:tab w:val="clear" w:pos="709"/>
          <w:tab w:val="left" w:pos="694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694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f"/>
        <w:tblW w:w="1462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1"/>
        <w:gridCol w:w="3543"/>
        <w:gridCol w:w="10075"/>
        <w:gridCol w:w="14"/>
      </w:tblGrid>
      <w:tr>
        <w:trPr>
          <w:trHeight w:val="551" w:hRule="atLeast"/>
        </w:trPr>
        <w:tc>
          <w:tcPr>
            <w:tcW w:w="99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54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007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26" w:hRule="atLeast"/>
        </w:trPr>
        <w:tc>
          <w:tcPr>
            <w:tcW w:w="9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5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007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bookmarkStart w:id="18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18"/>
          </w:p>
        </w:tc>
        <w:tc>
          <w:tcPr>
            <w:tcW w:w="35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00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3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hanging="0" w:left="-10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13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hanging="0" w:left="-10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1.1.1.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Основание для оказания услуг</w:t>
            </w:r>
          </w:p>
        </w:tc>
        <w:tc>
          <w:tcPr>
            <w:tcW w:w="100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обязуется оказывать Заказчику услуги по шиномонтажу и шиноремонту транспортных средств Заказчика на основании заявок Заказчика.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hanging="0" w:left="-10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1.1.2.</w:t>
            </w:r>
          </w:p>
        </w:tc>
        <w:tc>
          <w:tcPr>
            <w:tcW w:w="3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Использование собственных расходных материалов и запчастей Исполнителя.</w:t>
            </w:r>
          </w:p>
        </w:tc>
        <w:tc>
          <w:tcPr>
            <w:tcW w:w="100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собственных материалов и запчастей Исполнителя при оказании услуги.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841" w:hRule="atLeast"/>
        </w:trPr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1.1.3.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Возможность выбора запасных частей и расходных материалов.</w:t>
            </w:r>
          </w:p>
        </w:tc>
        <w:tc>
          <w:tcPr>
            <w:tcW w:w="100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Предоставить возможность выбора запасных частей и расходных материалов у различных официальных источников.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-10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1.1.4.</w:t>
            </w:r>
          </w:p>
        </w:tc>
        <w:tc>
          <w:tcPr>
            <w:tcW w:w="3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Осуществление контроля.</w:t>
            </w:r>
          </w:p>
        </w:tc>
        <w:tc>
          <w:tcPr>
            <w:tcW w:w="1008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Осуществлять допуск Заказчика к проведению контроля за выполняемыми работами при оказании услуги по ремонту ТС.</w:t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-104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13632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-104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1.2.1.</w:t>
            </w:r>
          </w:p>
        </w:tc>
        <w:tc>
          <w:tcPr>
            <w:tcW w:w="13632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Шиномонтаж и шиноремонт транспортных средств должен проводиться с соблюдением «Правил оказания услуг (выполнения работ) по техническому обслуживанию и ремонту автомототранспортных средств», утвержденных Постановлением Правительства РФ от 11.04.2001 № 290, инструкций по эксплуатации транспортных средств, государственных стандартов к техническому состоянию транспортных средств, с целью поддержания надлежащего технического состояния транспортных средств.</w:t>
            </w:r>
          </w:p>
        </w:tc>
      </w:tr>
      <w:tr>
        <w:trPr>
          <w:trHeight w:val="241" w:hRule="atLeast"/>
        </w:trPr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13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1.3.1.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характеристикам устанавливаемых деталей, узлов, механизмов, материалам, маслам и специальных жидкостей</w:t>
            </w:r>
          </w:p>
        </w:tc>
        <w:tc>
          <w:tcPr>
            <w:tcW w:w="10089" w:type="dxa"/>
            <w:gridSpan w:val="2"/>
            <w:tcBorders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Устанавливаемые и используемые на ТС детали, узлы, механизмы, материалы, приборы, должны быть новыми, не бывшим в употреблении, не восстановленными, не содержать восстановленных элементов, не должны иметь дефектов, связанных с конструкцией, материалами или работой по их изготовлению. Должны соответствовать рекомендациям, изложенным в руководстве по эксплуатации, выданным заводом-изготовителем, для данной марки автомобиля.</w:t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1.4</w:t>
            </w:r>
          </w:p>
        </w:tc>
        <w:tc>
          <w:tcPr>
            <w:tcW w:w="136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1.4.1</w:t>
            </w:r>
          </w:p>
        </w:tc>
        <w:tc>
          <w:tcPr>
            <w:tcW w:w="13632" w:type="dxa"/>
            <w:gridSpan w:val="3"/>
            <w:tcBorders>
              <w:bottom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Проведение шиномонтажа и шиномонтажных работ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должно выполняться квалифицированным персоналом.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hanging="38" w:left="38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3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03" w:hRule="atLeast"/>
        </w:trPr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hanging="0" w:left="38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13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28" w:hRule="atLeast"/>
        </w:trPr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2.1.1</w:t>
            </w:r>
          </w:p>
        </w:tc>
        <w:tc>
          <w:tcPr>
            <w:tcW w:w="13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567" w:leader="none"/>
              </w:tabs>
              <w:suppressAutoHyphens w:val="true"/>
              <w:spacing w:before="0" w:after="0"/>
              <w:contextualSpacing/>
              <w:jc w:val="left"/>
              <w:rPr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После выполнения работ ТС должно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№1090 «О правилах дорожного движения»).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34" w:hRule="atLeast"/>
        </w:trPr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2.2.</w:t>
            </w:r>
          </w:p>
        </w:tc>
        <w:tc>
          <w:tcPr>
            <w:tcW w:w="13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31" w:hRule="atLeast"/>
        </w:trPr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2.2.1</w:t>
            </w:r>
          </w:p>
        </w:tc>
        <w:tc>
          <w:tcPr>
            <w:tcW w:w="13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32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ТС прошедшие ШМ и ШР должно отвечать требованиям Технического регламента Таможенного союза ТР ТС 018/2011 «О безопасности колесных транспортных средств» Утвержденного Решением Комиссии Таможенного союза от 09.12.2011г №877.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2.3.</w:t>
            </w:r>
          </w:p>
        </w:tc>
        <w:tc>
          <w:tcPr>
            <w:tcW w:w="13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2.3.1.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Осмотр транспортного средства после оказании услуги.</w:t>
            </w:r>
          </w:p>
        </w:tc>
        <w:tc>
          <w:tcPr>
            <w:tcW w:w="1007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После оказания услуг Заказчик проводит визуальный осмотр транспортного средства на предмет соответствия оказанных услуг требованиям Заказчика.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2.4.</w:t>
            </w:r>
          </w:p>
        </w:tc>
        <w:tc>
          <w:tcPr>
            <w:tcW w:w="13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2.4.1.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Акт сдачи приемки оказанных услуг</w:t>
            </w:r>
          </w:p>
        </w:tc>
        <w:tc>
          <w:tcPr>
            <w:tcW w:w="100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акт сдачи-приемки оказанных услуг в двух экземплярах.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2.4.2.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 на оплату</w:t>
            </w:r>
          </w:p>
        </w:tc>
        <w:tc>
          <w:tcPr>
            <w:tcW w:w="100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счет на оплату после оказания услуги.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81" w:hRule="atLeast"/>
        </w:trPr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8" w:leader="none"/>
              </w:tabs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2.4.3.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Счет-фактура (если контрагент является плательщиком НДС)</w:t>
            </w:r>
          </w:p>
        </w:tc>
        <w:tc>
          <w:tcPr>
            <w:tcW w:w="100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счет-фактуру (если Исполнитель является плательщиком НДС)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13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3.1.</w:t>
            </w:r>
          </w:p>
        </w:tc>
        <w:tc>
          <w:tcPr>
            <w:tcW w:w="136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ru-RU" w:bidi="ar-SA"/>
              </w:rPr>
              <w:t>Исполнитель обязан предоставить гарантии на оказанные Услуги не менее 3 (трех) месяцев или 10 000 км пробега (в зависимости, что наступит раньше). Гарантийный срок на замененные в процессе обслуживания или ремонта детали и механизмы должен составлять не менее установленного заводом-изготовителем, при условии эксплуатации ТС согласно руководству по эксплуатации.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ind w:hanging="0" w:left="567"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ind w:hanging="0" w:left="567"/>
        <w:jc w:val="center"/>
        <w:rPr>
          <w:b/>
          <w:lang w:val="ru-RU"/>
        </w:rPr>
      </w:pPr>
      <w:r>
        <w:rPr>
          <w:lang w:val="ru-RU"/>
        </w:rPr>
      </w:r>
    </w:p>
    <w:sectPr>
      <w:headerReference w:type="default" r:id="rId5"/>
      <w:headerReference w:type="first" r:id="rId6"/>
      <w:type w:val="nextPage"/>
      <w:pgSz w:orient="landscape" w:w="16838" w:h="11906"/>
      <w:pgMar w:left="1276" w:right="992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171717" w:themeColor="background2" w:themeShade="1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77b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/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2071b"/>
    <w:pPr>
      <w:keepNext w:val="true"/>
      <w:outlineLvl w:val="2"/>
    </w:pPr>
    <w:rPr>
      <w:rFonts w:eastAsia="Calibri"/>
      <w:b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2071b"/>
    <w:rPr>
      <w:rFonts w:eastAsia="Calibri"/>
      <w:b/>
      <w:sz w:val="28"/>
      <w:szCs w:val="28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1511a2"/>
    <w:rPr>
      <w:color w:val="954F72" w:themeColor="followedHyperlink"/>
      <w:u w:val="single"/>
    </w:rPr>
  </w:style>
  <w:style w:type="character" w:styleId="Style14">
    <w:name w:val="Ссылка указателя"/>
    <w:qFormat/>
    <w:rPr/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lineRule="auto" w:line="240"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38154b"/>
    <w:pPr>
      <w:tabs>
        <w:tab w:val="clear" w:pos="709"/>
        <w:tab w:val="left" w:pos="1120" w:leader="none"/>
        <w:tab w:val="right" w:pos="9911" w:leader="dot"/>
      </w:tabs>
      <w:ind w:hanging="0" w:left="567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d64da"/>
    <w:pPr>
      <w:tabs>
        <w:tab w:val="clear" w:pos="709"/>
        <w:tab w:val="left" w:pos="1120" w:leader="none"/>
        <w:tab w:val="right" w:pos="9921" w:leader="none"/>
      </w:tabs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709"/>
        <w:tab w:val="left" w:pos="567" w:leader="none"/>
      </w:tabs>
      <w:suppressAutoHyphens w:val="true"/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123">
    <w:name w:val="Нумерованный 123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0525B-8BBC-4F22-B648-70243DBD2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Application>AlterOffice/2026.2.0.0$Linux_X86_64 LibreOffice_project/bc4ef1adf80b36c7a6365f8ed6cbf29021361edd</Application>
  <AppVersion>15.0000</AppVersion>
  <Pages>10</Pages>
  <Words>1688</Words>
  <Characters>8976</Characters>
  <CharactersWithSpaces>10379</CharactersWithSpaces>
  <Paragraphs>435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2023-10-17T02:11:00Z</dcterms:created>
  <dc:creator>Быстров Олег Геннадьевич</dc:creator>
  <dc:description/>
  <dc:language>ru-RU</dc:language>
  <cp:lastModifiedBy>kusovsa@corp.gidroogk.com</cp:lastModifiedBy>
  <cp:lastPrinted>2024-05-27T17:39:42Z</cp:lastPrinted>
  <dcterms:modified xsi:type="dcterms:W3CDTF">2026-09-13T10:42:39Z</dcterms:modified>
  <cp:revision>46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