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0" w:after="0"/>
        <w:contextualSpacing/>
        <w:jc w:val="center"/>
        <w:rPr>
          <w:rFonts w:ascii="Arial" w:hAnsi="Arial" w:eastAsia="Times New Roman" w:cs="Arial"/>
          <w:color w:val="000000"/>
          <w:sz w:val="10"/>
          <w:szCs w:val="10"/>
        </w:rPr>
      </w:pPr>
      <w:r>
        <w:rPr>
          <w:rFonts w:eastAsia="Times New Roman" w:cs="Arial" w:ascii="Arial" w:hAnsi="Arial"/>
          <w:color w:val="000000"/>
          <w:sz w:val="10"/>
          <w:szCs w:val="10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0"/>
        <w:rPr>
          <w:rFonts w:ascii="Arial" w:hAnsi="Arial" w:eastAsia="Times New Roman" w:cs="Arial"/>
          <w:bCs/>
          <w:sz w:val="30"/>
          <w:szCs w:val="30"/>
        </w:rPr>
      </w:pPr>
      <w:r>
        <w:rPr>
          <w:rFonts w:eastAsia="Times New Roman" w:cs="Arial" w:ascii="Arial" w:hAnsi="Arial"/>
          <w:bCs/>
          <w:sz w:val="30"/>
          <w:szCs w:val="30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2361565" cy="539750"/>
            <wp:effectExtent l="0" t="0" r="0" b="0"/>
            <wp:wrapThrough wrapText="bothSides">
              <wp:wrapPolygon edited="0">
                <wp:start x="-44" y="0"/>
                <wp:lineTo x="-44" y="20400"/>
                <wp:lineTo x="21390" y="20400"/>
                <wp:lineTo x="21390" y="0"/>
                <wp:lineTo x="-44" y="0"/>
              </wp:wrapPolygon>
            </wp:wrapThrough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tbl>
      <w:tblPr>
        <w:tblStyle w:val="a5"/>
        <w:tblW w:w="102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5"/>
      </w:tblGrid>
      <w:tr>
        <w:trPr>
          <w:trHeight w:val="709" w:hRule="atLeast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120" w:after="0"/>
              <w:ind w:hanging="0" w:left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ru-RU" w:bidi="ar-SA"/>
              </w:rPr>
              <w:t>Акционерное общество «Дальневосточная распределительная сетевая компания»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  <w:r>
              <w:rPr>
                <w:rFonts w:cs="Arial" w:ascii="Arial" w:hAnsi="Arial"/>
                <w:bCs/>
                <w:sz w:val="6"/>
                <w:szCs w:val="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bidi="ar-SA"/>
              </w:rPr>
              <w:t>ФИЛИАЛ «ЭЛЕКТРИЧЕСКИЕ СЕТИ ЕВРЕЙСКОЙ АВТОНОМНОЙ ОБЛАСТИ»</w:t>
            </w:r>
          </w:p>
        </w:tc>
      </w:tr>
      <w:tr>
        <w:trPr>
          <w:trHeight w:val="227" w:hRule="atLeast"/>
        </w:trPr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5"/>
              <w:tblW w:w="998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9989"/>
            </w:tblGrid>
            <w:tr>
              <w:trPr>
                <w:trHeight w:val="227" w:hRule="atLeast"/>
              </w:trPr>
              <w:tc>
                <w:tcPr>
                  <w:tcW w:w="99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12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>ул. Черноморская, д. 6, г. Биробиджан, Еврейская автономная область, Российская Федерация, 679011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99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center"/>
                    <w:rPr>
                      <w:rStyle w:val="Hyperlink"/>
                      <w:rFonts w:ascii="Arial" w:hAnsi="Arial" w:eastAsia="Times New Roman" w:cs="Arial"/>
                      <w:sz w:val="18"/>
                      <w:szCs w:val="18"/>
                    </w:rPr>
                  </w:pP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doc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>@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eao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drsk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ru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 xml:space="preserve">;  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http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>://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www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drsk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ru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spacing w:before="120" w:after="0"/>
        <w:ind w:firstLine="709"/>
        <w:rPr/>
      </w:pPr>
      <w:r>
        <w:rPr/>
      </w:r>
    </w:p>
    <w:p>
      <w:pPr>
        <w:pStyle w:val="Normal"/>
        <w:spacing w:before="120" w:after="0"/>
        <w:ind w:firstLine="709"/>
        <w:rPr>
          <w:b/>
          <w:i/>
          <w:i/>
        </w:rPr>
      </w:pPr>
      <w:r>
        <w:rPr>
          <w:b/>
          <w:i/>
        </w:rPr>
      </w:r>
    </w:p>
    <w:p>
      <w:pPr>
        <w:pStyle w:val="Normal"/>
        <w:ind w:firstLine="720" w:left="-180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>ТЕХНИЧЕСКИЕ ТРЕБОВАНИЯ</w:t>
      </w:r>
    </w:p>
    <w:p>
      <w:pPr>
        <w:pStyle w:val="ListParagraph"/>
        <w:widowControl w:val="false"/>
        <w:ind w:hanging="0" w:left="0"/>
        <w:jc w:val="center"/>
        <w:rPr/>
      </w:pPr>
      <w:r>
        <w:rPr>
          <w:b/>
          <w:i/>
          <w:iCs/>
          <w:sz w:val="28"/>
          <w:szCs w:val="28"/>
        </w:rPr>
        <w:t>ОКПД2 86.10.19.000. Услуг</w:t>
      </w:r>
      <w:r>
        <w:rPr>
          <w:b/>
          <w:i/>
          <w:iCs/>
          <w:sz w:val="28"/>
          <w:szCs w:val="28"/>
        </w:rPr>
        <w:t>и</w:t>
      </w:r>
      <w:r>
        <w:rPr>
          <w:b/>
          <w:i/>
          <w:iCs/>
          <w:sz w:val="28"/>
          <w:szCs w:val="28"/>
        </w:rPr>
        <w:t xml:space="preserve"> по проведению предрейсового/послерейсового</w:t>
      </w:r>
    </w:p>
    <w:p>
      <w:pPr>
        <w:pStyle w:val="ListParagraph"/>
        <w:widowControl w:val="false"/>
        <w:ind w:hanging="0" w:left="0"/>
        <w:jc w:val="center"/>
        <w:rPr/>
      </w:pPr>
      <w:r>
        <w:rPr>
          <w:b/>
          <w:i/>
          <w:iCs/>
          <w:sz w:val="28"/>
          <w:szCs w:val="28"/>
        </w:rPr>
        <w:t>медицинского осмотра (г. Биробиджан) для нужд</w:t>
      </w:r>
    </w:p>
    <w:p>
      <w:pPr>
        <w:pStyle w:val="ListParagraph"/>
        <w:widowControl w:val="false"/>
        <w:ind w:hanging="0" w:left="0"/>
        <w:jc w:val="center"/>
        <w:rPr/>
      </w:pPr>
      <w:r>
        <w:rPr>
          <w:b/>
          <w:i/>
          <w:iCs/>
          <w:sz w:val="28"/>
          <w:szCs w:val="28"/>
        </w:rPr>
        <w:t>филиала АО «ДРСК» «ЭС ЕАО»</w:t>
      </w:r>
    </w:p>
    <w:p>
      <w:pPr>
        <w:pStyle w:val="Style13"/>
        <w:tabs>
          <w:tab w:val="clear" w:pos="1985"/>
        </w:tabs>
        <w:spacing w:lineRule="auto" w:line="240"/>
        <w:ind w:hanging="0" w:left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993" w:leader="none"/>
        </w:tabs>
        <w:ind w:firstLine="709" w:left="0" w:right="-2"/>
        <w:rPr>
          <w:sz w:val="26"/>
          <w:szCs w:val="26"/>
        </w:rPr>
      </w:pPr>
      <w:r>
        <w:rPr>
          <w:b/>
          <w:sz w:val="26"/>
          <w:szCs w:val="26"/>
        </w:rPr>
        <w:t>Основание для проведения услуг предрейсового/послерейсового медицинского осмотра работников: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1134" w:leader="none"/>
        </w:tabs>
        <w:ind w:firstLine="709" w:left="0"/>
        <w:rPr>
          <w:sz w:val="26"/>
          <w:szCs w:val="26"/>
        </w:rPr>
      </w:pPr>
      <w:r>
        <w:rPr>
          <w:b/>
          <w:sz w:val="26"/>
          <w:szCs w:val="26"/>
        </w:rPr>
        <w:t>Цель проведения: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Предрейсовый и послерейсовый медицинский осмотр водительского состава.</w:t>
      </w:r>
    </w:p>
    <w:p>
      <w:pPr>
        <w:pStyle w:val="ListParagraph"/>
        <w:widowControl/>
        <w:tabs>
          <w:tab w:val="clear" w:pos="709"/>
          <w:tab w:val="left" w:pos="993" w:leader="none"/>
        </w:tabs>
        <w:bidi w:val="0"/>
        <w:spacing w:lineRule="auto" w:line="240" w:before="0" w:after="0"/>
        <w:ind w:hanging="0" w:left="737" w:right="0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2. Работы проводятся в соответствии с: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  <w:t>- Приказом Минтранса РФ от 28.09.2022 г. № 390 «Об утверждении состава сведений, указанных в части 3 статьи 6 Федерального закона</w:t>
      </w:r>
      <w:r>
        <w:rPr>
          <w:sz w:val="26"/>
          <w:szCs w:val="26"/>
          <w:shd w:fill="FFFFFF" w:val="clear"/>
        </w:rPr>
        <w:t xml:space="preserve"> от 8 ноября 2007 Г. N 259-ФЗ "Устав автомобильного транспорта и городского наземного электрического транспорта» и порядка оформления или формирования путевого листа», 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Федеральным законом от 10.12.1995г. № 196-ФЗ «О безопасности дорожного движения», 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  <w:t>- Письмом Министерства здравоохранения Российской Федерации от 21 августа 2003г. № 2510/9468-03-32 «О предрейсовых медицинских осмотрах водителей транспортных средств», и методическими рекомендациями «Медицинское обеспечение безопасности дорожного движения. Организация и порядок проведения предрейсовых медицинских осмотров водителей транспортных средств», утверждёнными Минздравом РФ и Минтрансом РФ 29 января 2002;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  <w:t>- Приказом Минздрава СССР от 29.09.1989 N 555 (ред. от 12.04.2011) "О совершенствовании системы медицинских осмотров трудящихся и водителей индивидуальных транспортных средств».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  <w:t>- Приказом от 30 мая 2023 г. N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исследований».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color="auto" w:fill="FFFFFF"/>
        <w:ind w:firstLine="708"/>
        <w:rPr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3</w:t>
      </w:r>
      <w:r>
        <w:rPr>
          <w:b/>
          <w:i/>
          <w:color w:val="000000"/>
          <w:spacing w:val="-1"/>
          <w:sz w:val="26"/>
          <w:szCs w:val="26"/>
        </w:rPr>
        <w:t xml:space="preserve">. </w:t>
      </w:r>
      <w:r>
        <w:rPr>
          <w:b/>
          <w:color w:val="000000"/>
          <w:spacing w:val="-1"/>
          <w:sz w:val="26"/>
          <w:szCs w:val="26"/>
        </w:rPr>
        <w:t>Требования к выполнению работ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3.1. Исполнитель обязуется: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  <w:t>3.1.1.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Оказать медицинские услуги надлежащего качества в объеме согласно техническому заданию. 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  <w:t>3.1.2. При проведении предрейсового и послерейсового медицинского осмотра проводятся следующие мероприятия: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  <w:t>-  сбор анамнеза;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  <w:t>-  измерение температуры тела (по показаниям);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  <w:t>-  определение артериального давления и пульса;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  <w:t>- определение наличия алкоголя и других психотропных веществ в выдыхаемом воздухе или биологических субстратов одним из официально признанных методов, а при наличии показаний другие разрешенные медицинские исследования, необходимые для решения вопроса о допуске к работе.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- после осмотра на путевом листке ставится штамп – «Прошел предрейсовый медицинский осмотр, к исполнению трудовых обязанностей допущен» и подпись медицинского работника. При утрате трудоспособности медицинский работник дает водителю направление на прием к врачу (Приложение № 9 к приказу Министерства здравоохранения от 29.09.1989 №555 «Инструкция о проведении медицинских осмотров водителей автотранспортных средств»), </w:t>
      </w:r>
      <w:r>
        <w:rPr>
          <w:color w:val="000000"/>
          <w:spacing w:val="-1"/>
          <w:sz w:val="26"/>
          <w:szCs w:val="26"/>
        </w:rPr>
        <w:t>Статья 220 Трудового Кодекса РФ» Медицинские осмотры некоторых категорий работников».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3.1.3. Для   водителей, больных   гипертонической    болезнью, определяется   индивидуальная   норма артериального давления по результатам замеров не менее чем десяти осмотров.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  <w:t>3.1.4. Ведение журнала регистрации прохождения предрейсовых и послерейсовых медицинских осмотров в соответствии с утвержденной формой.</w:t>
      </w:r>
    </w:p>
    <w:p>
      <w:pPr>
        <w:pStyle w:val="Normal"/>
        <w:ind w:firstLine="708"/>
        <w:rPr>
          <w:sz w:val="26"/>
          <w:szCs w:val="26"/>
        </w:rPr>
      </w:pPr>
      <w:r>
        <w:rPr>
          <w:sz w:val="26"/>
          <w:szCs w:val="26"/>
        </w:rPr>
        <w:t>3.1.5. При решении вопроса о возможности допуска водителя к управлению    автомобилем    медицинский    работник, проводящий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3.1.6.</w:t>
        <w:tab/>
        <w:t>Водители   не допускаются к управлению автомобилем в следующих случаях: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- при выявлении признаков временной нетрудоспособности;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- при выявлении признаков воздействия наркотических веществ;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3.1.7.</w:t>
        <w:tab/>
        <w:t>В случае установления признаков профессионального заболевания у работника при прохождении им предрейсового осмотра направить его в установленном порядке в центр профпатологии.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3.1.8. Обеспечить методическое руководство и контроль за деятельностью медицинских работников, осуществляющих предрейсовые и послерейсовые медосмотры.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3.1.9. Ежемесячно предоставлять информацию о количестве проведенных предрейсовых и послерейсовых медосмотров.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3.1.10. Количество работников, подлежащих медицинскому осмотру: </w:t>
      </w:r>
      <w:r>
        <w:rPr>
          <w:b/>
          <w:sz w:val="26"/>
          <w:szCs w:val="26"/>
          <w:shd w:fill="auto" w:val="clear"/>
        </w:rPr>
        <w:t>75</w:t>
      </w:r>
      <w:r>
        <w:rPr>
          <w:b/>
          <w:color w:val="FF0000"/>
          <w:sz w:val="26"/>
          <w:szCs w:val="26"/>
          <w:shd w:fill="auto" w:val="clear"/>
        </w:rPr>
        <w:t xml:space="preserve"> </w:t>
      </w:r>
      <w:r>
        <w:rPr>
          <w:b/>
          <w:sz w:val="26"/>
          <w:szCs w:val="26"/>
          <w:shd w:fill="auto" w:val="clear"/>
        </w:rPr>
        <w:t>человек.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20"/>
        <w:rPr>
          <w:sz w:val="26"/>
          <w:szCs w:val="26"/>
        </w:rPr>
      </w:pPr>
      <w:r>
        <w:rPr>
          <w:b/>
          <w:sz w:val="26"/>
          <w:szCs w:val="26"/>
        </w:rPr>
        <w:t>4</w:t>
      </w:r>
      <w:r>
        <w:rPr>
          <w:b/>
          <w:i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Требования к Участнику (Исполнителю)</w:t>
      </w:r>
      <w:r>
        <w:rPr>
          <w:sz w:val="26"/>
          <w:szCs w:val="26"/>
        </w:rPr>
        <w:t xml:space="preserve">: 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4.1. Участник (исполнитель) должен иметь лицензию на право осуществления медицинской деятельности по проведению предрейсовых и послерейсовых медицинских осмотров;</w:t>
      </w:r>
    </w:p>
    <w:p>
      <w:pPr>
        <w:pStyle w:val="Normal"/>
        <w:ind w:firstLine="720"/>
        <w:rPr>
          <w:sz w:val="26"/>
          <w:szCs w:val="26"/>
        </w:rPr>
      </w:pPr>
      <w:r>
        <w:rPr>
          <w:sz w:val="26"/>
          <w:szCs w:val="26"/>
        </w:rPr>
        <w:t>4.2. Участник в обязательном порядке должен иметь полную укомплектованность медицинскими работниками, прошедшими в установленном порядке обучение и имеющих действующее свидетельство (сертификат) на право проведения предрейсовых и послерейсовых медицинских осмотров;</w:t>
      </w:r>
    </w:p>
    <w:p>
      <w:pPr>
        <w:pStyle w:val="Normal"/>
        <w:tabs>
          <w:tab w:val="clear" w:pos="709"/>
          <w:tab w:val="left" w:pos="993" w:leader="none"/>
          <w:tab w:val="left" w:pos="1276" w:leader="none"/>
        </w:tabs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4.3. Участник должен производить предрейсовый медицинский осмотр водителей Заказчика ежедневно перед каждым выездом, а послерейсовый выборочно, на территории Заказчика по адресу: </w:t>
      </w:r>
      <w:r>
        <w:rPr>
          <w:rFonts w:eastAsia="Calibri" w:eastAsiaTheme="minorHAnsi"/>
          <w:b/>
          <w:i w:val="false"/>
          <w:iCs w:val="false"/>
          <w:sz w:val="26"/>
          <w:szCs w:val="26"/>
          <w:shd w:fill="auto" w:val="clear"/>
        </w:rPr>
        <w:t>г. Биробиджан, ул. Черноморская, 6 (с 7-30 до 10-00)</w:t>
      </w:r>
    </w:p>
    <w:p>
      <w:pPr>
        <w:pStyle w:val="Normal"/>
        <w:tabs>
          <w:tab w:val="clear" w:pos="709"/>
          <w:tab w:val="left" w:pos="993" w:leader="none"/>
          <w:tab w:val="left" w:pos="1276" w:leader="none"/>
        </w:tabs>
        <w:ind w:firstLine="720"/>
        <w:rPr>
          <w:b/>
          <w:bCs/>
        </w:rPr>
      </w:pPr>
      <w:r>
        <w:rPr>
          <w:b/>
          <w:bCs/>
        </w:rPr>
        <w:t>5.</w:t>
      </w:r>
      <w:bookmarkStart w:id="0" w:name="_Toc54643705"/>
      <w:bookmarkStart w:id="1" w:name="_Toc135150399"/>
      <w:bookmarkStart w:id="2" w:name="_Toc51339695"/>
      <w:r>
        <w:rPr>
          <w:b/>
          <w:bCs/>
        </w:rPr>
        <w:t xml:space="preserve"> Перечень </w:t>
      </w:r>
      <w:bookmarkEnd w:id="2"/>
      <w:r>
        <w:rPr>
          <w:b/>
          <w:bCs/>
        </w:rPr>
        <w:t>и объем оказываемых услуг</w:t>
      </w:r>
      <w:bookmarkEnd w:id="0"/>
      <w:bookmarkEnd w:id="1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Количество в год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4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Филиал АО “ДРСК” “ЭС ЕАО” (Октябрьский РЭС)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Биробиджан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  <w:lang w:val="en-GB"/>
              </w:rPr>
              <w:t>Предрейсовый/послерейсовый медицинский осмотр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  <w:lang w:val="en-GB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>5700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ind w:firstLine="709"/>
        <w:rPr>
          <w:sz w:val="26"/>
          <w:szCs w:val="26"/>
        </w:rPr>
      </w:pPr>
      <w:r>
        <w:rPr>
          <w:b/>
          <w:i w:val="false"/>
          <w:iCs w:val="false"/>
          <w:sz w:val="26"/>
          <w:szCs w:val="26"/>
        </w:rPr>
        <w:t>6</w:t>
      </w:r>
      <w:r>
        <w:rPr>
          <w:b/>
          <w:i/>
          <w:sz w:val="26"/>
          <w:szCs w:val="26"/>
        </w:rPr>
        <w:t xml:space="preserve">. </w:t>
      </w:r>
      <w:r>
        <w:rPr>
          <w:b/>
          <w:sz w:val="26"/>
          <w:szCs w:val="26"/>
        </w:rPr>
        <w:t>Общее количество водителей Заказчика: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6.1. Общее количество водителей, проходящих медосмотры на территории Заказчика по адресу: </w:t>
      </w:r>
      <w:r>
        <w:rPr>
          <w:rFonts w:eastAsia="Calibri" w:eastAsiaTheme="minorHAnsi"/>
          <w:b/>
          <w:bCs/>
          <w:i w:val="false"/>
          <w:iCs w:val="false"/>
          <w:sz w:val="26"/>
          <w:szCs w:val="26"/>
          <w:shd w:fill="auto" w:val="clear"/>
        </w:rPr>
        <w:t>г. Биробиджан, ул. Черноморская, 6 – 75 человек.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  <w:t>6.2. Количество водителей может быть увеличено за счет сотрудников Заказчика, прибывших в служебную командировку.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993" w:leader="none"/>
          <w:tab w:val="left" w:pos="1276" w:leader="none"/>
        </w:tabs>
        <w:ind w:firstLine="720"/>
        <w:rPr>
          <w:sz w:val="26"/>
          <w:szCs w:val="26"/>
        </w:rPr>
      </w:pPr>
      <w:r>
        <w:rPr>
          <w:b/>
          <w:bCs/>
          <w:iCs/>
          <w:color w:val="000000"/>
          <w:spacing w:val="-1"/>
          <w:sz w:val="26"/>
          <w:szCs w:val="26"/>
        </w:rPr>
        <w:t>7.</w:t>
      </w:r>
      <w:r>
        <w:rPr>
          <w:bCs/>
          <w:iCs/>
          <w:color w:val="000000"/>
          <w:spacing w:val="-1"/>
          <w:sz w:val="26"/>
          <w:szCs w:val="26"/>
        </w:rPr>
        <w:t xml:space="preserve"> </w:t>
      </w:r>
      <w:r>
        <w:rPr>
          <w:b/>
          <w:bCs/>
          <w:iCs/>
          <w:color w:val="000000"/>
          <w:spacing w:val="-1"/>
          <w:sz w:val="26"/>
          <w:szCs w:val="26"/>
        </w:rPr>
        <w:t>Порядок расчетов:</w:t>
      </w:r>
    </w:p>
    <w:p>
      <w:pPr>
        <w:pStyle w:val="Normal"/>
        <w:widowControl w:val="false"/>
        <w:shd w:val="clear" w:color="auto" w:fill="FFFFFF"/>
        <w:spacing w:lineRule="exact" w:line="302"/>
        <w:ind w:firstLine="708"/>
        <w:rPr>
          <w:sz w:val="26"/>
          <w:szCs w:val="26"/>
        </w:rPr>
      </w:pPr>
      <w:r>
        <w:rPr>
          <w:bCs/>
          <w:iCs/>
          <w:color w:val="000000"/>
          <w:spacing w:val="-1"/>
          <w:sz w:val="26"/>
          <w:szCs w:val="26"/>
        </w:rPr>
        <w:t>7.1. Расчетным периодом является один календарный месяц.</w:t>
      </w:r>
    </w:p>
    <w:p>
      <w:pPr>
        <w:pStyle w:val="Normal"/>
        <w:widowControl w:val="false"/>
        <w:shd w:val="clear" w:color="auto" w:fill="FFFFFF"/>
        <w:spacing w:lineRule="exact" w:line="302"/>
        <w:ind w:firstLine="708"/>
        <w:rPr>
          <w:sz w:val="26"/>
          <w:szCs w:val="26"/>
        </w:rPr>
      </w:pPr>
      <w:r>
        <w:rPr>
          <w:bCs/>
          <w:iCs/>
          <w:color w:val="000000"/>
          <w:spacing w:val="-1"/>
          <w:sz w:val="26"/>
          <w:szCs w:val="26"/>
        </w:rPr>
        <w:t>7.2. Оплата производится в течение 30 дней после выставления счета, счет-фактуры, акта выполненных работ, путем перечисления денежных средств на расчетный счет исполнителя.</w:t>
      </w:r>
    </w:p>
    <w:p>
      <w:pPr>
        <w:pStyle w:val="Normal"/>
        <w:widowControl w:val="false"/>
        <w:shd w:val="clear" w:color="auto" w:fill="FFFFFF"/>
        <w:spacing w:lineRule="exact" w:line="302"/>
        <w:ind w:firstLine="708"/>
        <w:rPr>
          <w:sz w:val="26"/>
          <w:szCs w:val="26"/>
        </w:rPr>
      </w:pPr>
      <w:r>
        <w:rPr>
          <w:bCs/>
          <w:iCs/>
          <w:color w:val="000000"/>
          <w:spacing w:val="-1"/>
          <w:sz w:val="26"/>
          <w:szCs w:val="26"/>
        </w:rPr>
        <w:t>7.3. Начальная максимальная цена Договора включает в себя все расходы Исполнителя (страхование, уплату налогов, сборов и других обязательных платежей), а также иные расходы, связанные с исполнением обязательств, являющихся предметом настоящего технического задания.</w:t>
      </w:r>
    </w:p>
    <w:p>
      <w:pPr>
        <w:pStyle w:val="Normal"/>
        <w:widowControl w:val="false"/>
        <w:shd w:val="clear" w:color="auto" w:fill="FFFFFF"/>
        <w:spacing w:lineRule="exact" w:line="302"/>
        <w:ind w:firstLine="70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hd w:val="clear" w:color="auto" w:fill="FFFFFF"/>
        <w:spacing w:lineRule="exact" w:line="302"/>
        <w:ind w:firstLine="708"/>
        <w:rPr>
          <w:sz w:val="26"/>
          <w:szCs w:val="26"/>
        </w:rPr>
      </w:pPr>
      <w:r>
        <w:rPr>
          <w:b/>
          <w:bCs/>
          <w:iCs/>
          <w:color w:val="000000"/>
          <w:spacing w:val="-1"/>
          <w:sz w:val="26"/>
          <w:szCs w:val="26"/>
        </w:rPr>
        <w:t>8.</w:t>
      </w:r>
      <w:r>
        <w:rPr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b/>
          <w:bCs/>
          <w:iCs/>
          <w:color w:val="000000"/>
          <w:spacing w:val="-1"/>
          <w:sz w:val="26"/>
          <w:szCs w:val="26"/>
        </w:rPr>
        <w:t>«Заказчик» -</w:t>
      </w:r>
      <w:r>
        <w:rPr>
          <w:b/>
          <w:bCs/>
          <w:i/>
          <w:iCs/>
          <w:color w:val="000000"/>
          <w:spacing w:val="-1"/>
          <w:sz w:val="26"/>
          <w:szCs w:val="26"/>
        </w:rPr>
        <w:t xml:space="preserve">  </w:t>
      </w:r>
      <w:r>
        <w:rPr>
          <w:bCs/>
          <w:iCs/>
          <w:color w:val="000000"/>
          <w:spacing w:val="-1"/>
          <w:sz w:val="26"/>
          <w:szCs w:val="26"/>
        </w:rPr>
        <w:t xml:space="preserve">АО «ДРСК» для </w:t>
      </w:r>
      <w:r>
        <w:rPr>
          <w:bCs/>
          <w:iCs/>
          <w:spacing w:val="-1"/>
          <w:sz w:val="26"/>
          <w:szCs w:val="26"/>
        </w:rPr>
        <w:t>филиала АО «ДРСК» «Электрические сети</w:t>
      </w:r>
      <w:r>
        <w:rPr>
          <w:bCs/>
          <w:iCs/>
          <w:color w:val="FF0000"/>
          <w:spacing w:val="-1"/>
          <w:sz w:val="26"/>
          <w:szCs w:val="26"/>
        </w:rPr>
        <w:t xml:space="preserve"> </w:t>
      </w:r>
      <w:r>
        <w:rPr>
          <w:bCs/>
          <w:iCs/>
          <w:spacing w:val="-1"/>
          <w:sz w:val="26"/>
          <w:szCs w:val="26"/>
        </w:rPr>
        <w:t>ЕАО»</w:t>
      </w:r>
    </w:p>
    <w:p>
      <w:pPr>
        <w:pStyle w:val="Normal"/>
        <w:widowControl w:val="false"/>
        <w:shd w:val="clear" w:color="auto" w:fill="FFFFFF"/>
        <w:spacing w:lineRule="exact" w:line="302"/>
        <w:ind w:firstLine="708"/>
        <w:rPr>
          <w:b/>
          <w:bCs/>
          <w:iCs/>
          <w:color w:val="000000"/>
          <w:spacing w:val="-1"/>
          <w:sz w:val="26"/>
          <w:szCs w:val="26"/>
        </w:rPr>
      </w:pPr>
      <w:r>
        <w:rPr>
          <w:b/>
          <w:bCs/>
          <w:iCs/>
          <w:color w:val="000000"/>
          <w:spacing w:val="-1"/>
          <w:sz w:val="26"/>
          <w:szCs w:val="26"/>
        </w:rPr>
      </w:r>
    </w:p>
    <w:p>
      <w:pPr>
        <w:pStyle w:val="Normal"/>
        <w:widowControl w:val="false"/>
        <w:spacing w:lineRule="exact" w:line="302"/>
        <w:ind w:firstLine="708"/>
        <w:rPr>
          <w:sz w:val="26"/>
          <w:szCs w:val="26"/>
        </w:rPr>
      </w:pPr>
      <w:r>
        <w:rPr>
          <w:b/>
          <w:bCs/>
          <w:iCs/>
          <w:color w:val="000000"/>
          <w:spacing w:val="-1"/>
          <w:sz w:val="26"/>
          <w:szCs w:val="26"/>
        </w:rPr>
        <w:t>9</w:t>
      </w:r>
      <w:r>
        <w:rPr>
          <w:bCs/>
          <w:iCs/>
          <w:color w:val="000000"/>
          <w:spacing w:val="-1"/>
          <w:sz w:val="26"/>
          <w:szCs w:val="26"/>
        </w:rPr>
        <w:t xml:space="preserve">. </w:t>
      </w:r>
      <w:r>
        <w:rPr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b/>
          <w:bCs/>
          <w:iCs/>
          <w:color w:val="000000"/>
          <w:sz w:val="26"/>
          <w:szCs w:val="26"/>
        </w:rPr>
        <w:t>Срок исполнения работ –</w:t>
      </w:r>
      <w:r>
        <w:rPr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bCs/>
          <w:iCs/>
          <w:color w:val="000000"/>
          <w:sz w:val="26"/>
          <w:szCs w:val="26"/>
        </w:rPr>
        <w:t>с 01</w:t>
      </w:r>
      <w:r>
        <w:rPr>
          <w:bCs/>
          <w:iCs/>
          <w:color w:val="000000"/>
          <w:sz w:val="26"/>
          <w:szCs w:val="26"/>
          <w:shd w:fill="auto" w:val="clear"/>
        </w:rPr>
        <w:t>.01.2027 по 31.12.2027</w:t>
      </w:r>
    </w:p>
    <w:p>
      <w:pPr>
        <w:pStyle w:val="Normal"/>
        <w:widowControl w:val="false"/>
        <w:shd w:val="clear" w:color="auto" w:fill="FFFFFF"/>
        <w:spacing w:lineRule="exact" w:line="302"/>
        <w:ind w:firstLine="708" w:right="-6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</w:r>
    </w:p>
    <w:p>
      <w:pPr>
        <w:pStyle w:val="Normal"/>
        <w:widowControl w:val="false"/>
        <w:shd w:val="clear" w:color="auto" w:fill="FFFFFF"/>
        <w:suppressAutoHyphens w:val="true"/>
        <w:bidi w:val="0"/>
        <w:spacing w:lineRule="exact" w:line="302" w:before="0" w:after="0"/>
        <w:ind w:firstLine="708" w:right="-6"/>
        <w:jc w:val="both"/>
        <w:rPr>
          <w:sz w:val="26"/>
          <w:szCs w:val="26"/>
        </w:rPr>
      </w:pPr>
      <w:r>
        <w:rPr>
          <w:rFonts w:eastAsia="Calibri" w:cs="Times New Roman" w:eastAsiaTheme="minorHAnsi"/>
          <w:b/>
          <w:bCs/>
          <w:iCs/>
          <w:color w:val="auto"/>
          <w:kern w:val="0"/>
          <w:sz w:val="26"/>
          <w:szCs w:val="26"/>
          <w:lang w:val="ru-RU" w:eastAsia="ru-RU" w:bidi="ar-SA"/>
        </w:rPr>
        <w:t xml:space="preserve">10. </w:t>
      </w:r>
      <w:bookmarkStart w:id="3" w:name="_Toc54643710"/>
      <w:bookmarkStart w:id="4" w:name="_Toc135150404"/>
      <w:bookmarkStart w:id="5" w:name="_Toc53395937"/>
      <w:bookmarkStart w:id="6" w:name="_Toc53393312"/>
      <w:r>
        <w:rPr>
          <w:rFonts w:eastAsia="Calibri" w:cs="Times New Roman" w:eastAsiaTheme="minorHAnsi"/>
          <w:b/>
          <w:bCs/>
          <w:iCs/>
          <w:color w:val="auto"/>
          <w:kern w:val="0"/>
          <w:sz w:val="26"/>
          <w:szCs w:val="26"/>
          <w:lang w:val="ru-RU" w:eastAsia="ru-RU" w:bidi="ar-SA"/>
        </w:rPr>
        <w:t>Требования к документации по ценообразованию</w:t>
      </w:r>
      <w:bookmarkEnd w:id="5"/>
      <w:bookmarkEnd w:id="6"/>
      <w:r>
        <w:rPr>
          <w:rFonts w:eastAsia="Calibri" w:cs="Times New Roman" w:eastAsiaTheme="minorHAnsi"/>
          <w:b/>
          <w:bCs/>
          <w:iCs/>
          <w:color w:val="auto"/>
          <w:kern w:val="0"/>
          <w:sz w:val="26"/>
          <w:szCs w:val="26"/>
          <w:lang w:val="ru-RU" w:eastAsia="ru-RU" w:bidi="ar-SA"/>
        </w:rPr>
        <w:t xml:space="preserve"> на этапе закупки</w:t>
      </w:r>
      <w:bookmarkEnd w:id="3"/>
      <w:bookmarkEnd w:id="4"/>
    </w:p>
    <w:p>
      <w:pPr>
        <w:pStyle w:val="Normal"/>
        <w:widowControl w:val="false"/>
        <w:suppressAutoHyphens w:val="true"/>
        <w:bidi w:val="0"/>
        <w:spacing w:lineRule="exact" w:line="302" w:before="0" w:after="0"/>
        <w:ind w:firstLine="283" w:left="397" w:right="0"/>
        <w:jc w:val="both"/>
        <w:rPr>
          <w:rFonts w:ascii="Times New Roman" w:hAnsi="Times New Roman" w:eastAsia="Calibri" w:cs="Times New Roman" w:eastAsiaTheme="minorHAnsi"/>
          <w:b w:val="false"/>
          <w:bCs w:val="false"/>
          <w:iCs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eastAsiaTheme="minorHAnsi"/>
          <w:b w:val="false"/>
          <w:bCs w:val="false"/>
          <w:iCs/>
          <w:color w:val="auto"/>
          <w:kern w:val="0"/>
          <w:sz w:val="26"/>
          <w:szCs w:val="26"/>
          <w:lang w:val="ru-RU" w:eastAsia="ru-RU" w:bidi="ar-SA"/>
        </w:rPr>
        <w:t>10.1. В обоснование стоимости своей заявки Участник предоставляет Коммерческое предложение.</w:t>
      </w:r>
    </w:p>
    <w:p>
      <w:pPr>
        <w:pStyle w:val="Normal"/>
        <w:widowControl w:val="false"/>
        <w:shd w:val="clear" w:color="auto" w:fill="FFFFFF"/>
        <w:suppressAutoHyphens w:val="true"/>
        <w:bidi w:val="0"/>
        <w:spacing w:lineRule="exact" w:line="302" w:before="0" w:after="0"/>
        <w:ind w:firstLine="708" w:right="-6"/>
        <w:jc w:val="both"/>
        <w:rPr>
          <w:rFonts w:ascii="Times New Roman" w:hAnsi="Times New Roman" w:eastAsia="Calibri" w:cs="Times New Roman" w:eastAsiaTheme="minorHAnsi"/>
          <w:b w:val="false"/>
          <w:bCs w:val="false"/>
          <w:iCs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eastAsiaTheme="minorHAnsi"/>
          <w:b w:val="false"/>
          <w:bCs w:val="false"/>
          <w:iCs/>
          <w:color w:val="auto"/>
          <w:kern w:val="0"/>
          <w:sz w:val="26"/>
          <w:szCs w:val="26"/>
          <w:lang w:val="ru-RU" w:eastAsia="ru-RU" w:bidi="ar-SA"/>
        </w:rPr>
        <w:t>10.2. Дополнительные документы по ценообразованию в состав заявки не включаются.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first" r:id="rId3"/>
      <w:type w:val="nextPage"/>
      <w:pgSz w:w="11906" w:h="16838"/>
      <w:pgMar w:left="1134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i w:val="false"/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6" w:hanging="720"/>
      </w:pPr>
      <w:rPr>
        <w:i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4" w:hanging="720"/>
      </w:pPr>
      <w:rPr>
        <w:i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52" w:hanging="1080"/>
      </w:pPr>
      <w:rPr>
        <w:i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080"/>
      </w:pPr>
      <w:rPr>
        <w:i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8" w:hanging="1440"/>
      </w:pPr>
      <w:rPr>
        <w:i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16" w:hanging="1440"/>
      </w:pPr>
      <w:rPr>
        <w:i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44" w:hanging="1800"/>
      </w:pPr>
      <w:rPr>
        <w:i/>
        <w:b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c57a1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tabs>
        <w:tab w:val="clear" w:pos="709"/>
        <w:tab w:val="left" w:pos="0" w:leader="none"/>
      </w:tabs>
      <w:spacing w:before="120" w:after="60"/>
      <w:ind w:hanging="426" w:left="42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8c57a1"/>
    <w:rPr>
      <w:rFonts w:ascii="Tahoma" w:hAnsi="Tahoma" w:eastAsia="Calibri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33445a"/>
    <w:rPr>
      <w:color w:val="0000FF" w:themeColor="hyperlink"/>
      <w:u w:val="single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c22786"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Style8" w:customStyle="1">
    <w:name w:val="Нижний колонтитул Знак"/>
    <w:basedOn w:val="DefaultParagraphFont"/>
    <w:uiPriority w:val="99"/>
    <w:qFormat/>
    <w:rsid w:val="00c22786"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1" w:customStyle="1">
    <w:name w:val="Пункт Знак1"/>
    <w:link w:val="Style13"/>
    <w:qFormat/>
    <w:rsid w:val="003a180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3a1809"/>
    <w:rPr>
      <w:rFonts w:ascii="Times New Roman" w:hAnsi="Times New Roman" w:eastAsia="Calibri" w:cs="Times New Roman"/>
      <w:sz w:val="26"/>
      <w:szCs w:val="26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9"/>
    <w:uiPriority w:val="99"/>
    <w:semiHidden/>
    <w:unhideWhenUsed/>
    <w:rsid w:val="003a1809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8c57a1"/>
    <w:pPr/>
    <w:rPr>
      <w:rFonts w:ascii="Tahoma" w:hAnsi="Tahoma" w:cs="Tahoma"/>
      <w:sz w:val="16"/>
      <w:szCs w:val="16"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unhideWhenUsed/>
    <w:rsid w:val="00c2278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unhideWhenUsed/>
    <w:rsid w:val="00c2278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3" w:customStyle="1">
    <w:name w:val="Пункт"/>
    <w:basedOn w:val="BodyText"/>
    <w:link w:val="1"/>
    <w:qFormat/>
    <w:rsid w:val="003a1809"/>
    <w:pPr>
      <w:tabs>
        <w:tab w:val="clear" w:pos="709"/>
        <w:tab w:val="left" w:pos="1985" w:leader="none"/>
      </w:tabs>
      <w:spacing w:lineRule="auto" w:line="360" w:before="0" w:after="0"/>
      <w:ind w:hanging="851" w:left="1985"/>
    </w:pPr>
    <w:rPr>
      <w:rFonts w:eastAsia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7e6c21"/>
    <w:pPr>
      <w:spacing w:before="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c57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AlterOffice/2026.2.0.0$Linux_X86_64 LibreOffice_project/bc4ef1adf80b36c7a6365f8ed6cbf29021361edd</Application>
  <AppVersion>15.0000</AppVersion>
  <Pages>3</Pages>
  <Words>801</Words>
  <Characters>5775</Characters>
  <CharactersWithSpaces>6541</CharactersWithSpaces>
  <Paragraphs>68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2020-01-09T00:06:00Z</dcterms:created>
  <dc:creator>Фоменко Светлана Анатольевна</dc:creator>
  <dc:description/>
  <dc:language>ru-RU</dc:language>
  <cp:lastModifiedBy>sazonova_as</cp:lastModifiedBy>
  <cp:lastPrinted>2025-12-04T10:14:10Z</cp:lastPrinted>
  <dcterms:modified xsi:type="dcterms:W3CDTF">2026-09-14T17:05:41Z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