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header10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УТВЕРЖДАЮ</w:t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Директор</w:t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Центрального филиала</w:t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АО «ТК РусГидро»</w:t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________________Нешев М.В.</w:t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sz w:val="24"/>
          <w:szCs w:val="24"/>
        </w:rPr>
      </w:pPr>
      <w:r>
        <w:rPr>
          <w:rFonts w:eastAsia="Calibri" w:cs="Times New Roman"/>
          <w:b/>
          <w:color w:val="auto"/>
          <w:kern w:val="0"/>
          <w:sz w:val="24"/>
          <w:szCs w:val="24"/>
          <w:lang w:val="ru-RU" w:eastAsia="ru-RU" w:bidi="ar-SA"/>
        </w:rPr>
        <w:t>ОКПД2 29.32.30.390 Поставка запасных частей для автотракторной техники для нужд Загорског</w:t>
      </w:r>
      <w:r>
        <w:rPr>
          <w:rFonts w:eastAsia="Calibri"/>
          <w:b/>
          <w:sz w:val="24"/>
          <w:szCs w:val="24"/>
        </w:rPr>
        <w:t>о транспортного участка Центрального филиала АО "ТК РусГидро"</w:t>
      </w:r>
    </w:p>
    <w:p>
      <w:pPr>
        <w:pStyle w:val="Normal"/>
        <w:jc w:val="center"/>
        <w:rPr>
          <w:rStyle w:val="Style8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sz w:val="24"/>
          <w:szCs w:val="24"/>
        </w:rPr>
        <w:t>Лот №</w:t>
      </w:r>
      <w:r>
        <w:rPr>
          <w:rFonts w:eastAsia="Calibri"/>
          <w:b/>
          <w:sz w:val="24"/>
          <w:szCs w:val="24"/>
          <w:lang w:val="en-US"/>
        </w:rPr>
        <w:t xml:space="preserve"> </w:t>
      </w:r>
      <w:r>
        <w:rPr>
          <w:rFonts w:eastAsia="Calibri"/>
          <w:b/>
          <w:sz w:val="24"/>
          <w:szCs w:val="24"/>
          <w:shd w:fill="FFFF00" w:val="clear"/>
          <w:lang w:val="en-US"/>
        </w:rPr>
        <w:t>…………………….</w:t>
      </w:r>
      <w:r>
        <w:rPr>
          <w:rFonts w:eastAsia="Calibri" w:cs="Times New Roman"/>
          <w:b/>
          <w:color w:val="000000"/>
          <w:kern w:val="0"/>
          <w:sz w:val="24"/>
          <w:szCs w:val="24"/>
          <w:shd w:fill="FFFF00" w:val="clear"/>
          <w:lang w:val="ru-RU" w:eastAsia="ru-RU" w:bidi="ar-SA"/>
        </w:rPr>
        <w:t>-</w:t>
      </w:r>
      <w:r>
        <w:rPr>
          <w:rFonts w:eastAsia="Calibri" w:cs="Times New Roman"/>
          <w:b/>
          <w:color w:val="auto"/>
          <w:kern w:val="0"/>
          <w:sz w:val="24"/>
          <w:szCs w:val="24"/>
          <w:lang w:val="ru-RU" w:eastAsia="ru-RU" w:bidi="ar-SA"/>
        </w:rPr>
        <w:t>2026-ТК_Центр_фил</w:t>
      </w:r>
    </w:p>
    <w:p>
      <w:pPr>
        <w:pStyle w:val="Normal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54643694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</w:rPr>
              <w:tab/>
            </w:r>
            <w:r>
              <w:rPr>
                <w:rStyle w:val="Style14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hyperlink w:anchor="_Toc54643695">
            <w:r>
              <w:rPr>
                <w:webHidden/>
                <w:rStyle w:val="Style14"/>
                <w:iCs/>
                <w:vanish w:val="false"/>
                <w:sz w:val="24"/>
                <w:szCs w:val="24"/>
              </w:rPr>
              <w:t>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  <w:sz w:val="24"/>
                <w:szCs w:val="24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hyperlink w:anchor="_Toc54643696">
            <w:r>
              <w:rPr>
                <w:webHidden/>
                <w:rStyle w:val="Style14"/>
                <w:iCs/>
                <w:vanish w:val="false"/>
                <w:sz w:val="24"/>
                <w:szCs w:val="24"/>
              </w:rPr>
              <w:t>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  <w:sz w:val="24"/>
                <w:szCs w:val="24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4"/>
                <w:szCs w:val="2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hyperlink w:anchor="_Toc54643697">
            <w:r>
              <w:rPr>
                <w:webHidden/>
                <w:rStyle w:val="Style14"/>
                <w:iCs/>
                <w:vanish w:val="false"/>
                <w:sz w:val="24"/>
                <w:szCs w:val="24"/>
              </w:rPr>
              <w:t>1.3.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  <w:sz w:val="24"/>
                <w:szCs w:val="24"/>
              </w:rPr>
              <w:t>Цель оказания</w:t>
            </w:r>
            <w:r>
              <w:rPr>
                <w:rStyle w:val="Style14"/>
                <w:rFonts w:eastAsia="Calibri"/>
                <w:sz w:val="24"/>
                <w:szCs w:val="24"/>
                <w:lang w:eastAsia="x-none"/>
              </w:rPr>
              <w:t xml:space="preserve">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4"/>
                <w:szCs w:val="2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</w:rPr>
          </w:pPr>
          <w:hyperlink w:anchor="_Toc5464369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</w:rPr>
          </w:pPr>
          <w:hyperlink w:anchor="_Toc54643702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</w:rPr>
              <w:tab/>
            </w:r>
            <w:r>
              <w:rPr>
                <w:rStyle w:val="Style14"/>
                <w:iCs/>
              </w:rPr>
              <w:t>Требования к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hyperlink w:anchor="_Toc54643703">
            <w:r>
              <w:rPr>
                <w:webHidden/>
                <w:rStyle w:val="Style14"/>
                <w:iCs/>
                <w:vanish w:val="false"/>
                <w:sz w:val="24"/>
                <w:szCs w:val="24"/>
              </w:rPr>
              <w:t>2.1.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  <w:sz w:val="24"/>
                <w:szCs w:val="24"/>
              </w:rPr>
              <w:t>Требования к объемам и срокам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4"/>
                <w:szCs w:val="2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hyperlink w:anchor="_Toc54643704">
            <w:r>
              <w:rPr>
                <w:webHidden/>
                <w:rStyle w:val="Style14"/>
                <w:vanish w:val="false"/>
                <w:sz w:val="24"/>
                <w:szCs w:val="24"/>
              </w:rPr>
              <w:t>2.1.1.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  <w:sz w:val="24"/>
                <w:szCs w:val="24"/>
              </w:rPr>
              <w:t>Требования к перечню и объему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4"/>
                <w:szCs w:val="2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hyperlink w:anchor="_Toc54643706">
            <w:r>
              <w:rPr>
                <w:webHidden/>
                <w:rStyle w:val="Style14"/>
                <w:vanish w:val="false"/>
                <w:sz w:val="24"/>
                <w:szCs w:val="24"/>
              </w:rPr>
              <w:t>2.1.2.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  <w:sz w:val="24"/>
                <w:szCs w:val="24"/>
              </w:rPr>
              <w:t>Требования к срокам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4"/>
                <w:szCs w:val="2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</w:rPr>
          </w:pPr>
          <w:hyperlink w:anchor="_Toc54643707">
            <w:r>
              <w:rPr>
                <w:webHidden/>
                <w:rStyle w:val="Style14"/>
                <w:vanish w:val="false"/>
              </w:rPr>
              <w:t>Таблица 2. Требования к срокам закупаемой продукции</w:t>
            </w:r>
            <w:bookmarkStart w:id="0" w:name="_GoBack"/>
            <w:bookmarkEnd w:id="0"/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hyperlink w:anchor="_Toc54643708">
            <w:r>
              <w:rPr>
                <w:webHidden/>
                <w:rStyle w:val="Style14"/>
                <w:iCs/>
                <w:vanish w:val="false"/>
                <w:sz w:val="24"/>
                <w:szCs w:val="24"/>
              </w:rPr>
              <w:t>2.2.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  <w:sz w:val="24"/>
                <w:szCs w:val="24"/>
              </w:rPr>
              <w:t>Требования к качеству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4"/>
                <w:szCs w:val="2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</w:rPr>
          </w:pPr>
          <w:hyperlink w:anchor="_Toc5464370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 3. Требования к качеству закупаемой продукции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</w:rPr>
          </w:pPr>
          <w:hyperlink w:anchor="_Toc54643710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</w:rPr>
              <w:tab/>
            </w:r>
            <w:r>
              <w:rPr>
                <w:rStyle w:val="Style14"/>
              </w:rPr>
              <w:t>Требования к участникам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_Toc54643710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/>
          </w:pPr>
          <w:hyperlink w:anchor="_Toc54643712">
            <w:r>
              <w:rPr>
                <w:webHidden/>
                <w:rStyle w:val="Style14"/>
                <w:vanish w:val="false"/>
              </w:rPr>
              <w:t>4.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</w:rPr>
              <w:tab/>
            </w:r>
            <w:r>
              <w:rPr>
                <w:rStyle w:val="Style14"/>
                <w:iCs/>
              </w:rPr>
              <w:t>Требования к документации по ценообразованию на этапе закупки</w:t>
            </w:r>
            <w:r>
              <w:rPr>
                <w:rStyle w:val="Style14"/>
                <w:vanish w:val="false"/>
              </w:rPr>
              <w:tab/>
            </w:r>
          </w:hyperlink>
          <w:r>
            <w:rPr/>
            <w:t>12</w:t>
          </w:r>
          <w:r>
            <w:rPr/>
            <w:fldChar w:fldCharType="end"/>
          </w:r>
        </w:p>
      </w:sdtContent>
    </w:sdt>
    <w:p>
      <w:pPr>
        <w:pStyle w:val="TOC1"/>
        <w:spacing w:before="120" w:after="0"/>
        <w:rPr>
          <w:rFonts w:cs="Calibri Light (Заголовки)"/>
          <w:b/>
          <w:bCs/>
          <w:sz w:val="24"/>
          <w:szCs w:val="24"/>
        </w:rPr>
      </w:pPr>
      <w:r>
        <w:rPr>
          <w:rFonts w:eastAsia="Calibri" w:cs="Calibri Light (Заголовки)"/>
          <w:b/>
          <w:bCs/>
          <w:sz w:val="24"/>
          <w:szCs w:val="24"/>
        </w:rPr>
        <w:t xml:space="preserve">5.   Приложение 1 – </w:t>
      </w:r>
      <w:r>
        <w:rPr>
          <w:rFonts w:cs="Calibri Light (Заголовки)"/>
          <w:b/>
          <w:bCs/>
          <w:sz w:val="24"/>
          <w:szCs w:val="24"/>
        </w:rPr>
        <w:t>Заявка на приобретение (форма)</w:t>
      </w:r>
    </w:p>
    <w:p>
      <w:pPr>
        <w:pStyle w:val="Normal"/>
        <w:rPr>
          <w:rFonts w:eastAsia="Calibri"/>
          <w:sz w:val="12"/>
          <w:szCs w:val="12"/>
        </w:rPr>
      </w:pPr>
      <w:r>
        <w:rPr>
          <w:rFonts w:eastAsia="Calibri"/>
          <w:sz w:val="12"/>
          <w:szCs w:val="12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rFonts w:eastAsia="Calibri" w:cs="Calibri Light (Заголовки)"/>
          <w:b/>
          <w:bCs/>
          <w:sz w:val="24"/>
          <w:szCs w:val="24"/>
        </w:rPr>
        <w:t>6. Приложение 2 -</w:t>
      </w:r>
      <w:r>
        <w:rPr>
          <w:rFonts w:eastAsia="Calibri"/>
        </w:rPr>
        <w:t xml:space="preserve"> </w:t>
      </w:r>
      <w:r>
        <w:rPr>
          <w:b/>
          <w:sz w:val="24"/>
          <w:szCs w:val="24"/>
        </w:rPr>
        <w:t>Аналитическая записка о результатах сравнения стоимости номенклатуры в личных кабинетах онлайн площадок продаж (форма)</w:t>
      </w:r>
    </w:p>
    <w:p>
      <w:pPr>
        <w:pStyle w:val="TOC1"/>
        <w:jc w:val="both"/>
        <w:rPr>
          <w:rFonts w:eastAsia="Calibri"/>
        </w:rPr>
      </w:pPr>
      <w:r>
        <w:rPr>
          <w:rFonts w:eastAsia="Calibri"/>
        </w:rPr>
        <w:t xml:space="preserve"> </w:t>
      </w:r>
    </w:p>
    <w:p>
      <w:pPr>
        <w:pStyle w:val="TOC1"/>
        <w:rPr>
          <w:rFonts w:eastAsia="Calibri"/>
        </w:rPr>
      </w:pPr>
      <w:r>
        <w:rPr>
          <w:rFonts w:eastAsia="Calibri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sz w:val="24"/>
          <w:szCs w:val="24"/>
          <w:lang w:val="ru-RU"/>
        </w:rPr>
      </w:pPr>
      <w:bookmarkStart w:id="1" w:name="_Toc54643694"/>
      <w:r>
        <w:rPr>
          <w:sz w:val="24"/>
          <w:szCs w:val="24"/>
          <w:lang w:val="ru-RU"/>
        </w:rPr>
        <w:t>Общие сведения</w:t>
      </w:r>
      <w:bookmarkEnd w:id="1"/>
    </w:p>
    <w:p>
      <w:pPr>
        <w:pStyle w:val="Heading4"/>
        <w:numPr>
          <w:ilvl w:val="1"/>
          <w:numId w:val="3"/>
        </w:numPr>
        <w:rPr/>
      </w:pPr>
      <w:bookmarkStart w:id="2" w:name="_Toc46743505"/>
      <w:bookmarkStart w:id="3" w:name="_Toc54643695"/>
      <w:r>
        <w:rPr/>
        <w:t>Обозначения и сокращения</w:t>
      </w:r>
      <w:bookmarkEnd w:id="2"/>
      <w:bookmarkEnd w:id="3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trHeight w:val="389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Транспортное средство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ПТБ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техники безопасности</w:t>
            </w:r>
          </w:p>
        </w:tc>
      </w:tr>
    </w:tbl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>
          <w:i/>
          <w:i/>
          <w:shd w:fill="FFFF99" w:val="clear"/>
        </w:rPr>
      </w:pPr>
      <w:bookmarkStart w:id="4" w:name="_Toc54643696"/>
      <w:r>
        <w:rPr/>
        <w:t>Наименование закупаем</w:t>
      </w:r>
      <w:bookmarkStart w:id="5" w:name="_Toc46743507"/>
      <w:bookmarkEnd w:id="4"/>
      <w:r>
        <w:rPr/>
        <w:t>ой продукции</w:t>
      </w:r>
      <w:r>
        <w:rPr>
          <w:lang w:val="ru-RU"/>
        </w:rPr>
        <w:t xml:space="preserve"> «</w:t>
      </w:r>
      <w:r>
        <w:rPr/>
        <w:t xml:space="preserve">Поставка запасных частей для </w:t>
      </w:r>
      <w:r>
        <w:rPr>
          <w:rFonts w:eastAsia="Calibri" w:cs="Times New Roman"/>
          <w:b/>
          <w:color w:val="auto"/>
          <w:kern w:val="0"/>
          <w:sz w:val="24"/>
          <w:szCs w:val="24"/>
          <w:lang w:val="ru-RU" w:eastAsia="ru-RU" w:bidi="ar-SA"/>
        </w:rPr>
        <w:t>автотракторной техники</w:t>
      </w:r>
      <w:r>
        <w:rPr/>
        <w:t xml:space="preserve"> для нужд Загорского транспортного участка Центрального филиала АО "ТК РусГидро"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6" w:name="_Toc54643697"/>
      <w:r>
        <w:rPr/>
        <w:t xml:space="preserve">Цель </w:t>
      </w:r>
      <w:bookmarkEnd w:id="5"/>
      <w:r>
        <w:rPr>
          <w:lang w:val="ru-RU"/>
        </w:rPr>
        <w:t>оказания услуг</w:t>
      </w:r>
      <w:bookmarkEnd w:id="6"/>
      <w:r>
        <w:rPr>
          <w:lang w:val="ru-RU"/>
        </w:rPr>
        <w:t>:</w:t>
      </w:r>
    </w:p>
    <w:p>
      <w:pPr>
        <w:pStyle w:val="Normal"/>
        <w:jc w:val="both"/>
        <w:rPr>
          <w:rFonts w:eastAsia="Calibri"/>
          <w:sz w:val="24"/>
          <w:szCs w:val="24"/>
          <w:lang w:eastAsia="x-none"/>
        </w:rPr>
      </w:pPr>
      <w:bookmarkStart w:id="7" w:name="_Toc54643699"/>
      <w:r>
        <w:rPr>
          <w:rFonts w:eastAsia="Calibri"/>
          <w:sz w:val="24"/>
          <w:szCs w:val="24"/>
          <w:lang w:eastAsia="x-none"/>
        </w:rPr>
        <w:t xml:space="preserve">Содержание в исправном техническом состоянии </w:t>
      </w:r>
      <w:r>
        <w:rPr>
          <w:rFonts w:eastAsia="Calibri" w:cs="Times New Roman"/>
          <w:b w:val="false"/>
          <w:bCs w:val="false"/>
          <w:color w:val="auto"/>
          <w:kern w:val="0"/>
          <w:sz w:val="24"/>
          <w:szCs w:val="24"/>
          <w:lang w:val="ru-RU" w:eastAsia="ru-RU" w:bidi="ar-SA"/>
        </w:rPr>
        <w:t>автотракторной техники</w:t>
      </w:r>
      <w:r>
        <w:rPr>
          <w:rFonts w:eastAsia="Calibri"/>
          <w:sz w:val="24"/>
          <w:szCs w:val="24"/>
          <w:lang w:eastAsia="x-none"/>
        </w:rPr>
        <w:t xml:space="preserve"> Загорского транспортного участка Центрального филиала АО «ТК РусГидро»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  <w:lang w:val="ru-RU"/>
        </w:rPr>
      </w:pPr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7"/>
    </w:p>
    <w:tbl>
      <w:tblPr>
        <w:tblW w:w="997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09"/>
        <w:gridCol w:w="4845"/>
        <w:gridCol w:w="2288"/>
        <w:gridCol w:w="2032"/>
      </w:tblGrid>
      <w:tr>
        <w:trPr/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Ford Explorer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</w:t>
            </w:r>
            <w:r>
              <w:rPr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color w:val="000000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351 </w:t>
            </w:r>
            <w:r>
              <w:rPr>
                <w:color w:val="000000"/>
                <w:sz w:val="24"/>
                <w:szCs w:val="24"/>
              </w:rPr>
              <w:t>АМ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750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Ford Explorer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</w:t>
            </w:r>
            <w:r>
              <w:rPr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color w:val="000000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356 </w:t>
            </w:r>
            <w:r>
              <w:rPr>
                <w:color w:val="000000"/>
                <w:sz w:val="24"/>
                <w:szCs w:val="24"/>
              </w:rPr>
              <w:t>АМ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750</w:t>
            </w:r>
          </w:p>
        </w:tc>
        <w:tc>
          <w:tcPr>
            <w:tcW w:w="2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Ford Mondeo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г.н. Е 706 РР 777</w:t>
            </w:r>
          </w:p>
        </w:tc>
        <w:tc>
          <w:tcPr>
            <w:tcW w:w="2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JAC SUNRAY</w:t>
              <w:br/>
              <w:t>г.н. В 107 МЕ 19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Ford Transit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  <w:r>
              <w:rPr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Н 031 ВК 790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Ford Transit Sollers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  <w:r>
              <w:rPr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823 </w:t>
            </w:r>
            <w:r>
              <w:rPr>
                <w:color w:val="000000"/>
                <w:sz w:val="24"/>
                <w:szCs w:val="24"/>
              </w:rPr>
              <w:t>ЕК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750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Ford Transit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</w:t>
            </w:r>
            <w:r>
              <w:rPr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498 </w:t>
            </w:r>
            <w:r>
              <w:rPr>
                <w:color w:val="000000"/>
                <w:sz w:val="24"/>
                <w:szCs w:val="24"/>
              </w:rPr>
              <w:t>ТТ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750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Ford Transit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  <w:r>
              <w:rPr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color w:val="000000"/>
                <w:sz w:val="24"/>
                <w:szCs w:val="24"/>
              </w:rPr>
              <w:t>Х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480 </w:t>
            </w:r>
            <w:r>
              <w:rPr>
                <w:color w:val="000000"/>
                <w:sz w:val="24"/>
                <w:szCs w:val="24"/>
              </w:rPr>
              <w:t>ХО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750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</w:tr>
      <w:tr>
        <w:trPr>
          <w:trHeight w:val="941" w:hRule="atLeast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Mitsubishi Grandis 2.4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  <w:r>
              <w:rPr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823 </w:t>
            </w:r>
            <w:r>
              <w:rPr>
                <w:color w:val="000000"/>
                <w:sz w:val="24"/>
                <w:szCs w:val="24"/>
              </w:rPr>
              <w:t>ММ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76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/>
            </w:pPr>
            <w:r>
              <w:rPr>
                <w:color w:val="000000"/>
                <w:sz w:val="24"/>
                <w:szCs w:val="24"/>
              </w:rPr>
              <w:t>Lexus ES 350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jc w:val="left"/>
              <w:rPr/>
            </w:pPr>
            <w:r>
              <w:rPr>
                <w:color w:val="000000"/>
                <w:sz w:val="24"/>
                <w:szCs w:val="24"/>
              </w:rPr>
              <w:t>г.н. А 800 ХТ 790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/>
            </w:pPr>
            <w:r>
              <w:rPr>
                <w:color w:val="000000"/>
                <w:sz w:val="24"/>
                <w:szCs w:val="24"/>
                <w:lang w:val="en-US"/>
              </w:rPr>
              <w:t>Renault Duster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jc w:val="left"/>
              <w:rPr/>
            </w:pPr>
            <w:r>
              <w:rPr>
                <w:color w:val="000000"/>
                <w:sz w:val="24"/>
                <w:szCs w:val="24"/>
                <w:lang w:val="en-US"/>
              </w:rPr>
              <w:t>г.н. В 766 ОЕ 763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Toyota Corolla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</w:t>
            </w:r>
            <w:r>
              <w:rPr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color w:val="000000"/>
                <w:sz w:val="24"/>
                <w:szCs w:val="24"/>
              </w:rPr>
              <w:t>Х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013 </w:t>
            </w:r>
            <w:r>
              <w:rPr>
                <w:color w:val="000000"/>
                <w:sz w:val="24"/>
                <w:szCs w:val="24"/>
              </w:rPr>
              <w:t>ТА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750</w:t>
            </w:r>
          </w:p>
        </w:tc>
        <w:tc>
          <w:tcPr>
            <w:tcW w:w="2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Toyota Camry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г.н. А 565 АУ 50</w:t>
            </w:r>
          </w:p>
        </w:tc>
        <w:tc>
          <w:tcPr>
            <w:tcW w:w="2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Toyota Camry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г.н. К 462 МВ 750</w:t>
            </w:r>
          </w:p>
        </w:tc>
        <w:tc>
          <w:tcPr>
            <w:tcW w:w="2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Toyota Camry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г.н А 671 МА 750</w:t>
            </w:r>
          </w:p>
        </w:tc>
        <w:tc>
          <w:tcPr>
            <w:tcW w:w="2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Toyota Camry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г.н. А 676 МА 750</w:t>
            </w:r>
          </w:p>
        </w:tc>
        <w:tc>
          <w:tcPr>
            <w:tcW w:w="2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Toyota Camry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г.н. Е 730 РР 777</w:t>
            </w:r>
          </w:p>
        </w:tc>
        <w:tc>
          <w:tcPr>
            <w:tcW w:w="2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Toyota Hilux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г.н. В 170 АХ 750</w:t>
            </w:r>
          </w:p>
        </w:tc>
        <w:tc>
          <w:tcPr>
            <w:tcW w:w="2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Toyota Land Cruiser 150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  <w:r>
              <w:rPr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439 </w:t>
            </w:r>
            <w:r>
              <w:rPr>
                <w:color w:val="000000"/>
                <w:sz w:val="24"/>
                <w:szCs w:val="24"/>
              </w:rPr>
              <w:t>АА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121</w:t>
            </w:r>
          </w:p>
        </w:tc>
        <w:tc>
          <w:tcPr>
            <w:tcW w:w="2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Toyota Land Cruser 200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г.н. А 426 АА 190</w:t>
            </w:r>
          </w:p>
        </w:tc>
        <w:tc>
          <w:tcPr>
            <w:tcW w:w="2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/>
            </w:pPr>
            <w:r>
              <w:rPr>
                <w:color w:val="000000"/>
                <w:sz w:val="24"/>
                <w:szCs w:val="24"/>
                <w:lang w:val="en-US"/>
              </w:rPr>
              <w:t>Volkswagen Multivan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jc w:val="left"/>
              <w:rPr/>
            </w:pPr>
            <w:r>
              <w:rPr>
                <w:color w:val="000000"/>
                <w:sz w:val="24"/>
                <w:szCs w:val="24"/>
                <w:lang w:val="en-US"/>
              </w:rPr>
              <w:t>г.н. К 623 ВР 750</w:t>
            </w:r>
          </w:p>
        </w:tc>
        <w:tc>
          <w:tcPr>
            <w:tcW w:w="2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УАЗ-220695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г.н. В 149 ТА 750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/>
            </w:pPr>
            <w:r>
              <w:rPr>
                <w:color w:val="000000"/>
                <w:sz w:val="24"/>
                <w:szCs w:val="24"/>
                <w:lang w:val="en-US"/>
              </w:rPr>
              <w:t>Соболь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jc w:val="left"/>
              <w:rPr/>
            </w:pPr>
            <w:r>
              <w:rPr>
                <w:color w:val="000000"/>
                <w:sz w:val="24"/>
                <w:szCs w:val="24"/>
                <w:lang w:val="en-US"/>
              </w:rPr>
              <w:t>г.н. К 065 АР 250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/>
            </w:pPr>
            <w:r>
              <w:rPr>
                <w:color w:val="000000"/>
                <w:sz w:val="24"/>
                <w:szCs w:val="24"/>
              </w:rPr>
              <w:t>Соболь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jc w:val="left"/>
              <w:rPr/>
            </w:pPr>
            <w:r>
              <w:rPr>
                <w:color w:val="000000"/>
                <w:sz w:val="24"/>
                <w:szCs w:val="24"/>
              </w:rPr>
              <w:t>г.н. К 447 КР 550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ГАЗ А22R32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г.н. А 793 МТ 750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ГАЗ-А22R33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г.н. М 836 МЕ 550</w:t>
            </w:r>
          </w:p>
        </w:tc>
        <w:tc>
          <w:tcPr>
            <w:tcW w:w="2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ГАЗ-221717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г.н. Е 843 СН 28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ГАЗ-2705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г.н. Т 726 СР 750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ГАЗ-2752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г.н. Т 706 СР 750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ГАЗ-3302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г.н. Т 711 СР 750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YUTONG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г.н. М 408 УН 750</w:t>
            </w:r>
          </w:p>
        </w:tc>
        <w:tc>
          <w:tcPr>
            <w:tcW w:w="2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Нефаз 5299-0000017-42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г.н. Н 535 ОК 750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>ЗИЛ-40456 г.н. М 557 МК 50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>КМУ (Hyndai HD78) г.н. В 824 АН 750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>Чайка-Сервис 4784FR г.н. К 398 АК 50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>КС - 35715 г.н. Е 563 МТ 90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/>
            </w:pPr>
            <w:r>
              <w:rPr>
                <w:color w:val="000000"/>
                <w:sz w:val="24"/>
                <w:szCs w:val="24"/>
              </w:rPr>
              <w:t>АЛ-30 (Урал-4320)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jc w:val="left"/>
              <w:rPr/>
            </w:pPr>
            <w:r>
              <w:rPr>
                <w:color w:val="000000"/>
                <w:sz w:val="24"/>
                <w:szCs w:val="24"/>
              </w:rPr>
              <w:t>г.н. М 411 УН 750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>Komatsu FD 50AT-7 50 ХО 8361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Трактор промышленный Беларус-82.1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г.н. 8290 ХО 50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Экскаватор ЭО 2621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г.н. 4162 УА 26</w:t>
            </w:r>
          </w:p>
        </w:tc>
        <w:tc>
          <w:tcPr>
            <w:tcW w:w="2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 Центральный филиал Загорский транспортный участок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Экскаватор ЭО 2629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г.н. 9416 СА 26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sz w:val="24"/>
          <w:szCs w:val="24"/>
        </w:rPr>
      </w:pPr>
      <w:bookmarkStart w:id="8" w:name="_Toc51339693"/>
      <w:bookmarkStart w:id="9" w:name="_Toc54643702"/>
      <w:r>
        <w:rPr>
          <w:iCs/>
          <w:sz w:val="24"/>
          <w:szCs w:val="24"/>
          <w:lang w:val="ru-RU"/>
        </w:rPr>
        <w:t>Требования</w:t>
      </w:r>
      <w:r>
        <w:rPr>
          <w:iCs/>
          <w:sz w:val="24"/>
          <w:szCs w:val="24"/>
        </w:rPr>
        <w:t xml:space="preserve"> к </w:t>
      </w:r>
      <w:bookmarkEnd w:id="8"/>
      <w:bookmarkEnd w:id="9"/>
      <w:r>
        <w:rPr>
          <w:iCs/>
          <w:sz w:val="24"/>
          <w:szCs w:val="24"/>
        </w:rPr>
        <w:t>закупаемой продукции</w:t>
      </w:r>
    </w:p>
    <w:p>
      <w:pPr>
        <w:pStyle w:val="Heading4"/>
        <w:numPr>
          <w:ilvl w:val="1"/>
          <w:numId w:val="3"/>
        </w:numPr>
        <w:rPr/>
      </w:pPr>
      <w:bookmarkStart w:id="10" w:name="_Toc54643703"/>
      <w:r>
        <w:rPr/>
        <w:t xml:space="preserve">Требования к объемам и срокам </w:t>
      </w:r>
      <w:bookmarkEnd w:id="10"/>
      <w:r>
        <w:rPr>
          <w:lang w:val="ru-RU"/>
        </w:rPr>
        <w:t>поставки закупаемой продукции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1" w:name="_Toc51339697"/>
      <w:bookmarkStart w:id="12" w:name="_Toc50125127"/>
      <w:bookmarkStart w:id="13" w:name="_Toc5464370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</w:t>
      </w:r>
      <w:bookmarkStart w:id="14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1"/>
      <w:bookmarkEnd w:id="12"/>
      <w:bookmarkEnd w:id="13"/>
      <w:bookmarkEnd w:id="14"/>
      <w:r>
        <w:rPr>
          <w:sz w:val="24"/>
          <w:szCs w:val="24"/>
          <w:lang w:val="ru-RU"/>
        </w:rPr>
        <w:t>поставки закупаемой продукции</w:t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129"/>
        <w:gridCol w:w="2551"/>
        <w:gridCol w:w="2978"/>
        <w:gridCol w:w="3117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«</w:t>
            </w:r>
            <w:r>
              <w:rPr>
                <w:sz w:val="24"/>
                <w:szCs w:val="24"/>
              </w:rPr>
              <w:t>Поставка запасных част</w:t>
            </w:r>
            <w:r>
              <w:rPr>
                <w:b w:val="false"/>
                <w:bCs w:val="false"/>
                <w:sz w:val="24"/>
                <w:szCs w:val="24"/>
              </w:rPr>
              <w:t xml:space="preserve">ей для </w:t>
            </w: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автотракторной техники</w:t>
            </w:r>
            <w:r>
              <w:rPr>
                <w:sz w:val="24"/>
                <w:szCs w:val="24"/>
              </w:rPr>
              <w:t xml:space="preserve"> для нужд Загорского транспортного участка Центрального филиала АО "ТК РусГидро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с начала подписания договора/подачи заявки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sz w:val="24"/>
                <w:szCs w:val="24"/>
              </w:rPr>
              <w:t>Действует по 31.12</w:t>
            </w:r>
            <w:r>
              <w:rPr>
                <w:sz w:val="24"/>
                <w:szCs w:val="24"/>
                <w:shd w:fill="auto" w:val="clear"/>
              </w:rPr>
              <w:t>.2027</w:t>
            </w:r>
            <w:r>
              <w:rPr>
                <w:sz w:val="24"/>
                <w:szCs w:val="24"/>
              </w:rPr>
              <w:t>г. или до исчерпания предельной стоимости договора, в зависимости от того, что наступит раньше.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1134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15" w:name="_Toc54643709"/>
      <w:bookmarkStart w:id="16" w:name="_Toc51339698"/>
      <w:bookmarkStart w:id="17" w:name="_Toc54643708"/>
      <w:bookmarkStart w:id="18" w:name="_Toc46743511"/>
      <w:r>
        <w:rPr/>
        <w:t xml:space="preserve">Требования к </w:t>
      </w:r>
      <w:bookmarkEnd w:id="18"/>
      <w:r>
        <w:rPr>
          <w:lang w:val="ru-RU"/>
        </w:rPr>
        <w:t>качеству</w:t>
      </w:r>
      <w:bookmarkEnd w:id="17"/>
      <w:r>
        <w:rPr>
          <w:lang w:val="ru-RU"/>
        </w:rPr>
        <w:t xml:space="preserve"> закупаемой продукции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bookmarkEnd w:id="16"/>
      <w:r>
        <w:rPr>
          <w:sz w:val="24"/>
          <w:szCs w:val="24"/>
          <w:lang w:val="ru-RU"/>
        </w:rPr>
        <w:t xml:space="preserve">качеству </w:t>
      </w:r>
      <w:bookmarkEnd w:id="15"/>
      <w:r>
        <w:rPr>
          <w:sz w:val="24"/>
          <w:szCs w:val="24"/>
          <w:lang w:val="ru-RU"/>
        </w:rPr>
        <w:t>закупаемой продукции</w:t>
      </w:r>
      <w:r>
        <w:rPr>
          <w:sz w:val="24"/>
          <w:szCs w:val="24"/>
        </w:rPr>
        <w:t xml:space="preserve"> </w:t>
      </w:r>
    </w:p>
    <w:p>
      <w:pPr>
        <w:pStyle w:val="Normal"/>
        <w:rPr>
          <w:iCs/>
          <w:sz w:val="24"/>
          <w:szCs w:val="24"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услуг: </w:t>
      </w:r>
      <w:r>
        <w:rPr/>
        <w:t>Поставка запасных частей д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ля автотракторной техники для нужд Загорского транспортного участка Центрального филиала АО "ТК РусГидро</w:t>
      </w:r>
    </w:p>
    <w:tbl>
      <w:tblPr>
        <w:tblStyle w:val="af"/>
        <w:tblW w:w="1488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76"/>
        <w:gridCol w:w="5655"/>
        <w:gridCol w:w="2967"/>
        <w:gridCol w:w="2645"/>
        <w:gridCol w:w="2742"/>
      </w:tblGrid>
      <w:tr>
        <w:trPr/>
        <w:tc>
          <w:tcPr>
            <w:tcW w:w="87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565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61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7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7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65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6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19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19"/>
          </w:p>
        </w:tc>
        <w:tc>
          <w:tcPr>
            <w:tcW w:w="56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6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7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6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поставке запасных частей</w:t>
            </w:r>
          </w:p>
        </w:tc>
        <w:tc>
          <w:tcPr>
            <w:tcW w:w="296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4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74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6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поставке запасных частей</w:t>
            </w:r>
          </w:p>
        </w:tc>
        <w:tc>
          <w:tcPr>
            <w:tcW w:w="296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4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74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2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65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быть новой, не восстановленной, заводского производства, пригодной к эксплуатации. Не допускается поставка выставочных образцов. Год производства – не ранее 2022 г.</w:t>
            </w:r>
          </w:p>
        </w:tc>
        <w:tc>
          <w:tcPr>
            <w:tcW w:w="29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4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40" w:after="4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74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2" w:hanging="1199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6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 Продукцию устанавливается гарантийный срок согласно гарантийному сроку завода-изготовителя и начинает действовать с момента передачи товара Покупателю, подписания товарной накладной.</w:t>
            </w:r>
          </w:p>
        </w:tc>
        <w:tc>
          <w:tcPr>
            <w:tcW w:w="296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4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4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2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6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Комплектность поставки должна обеспечить возможность использования продукции по прямому назначению.</w:t>
            </w:r>
          </w:p>
        </w:tc>
        <w:tc>
          <w:tcPr>
            <w:tcW w:w="296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4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74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2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6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Качество и безопасность поставляемой Продукции должны соответствовать действующим стандартам и условиям, утвержденными на данный вид Продукции, оформленным в соответствии с законодательством Российской Федерации и Договором.</w:t>
            </w:r>
          </w:p>
        </w:tc>
        <w:tc>
          <w:tcPr>
            <w:tcW w:w="296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4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274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6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поставки запасных частей</w:t>
            </w:r>
          </w:p>
        </w:tc>
        <w:tc>
          <w:tcPr>
            <w:tcW w:w="296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4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74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1.2.1</w:t>
            </w:r>
          </w:p>
        </w:tc>
        <w:tc>
          <w:tcPr>
            <w:tcW w:w="565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исполнения по конкретной заявке согласовываются сторонами, но не должен превышать 4 (четырех) рабочих дней.</w:t>
            </w:r>
          </w:p>
        </w:tc>
        <w:tc>
          <w:tcPr>
            <w:tcW w:w="29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4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74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1.2.3</w:t>
            </w:r>
          </w:p>
        </w:tc>
        <w:tc>
          <w:tcPr>
            <w:tcW w:w="565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Перед поставкой Поставщик предоставляет документы, подтверждающие качество поставляемой продукции.</w:t>
            </w:r>
          </w:p>
        </w:tc>
        <w:tc>
          <w:tcPr>
            <w:tcW w:w="29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4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74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1.2.3.</w:t>
            </w:r>
          </w:p>
        </w:tc>
        <w:tc>
          <w:tcPr>
            <w:tcW w:w="5655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both"/>
              <w:rPr>
                <w:lang w:eastAsia="en-US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Маркировка, упаковка должны соответствовать требованиям технических регламентов, стандартов, технических условий, устанавливающих обязательные требования к маркировке, и упаковке данного вида Продукции</w:t>
            </w:r>
          </w:p>
        </w:tc>
        <w:tc>
          <w:tcPr>
            <w:tcW w:w="29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4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74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1.2.4.</w:t>
            </w:r>
          </w:p>
        </w:tc>
        <w:tc>
          <w:tcPr>
            <w:tcW w:w="565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259" w:before="0" w:after="16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Приемка Товара осуществляется на основании отгрузочных документов Поставщика. Покупатель обязан принять Товар путем его проверки на соответствие сопроводительным документам, в момент передачи товара. При обнаружении несоответствия Товара сопроводительным документам, а также в случае несоблюдения Поставщиком условия о количестве/качестве Товара, сторонами составляется Акт об установленном расхождении по количеству/качеству, в котором отражаются недостатки передаваемого Товара (Акт ТОРГ-2).</w:t>
            </w:r>
          </w:p>
        </w:tc>
        <w:tc>
          <w:tcPr>
            <w:tcW w:w="29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4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74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1.2.5</w:t>
            </w:r>
          </w:p>
        </w:tc>
        <w:tc>
          <w:tcPr>
            <w:tcW w:w="565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259" w:before="0" w:after="1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 В случае получения Продукции в дефектной упаковке Покупатель имеет право не принимать такую Продукцию и вернуть ее Поставщику, за счет Поставщика.</w:t>
            </w:r>
          </w:p>
        </w:tc>
        <w:tc>
          <w:tcPr>
            <w:tcW w:w="29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4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74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1.2.6</w:t>
            </w:r>
          </w:p>
        </w:tc>
        <w:tc>
          <w:tcPr>
            <w:tcW w:w="5655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В случае получения Продукции с недостатками, которые выявлены в процессе установки на транспортное средство (скрытые недостатки) Покупатель имеет право направить Продавцу претензию и требовать возврат денежных средств за некачественный товар.</w:t>
            </w:r>
          </w:p>
        </w:tc>
        <w:tc>
          <w:tcPr>
            <w:tcW w:w="29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4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4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1.2.7.</w:t>
            </w:r>
          </w:p>
        </w:tc>
        <w:tc>
          <w:tcPr>
            <w:tcW w:w="56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Товар без обязательных сопроводительных документов: накладная (формы ТОРГ 12), счет-фактуры, сертификат качества, технический паспорт, гарантийный талон - не принимается, ответственность за ее сохранность Покупатель не несет.</w:t>
            </w:r>
          </w:p>
        </w:tc>
        <w:tc>
          <w:tcPr>
            <w:tcW w:w="29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4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4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1.2.8.</w:t>
            </w:r>
          </w:p>
        </w:tc>
        <w:tc>
          <w:tcPr>
            <w:tcW w:w="56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Покупатель по итогам проведения закупки имеет право заключить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договоры на одинаковый объем потребности По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купателя с несколькими победителями. Цена каждого договора является предельной и составляет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3000000,00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руб. без учета НДС,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3660000,00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руб. с НДС.</w:t>
            </w:r>
          </w:p>
        </w:tc>
        <w:tc>
          <w:tcPr>
            <w:tcW w:w="29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4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4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1.2.9.</w:t>
            </w:r>
          </w:p>
        </w:tc>
        <w:tc>
          <w:tcPr>
            <w:tcW w:w="56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При возникновении потребности в Продукции, Покупатель формирует заявку на приобретение по форме приложения № 1 к техническим требованиям. По средствам личных кабинетов интернет площадок победителей, Покупатель производит сравнение стоимости номенклатуры, необходимой к поставке. Продукция закупается по наиболее выгодной цене.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4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4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1.2.10.</w:t>
            </w:r>
          </w:p>
        </w:tc>
        <w:tc>
          <w:tcPr>
            <w:tcW w:w="56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Отсутствие обязанности у Покупателя произвести полную выборку цены каждого договора, заключаемом с каждым победителем.</w:t>
            </w:r>
          </w:p>
        </w:tc>
        <w:tc>
          <w:tcPr>
            <w:tcW w:w="29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4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4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tabs>
          <w:tab w:val="clear" w:pos="708"/>
          <w:tab w:val="left" w:pos="4335" w:leader="none"/>
        </w:tabs>
        <w:rPr>
          <w:sz w:val="24"/>
          <w:szCs w:val="24"/>
        </w:rPr>
      </w:pPr>
      <w:r>
        <w:rPr>
          <w:sz w:val="24"/>
          <w:szCs w:val="24"/>
        </w:rPr>
        <w:tab/>
        <w:tab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sz w:val="24"/>
          <w:szCs w:val="24"/>
          <w:lang w:val="ru-RU"/>
        </w:rPr>
      </w:pPr>
      <w:bookmarkStart w:id="20" w:name="_Toc54643710"/>
      <w:r>
        <w:rPr>
          <w:sz w:val="24"/>
          <w:szCs w:val="24"/>
          <w:lang w:val="ru-RU"/>
        </w:rPr>
        <w:t>Требования к участникам</w:t>
      </w:r>
    </w:p>
    <w:tbl>
      <w:tblPr>
        <w:tblW w:w="9923" w:type="dxa"/>
        <w:jc w:val="left"/>
        <w:tblInd w:w="92" w:type="dxa"/>
        <w:tblLayout w:type="fixed"/>
        <w:tblCellMar>
          <w:top w:w="15" w:type="dxa"/>
          <w:left w:w="93" w:type="dxa"/>
          <w:bottom w:w="0" w:type="dxa"/>
          <w:right w:w="93" w:type="dxa"/>
        </w:tblCellMar>
        <w:tblLook w:val="0600" w:noVBand="1" w:noHBand="1" w:lastColumn="0" w:firstColumn="0" w:lastRow="0" w:firstRow="0"/>
      </w:tblPr>
      <w:tblGrid>
        <w:gridCol w:w="1567"/>
        <w:gridCol w:w="4113"/>
        <w:gridCol w:w="4243"/>
      </w:tblGrid>
      <w:tr>
        <w:trPr>
          <w:trHeight w:val="20" w:hRule="atLeast"/>
        </w:trPr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15"/>
              <w:widowControl w:val="false"/>
              <w:shd w:val="clear" w:color="auto" w:fill="FFFFFF" w:themeFill="background1"/>
              <w:spacing w:beforeAutospacing="0" w:before="0" w:afterAutospacing="0" w:after="0"/>
              <w:ind w:left="54" w:hanging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№ </w:t>
            </w:r>
            <w:r>
              <w:rPr>
                <w:rFonts w:cs="Times New Roman" w:ascii="Times New Roman" w:hAnsi="Times New Roman"/>
                <w:b/>
              </w:rPr>
              <w:t>п/п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15"/>
              <w:keepNext w:val="true"/>
              <w:widowControl w:val="false"/>
              <w:shd w:val="clear" w:color="auto" w:fill="FFFFFF" w:themeFill="background1"/>
              <w:spacing w:beforeAutospacing="0" w:before="0" w:afterAutospacing="0" w:after="0"/>
              <w:ind w:left="44" w:hanging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Требование к участникам</w:t>
            </w:r>
          </w:p>
        </w:tc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tcMar>
              <w:top w:w="0" w:type="dxa"/>
              <w:left w:w="10" w:type="dxa"/>
              <w:right w:w="10" w:type="dxa"/>
            </w:tcMar>
            <w:vAlign w:val="center"/>
          </w:tcPr>
          <w:p>
            <w:pPr>
              <w:pStyle w:val="Normal"/>
              <w:keepNext w:val="true"/>
              <w:widowControl w:val="false"/>
              <w:shd w:val="clear" w:color="auto" w:fill="FFFFFF" w:themeFill="background1"/>
              <w:ind w:left="158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>
        <w:trPr>
          <w:trHeight w:val="20" w:hRule="atLeast"/>
        </w:trPr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15"/>
              <w:widowControl w:val="false"/>
              <w:shd w:val="clear" w:color="auto" w:fill="FFFFFF" w:themeFill="background1"/>
              <w:spacing w:beforeAutospacing="0" w:before="0" w:afterAutospacing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</w:rPr>
              <w:t>1.1.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tcMar>
              <w:top w:w="57" w:type="dxa"/>
              <w:left w:w="85" w:type="dxa"/>
              <w:bottom w:w="57" w:type="dxa"/>
              <w:right w:w="85" w:type="dxa"/>
            </w:tcMar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bCs/>
                <w:color w:val="000000"/>
                <w:spacing w:val="1"/>
                <w:sz w:val="24"/>
                <w:szCs w:val="24"/>
              </w:rPr>
            </w:pPr>
            <w:r>
              <w:rPr>
                <w:bCs/>
                <w:color w:val="000000"/>
                <w:spacing w:val="1"/>
                <w:sz w:val="24"/>
                <w:szCs w:val="24"/>
              </w:rPr>
              <w:t xml:space="preserve">Наличие у Участника закупки опыта (в стоимостном выражении) выполнения аналогичных поставок на сумму не менее 30% (тридцати процентов) от Начальной (максимальной) цены договора за последние 3 (Три) года, предшествующий дате окончания срока подачи заявок. </w:t>
            </w:r>
            <w:r>
              <w:rPr>
                <w:sz w:val="24"/>
              </w:rPr>
              <w:t xml:space="preserve">Соответствие установленному требованию подтверждается путем предоставления Участником закупки в составе своей заявки сведений о ранее выполненных договорах по форме </w:t>
            </w:r>
            <w:r>
              <w:rPr>
                <w:bCs/>
                <w:color w:val="000000"/>
                <w:spacing w:val="1"/>
                <w:sz w:val="24"/>
                <w:szCs w:val="24"/>
              </w:rPr>
              <w:t>приложения № 4 «Справка об опыте Участника».</w:t>
            </w:r>
          </w:p>
          <w:p>
            <w:pPr>
              <w:pStyle w:val="15"/>
              <w:keepNext w:val="true"/>
              <w:widowControl w:val="false"/>
              <w:shd w:val="clear" w:color="auto" w:fill="FFFFFF" w:themeFill="background1"/>
              <w:spacing w:beforeAutospacing="0" w:before="0" w:afterAutospacing="0" w:after="0"/>
              <w:ind w:left="44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tcMar>
              <w:top w:w="57" w:type="dxa"/>
              <w:left w:w="85" w:type="dxa"/>
              <w:bottom w:w="57" w:type="dxa"/>
              <w:right w:w="85" w:type="dxa"/>
            </w:tcMar>
          </w:tcPr>
          <w:p>
            <w:pPr>
              <w:pStyle w:val="15"/>
              <w:keepNext w:val="true"/>
              <w:widowControl w:val="false"/>
              <w:shd w:val="clear" w:color="auto" w:fill="FFFFFF" w:themeFill="background1"/>
              <w:spacing w:beforeAutospacing="0" w:before="0" w:afterAutospacing="0" w:after="0"/>
              <w:ind w:left="44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0" w:hRule="atLeast"/>
        </w:trPr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15"/>
              <w:widowControl w:val="false"/>
              <w:shd w:val="clear" w:color="auto" w:fill="FFFFFF" w:themeFill="background1"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</w:rPr>
              <w:t>1.2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tcMar>
              <w:top w:w="57" w:type="dxa"/>
              <w:left w:w="85" w:type="dxa"/>
              <w:bottom w:w="57" w:type="dxa"/>
              <w:right w:w="85" w:type="dxa"/>
            </w:tcMar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у Участника пункта выдачи продукции в Сергиево-Посадском городском округе Московской области.</w:t>
            </w:r>
          </w:p>
          <w:p>
            <w:pPr>
              <w:pStyle w:val="15"/>
              <w:keepNext w:val="true"/>
              <w:widowControl w:val="false"/>
              <w:shd w:val="clear" w:color="auto" w:fill="FFFFFF" w:themeFill="background1"/>
              <w:spacing w:beforeAutospacing="0" w:before="0" w:afterAutospacing="0" w:after="0"/>
              <w:ind w:left="44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tcMar>
              <w:top w:w="57" w:type="dxa"/>
              <w:left w:w="85" w:type="dxa"/>
              <w:bottom w:w="57" w:type="dxa"/>
              <w:right w:w="85" w:type="dxa"/>
            </w:tcMar>
          </w:tcPr>
          <w:p>
            <w:pPr>
              <w:pStyle w:val="15"/>
              <w:keepNext w:val="true"/>
              <w:widowControl w:val="false"/>
              <w:shd w:val="clear" w:color="auto" w:fill="FFFFFF" w:themeFill="background1"/>
              <w:spacing w:beforeAutospacing="0" w:before="0" w:afterAutospacing="0" w:after="0"/>
              <w:ind w:left="44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0" w:hRule="atLeast"/>
        </w:trPr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15"/>
              <w:widowControl w:val="false"/>
              <w:shd w:val="clear" w:color="auto" w:fill="FFFFFF" w:themeFill="background1"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</w:rPr>
              <w:t>1.3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tcMar>
              <w:top w:w="57" w:type="dxa"/>
              <w:left w:w="85" w:type="dxa"/>
              <w:bottom w:w="57" w:type="dxa"/>
              <w:right w:w="85" w:type="dxa"/>
            </w:tcMar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у Участника интернет-площадки с возможностью регистрации личного кабинета Покупателя и определения единичной расценки продукции.</w:t>
            </w:r>
          </w:p>
        </w:tc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tcMar>
              <w:top w:w="57" w:type="dxa"/>
              <w:left w:w="85" w:type="dxa"/>
              <w:bottom w:w="57" w:type="dxa"/>
              <w:right w:w="85" w:type="dxa"/>
            </w:tcMar>
          </w:tcPr>
          <w:p>
            <w:pPr>
              <w:pStyle w:val="15"/>
              <w:keepNext w:val="true"/>
              <w:widowControl w:val="false"/>
              <w:shd w:val="clear" w:color="auto" w:fill="FFFFFF" w:themeFill="background1"/>
              <w:spacing w:beforeAutospacing="0" w:before="0" w:afterAutospacing="0" w:after="0"/>
              <w:ind w:left="44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sz w:val="24"/>
          <w:szCs w:val="24"/>
          <w:lang w:val="ru-RU"/>
        </w:rPr>
      </w:pPr>
      <w:bookmarkStart w:id="21" w:name="_Toc53393312"/>
      <w:bookmarkStart w:id="22" w:name="_Toc53395937"/>
      <w:r>
        <w:rPr>
          <w:sz w:val="24"/>
          <w:szCs w:val="24"/>
          <w:lang w:val="ru-RU"/>
        </w:rPr>
        <w:t>Требования к документации по ценообразованию</w:t>
      </w:r>
      <w:bookmarkEnd w:id="21"/>
      <w:bookmarkEnd w:id="22"/>
      <w:r>
        <w:rPr>
          <w:sz w:val="24"/>
          <w:szCs w:val="24"/>
          <w:lang w:val="ru-RU"/>
        </w:rPr>
        <w:t xml:space="preserve"> на этапе закупки</w:t>
      </w:r>
      <w:bookmarkEnd w:id="20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bCs/>
          <w:i/>
          <w:i/>
          <w:iCs/>
          <w:sz w:val="24"/>
          <w:szCs w:val="24"/>
          <w:shd w:fill="FFFF99" w:val="clear"/>
        </w:rPr>
      </w:pPr>
      <w:bookmarkStart w:id="23" w:name="_Toc46743519"/>
      <w:bookmarkStart w:id="24" w:name="_Toc51339699"/>
      <w:r>
        <w:rPr>
          <w:bCs/>
          <w:sz w:val="24"/>
          <w:szCs w:val="24"/>
        </w:rPr>
        <w:tab/>
        <w:t>В стоимость услуг входят затраты Исполнителя, связанные с оказанием Услуг, в том числе налоги, сборы, пошлины и другие обязательные платежи, расходы на содержание, эксплуатацию, и прочие расходы, которые Исполнитель оплачивает в соответствии с условиями Договора или на иных основаниях. Цены остаются фиксированными и не подлежат изменению с момента заключения Договора.</w:t>
      </w:r>
      <w:bookmarkEnd w:id="23"/>
      <w:bookmarkEnd w:id="2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Начальник</w:t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Загорского транспортного участка</w:t>
      </w:r>
    </w:p>
    <w:p>
      <w:pPr>
        <w:sectPr>
          <w:headerReference w:type="default" r:id="rId7"/>
          <w:headerReference w:type="first" r:id="rId8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Центрального филиала АО «ТК РусГидро» </w:t>
        <w:tab/>
        <w:tab/>
        <w:tab/>
        <w:tab/>
        <w:tab/>
        <w:t>А.В. Урманов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к Техническим требованиям</w:t>
      </w:r>
    </w:p>
    <w:p>
      <w:pPr>
        <w:pStyle w:val="Normal"/>
        <w:jc w:val="center"/>
        <w:rPr>
          <w:b/>
        </w:rPr>
      </w:pPr>
      <w:r>
        <w:rPr>
          <w:b/>
        </w:rPr>
        <w:t>Заявка на приобретение (форма)</w:t>
      </w:r>
    </w:p>
    <w:p>
      <w:pPr>
        <w:pStyle w:val="Normal"/>
        <w:rPr/>
      </w:pPr>
      <w:r>
        <w:rPr/>
        <w:t>Филиал: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Транспортный участок/представительство: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Марка и модель транспортного средства: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Гос. номер транспортного средства: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Год выпуска транспортного средства: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lang w:val="en-US"/>
        </w:rPr>
        <w:t>VIN</w:t>
      </w:r>
      <w:r>
        <w:rPr/>
        <w:t xml:space="preserve"> код транспортного средства: </w:t>
      </w:r>
    </w:p>
    <w:p>
      <w:pPr>
        <w:pStyle w:val="Normal"/>
        <w:rPr/>
      </w:pPr>
      <w:r>
        <w:rPr/>
      </w:r>
    </w:p>
    <w:tbl>
      <w:tblPr>
        <w:tblW w:w="947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381"/>
        <w:gridCol w:w="1428"/>
        <w:gridCol w:w="1840"/>
        <w:gridCol w:w="1562"/>
        <w:gridCol w:w="708"/>
        <w:gridCol w:w="1706"/>
        <w:gridCol w:w="1852"/>
      </w:tblGrid>
      <w:tr>
        <w:trPr>
          <w:trHeight w:val="808" w:hRule="atLeast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Фирма-производитель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Каталожный номер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изм.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Необходимое количество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Необходимый срок поставки в днях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79" w:hRule="atLeast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79" w:hRule="atLeast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  <w:t>Механик _______________                                                           (ФИО, подпись)</w:t>
      </w:r>
    </w:p>
    <w:p>
      <w:pPr>
        <w:pStyle w:val="Normal"/>
        <w:rPr>
          <w:lang w:val="en-US"/>
        </w:rPr>
      </w:pPr>
      <w:r>
        <w:rPr/>
        <w:t>Дата: ___.___._____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2 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к Техническим требованиям</w:t>
      </w:r>
    </w:p>
    <w:p>
      <w:pPr>
        <w:pStyle w:val="Normal"/>
        <w:jc w:val="center"/>
        <w:rPr>
          <w:b/>
        </w:rPr>
      </w:pPr>
      <w:r>
        <w:rPr>
          <w:b/>
        </w:rPr>
        <w:t>Аналитическая записка</w:t>
      </w:r>
    </w:p>
    <w:p>
      <w:pPr>
        <w:pStyle w:val="Normal"/>
        <w:jc w:val="center"/>
        <w:rPr>
          <w:b/>
        </w:rPr>
      </w:pPr>
      <w:r>
        <w:rPr>
          <w:b/>
        </w:rPr>
        <w:t>о результатах сравнения стоимости номенклатуры в личных кабинетах онлайн площадок продаж (форма)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>В рамках сравнения стоимости номенклатуры, необходимой к поставке, в личных кабинетах онлайн площадок продаж контрагентов получены следующие результаты.</w:t>
      </w:r>
    </w:p>
    <w:tbl>
      <w:tblPr>
        <w:tblW w:w="14317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45"/>
        <w:gridCol w:w="1715"/>
        <w:gridCol w:w="1732"/>
        <w:gridCol w:w="1210"/>
        <w:gridCol w:w="994"/>
        <w:gridCol w:w="2552"/>
        <w:gridCol w:w="1983"/>
        <w:gridCol w:w="1856"/>
        <w:gridCol w:w="1828"/>
      </w:tblGrid>
      <w:tr>
        <w:trPr/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Фирма-производитель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Каталожный номер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Параметры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сравнения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______ по франшизе ________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(договор поставки №___ от _____)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______ по франшизе ________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(договор поставки №___ от _____)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______ по франшизе ________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(договор поставки №___ от _____)</w:t>
            </w:r>
          </w:p>
        </w:tc>
      </w:tr>
      <w:tr>
        <w:trPr>
          <w:trHeight w:val="293" w:hRule="atLeast"/>
        </w:trPr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в руб. без НДС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92" w:hRule="atLeast"/>
        </w:trPr>
        <w:tc>
          <w:tcPr>
            <w:tcW w:w="4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поставки в днях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</w:tr>
      <w:tr>
        <w:trPr>
          <w:trHeight w:val="278" w:hRule="atLeast"/>
        </w:trPr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в руб. без НДС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7" w:hRule="atLeast"/>
        </w:trPr>
        <w:tc>
          <w:tcPr>
            <w:tcW w:w="4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поставки в днях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</w:tr>
      <w:tr>
        <w:trPr>
          <w:trHeight w:val="104" w:hRule="atLeast"/>
        </w:trPr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в руб. без НДС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поставки в днях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По результатам анализа (без учета НДС) наиболее выгодным для покупателя является:</w:t>
      </w:r>
    </w:p>
    <w:p>
      <w:pPr>
        <w:pStyle w:val="Normal"/>
        <w:rPr/>
      </w:pPr>
      <w:r>
        <w:rPr/>
        <w:t>предложение ИП ______ по франшизе ________ (договор поставки №___ от _____) по позиции №3</w:t>
      </w:r>
    </w:p>
    <w:p>
      <w:pPr>
        <w:pStyle w:val="Normal"/>
        <w:rPr/>
      </w:pPr>
      <w:r>
        <w:rPr/>
        <w:t>предложение ИП ______ по франшизе ________ (договор поставки №___ от _____) по позиции № 1,2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_______________                    _______________   _______________     _______________</w:t>
      </w:r>
    </w:p>
    <w:p>
      <w:pPr>
        <w:pStyle w:val="Normal"/>
        <w:rPr>
          <w:sz w:val="20"/>
          <w:szCs w:val="20"/>
        </w:rPr>
      </w:pPr>
      <w:r>
        <w:rPr/>
        <w:t>____(</w:t>
      </w:r>
      <w:r>
        <w:rPr>
          <w:sz w:val="20"/>
          <w:szCs w:val="20"/>
        </w:rPr>
        <w:t>должность)                                          (подпись)                                 Ф.И.О.                                     (дата)</w:t>
      </w:r>
    </w:p>
    <w:p>
      <w:pPr>
        <w:sectPr>
          <w:headerReference w:type="default" r:id="rId9"/>
          <w:headerReference w:type="first" r:id="rId10"/>
          <w:type w:val="nextPage"/>
          <w:pgSz w:orient="landscape" w:w="16838" w:h="11906"/>
          <w:pgMar w:left="1134" w:right="1134" w:gutter="0" w:header="709" w:top="1134" w:footer="0" w:bottom="567"/>
          <w:pgNumType w:fmt="decimal"/>
          <w:formProt w:val="false"/>
          <w:textDirection w:val="lrTb"/>
          <w:docGrid w:type="default" w:linePitch="381" w:charSpace="0"/>
        </w:sectPr>
        <w:pStyle w:val="Normal"/>
        <w:rPr/>
      </w:pPr>
      <w:r>
        <w:rPr/>
        <w:t xml:space="preserve">   </w:t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/>
      </w:r>
    </w:p>
    <w:sectPr>
      <w:headerReference w:type="default" r:id="rId11"/>
      <w:headerReference w:type="first" r:id="rId12"/>
      <w:type w:val="nextPage"/>
      <w:pgSz w:orient="landscape" w:w="16838" w:h="11906"/>
      <w:pgMar w:left="992" w:right="1134" w:gutter="0" w:header="680" w:top="1134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14</w:t>
    </w:r>
    <w:r>
      <w:rPr/>
      <w:fldChar w:fldCharType="end"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2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2e318d"/>
    <w:pPr>
      <w:tabs>
        <w:tab w:val="clear" w:pos="708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Default" w:customStyle="1">
    <w:name w:val="Default"/>
    <w:qFormat/>
    <w:rsid w:val="002b091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000000"/>
      <w:kern w:val="0"/>
      <w:sz w:val="24"/>
      <w:szCs w:val="24"/>
      <w:lang w:val="ru-RU" w:eastAsia="en-US" w:bidi="ar-SA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header" Target="header10.xml"/><Relationship Id="rId12" Type="http://schemas.openxmlformats.org/officeDocument/2006/relationships/header" Target="header11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D4E18-53EB-4E85-9F90-D3AE429D1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Application>AlterOffice/3.4.0.9$Linux_X86_64 LibreOffice_project/b8daf9e823b1a5463a2f48435ddc2e8696e7d4fc</Application>
  <AppVersion>15.0000</AppVersion>
  <Pages>13</Pages>
  <Words>1840</Words>
  <Characters>11620</Characters>
  <CharactersWithSpaces>13321</CharactersWithSpaces>
  <Paragraphs>357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2023-04-20T07:37:00Z</dcterms:created>
  <dc:creator>Быстров Олег Геннадьевич</dc:creator>
  <dc:description/>
  <dc:language>ru-RU</dc:language>
  <cp:lastModifiedBy>urmanovav@corp.gidroogk.com</cp:lastModifiedBy>
  <cp:lastPrinted>2025-05-12T11:38:41Z</cp:lastPrinted>
  <dcterms:modified xsi:type="dcterms:W3CDTF">2026-09-14T10:06:08Z</dcterms:modified>
  <cp:revision>28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