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962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9856287_Копия_1"/>
      <w:bookmarkStart w:id="1" w:name="_Toc137554584_Копия_1"/>
      <w:bookmarkStart w:id="2" w:name="_Toc141696704_Копия_1"/>
      <w:bookmarkStart w:id="3" w:name="_Toc139856287_Копия_1"/>
      <w:bookmarkStart w:id="4" w:name="_Toc137554584_Копия_1"/>
      <w:bookmarkStart w:id="5" w:name="_Toc141696704_Копия_1"/>
      <w:bookmarkEnd w:id="3"/>
      <w:bookmarkEnd w:id="4"/>
      <w:bookmarkEnd w:id="5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ОКПД2: 45.20.30.000 Оказание услуг по мойке легковых транспортных средств в населенном пункте Нерюнгри для нужд транспортного участка Нерюнгри и строительного участка Нерюнгри Дальневосточного филиала АО "ТК РусГидро"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ЛОТ № </w:t>
      </w:r>
    </w:p>
    <w:p>
      <w:pPr>
        <w:pStyle w:val="Normal"/>
        <w:keepNext w:val="true"/>
        <w:keepLine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54643697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rFonts w:eastAsia="" w:eastAsiaTheme="minorEastAsia"/>
              <w:b/>
              <w:bCs/>
              <w:i/>
              <w:i/>
              <w:sz w:val="24"/>
              <w:szCs w:val="24"/>
            </w:rPr>
          </w:pPr>
          <w:r>
            <w:rPr>
              <w:rFonts w:eastAsia="" w:eastAsiaTheme="minorEastAsia"/>
              <w:b/>
              <w:sz w:val="24"/>
              <w:szCs w:val="24"/>
              <w:lang w:val="x-none"/>
            </w:rPr>
            <w:t>Таблица 2.1. Список ТС Хабаровского ТУ</w:t>
          </w:r>
          <w:r>
            <w:rPr>
              <w:rFonts w:eastAsia="" w:eastAsiaTheme="minorEastAsia"/>
              <w:b/>
              <w:sz w:val="24"/>
              <w:szCs w:val="24"/>
            </w:rPr>
            <w:t xml:space="preserve">                                                                                      4</w:t>
          </w:r>
        </w:p>
        <w:p>
          <w:pPr>
            <w:pStyle w:val="Normal"/>
            <w:rPr>
              <w:rFonts w:eastAsia="" w:eastAsiaTheme="minorEastAsia"/>
              <w:b/>
              <w:bCs/>
              <w:i/>
              <w:i/>
              <w:sz w:val="24"/>
              <w:szCs w:val="24"/>
            </w:rPr>
          </w:pPr>
          <w:r>
            <w:rPr>
              <w:rFonts w:eastAsia="" w:eastAsiaTheme="minorEastAsia"/>
              <w:b/>
              <w:bCs/>
              <w:i/>
              <w:sz w:val="24"/>
              <w:szCs w:val="24"/>
            </w:rPr>
            <w:t xml:space="preserve">      </w:t>
          </w:r>
          <w:r>
            <w:rPr>
              <w:rFonts w:eastAsia="" w:eastAsiaTheme="minorEastAsia"/>
              <w:b w:val="false"/>
              <w:bCs w:val="false"/>
              <w:i w:val="false"/>
              <w:iCs w:val="false"/>
              <w:sz w:val="24"/>
              <w:szCs w:val="24"/>
            </w:rPr>
            <w:t xml:space="preserve">  </w:t>
          </w:r>
          <w:r>
            <w:rPr>
              <w:rFonts w:eastAsia="" w:eastAsiaTheme="minorEastAsia"/>
              <w:b w:val="false"/>
              <w:bCs w:val="false"/>
              <w:i w:val="false"/>
              <w:iCs w:val="false"/>
              <w:sz w:val="24"/>
              <w:szCs w:val="24"/>
            </w:rPr>
            <w:t>2.1.2.</w:t>
            <w:tab/>
            <w:t>Требования к срокам оказания услуг</w:t>
            <w:tab/>
            <w:t>……………………………………………5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</w:r>
          </w:hyperlink>
          <w:r>
            <w:rPr>
              <w:rFonts w:eastAsia="" w:cs="" w:ascii="Calibri" w:hAnsi="Calibri" w:asciiTheme="minorHAnsi" w:cstheme="minorBidi" w:eastAsiaTheme="minorEastAsia" w:hAnsiTheme="minorHAnsi"/>
              <w:b w:val="false"/>
              <w:bCs w:val="false"/>
              <w:vanish w:val="false"/>
            </w:rPr>
            <w:t>5</w:t>
          </w:r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6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</w:r>
          </w:hyperlink>
          <w:r>
            <w:rPr>
              <w:rFonts w:eastAsia="" w:cs="" w:ascii="Calibri" w:hAnsi="Calibri" w:asciiTheme="minorHAnsi" w:cstheme="minorBidi" w:eastAsiaTheme="minorEastAsia" w:hAnsiTheme="minorHAnsi"/>
              <w:b w:val="false"/>
              <w:bCs w:val="false"/>
              <w:vanish w:val="false"/>
            </w:rPr>
            <w:t>6</w:t>
          </w:r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rFonts w:eastAsia="" w:cs="" w:ascii="Calibri" w:hAnsi="Calibri" w:asciiTheme="minorHAnsi" w:cstheme="minorBidi" w:eastAsiaTheme="minorEastAsia" w:hAnsiTheme="minorHAnsi"/>
              <w:b w:val="false"/>
              <w:bCs w:val="false"/>
              <w:vanish w:val="false"/>
            </w:rPr>
            <w:t>10</w:t>
          </w:r>
          <w:r>
            <w:rPr>
              <w:b w:val="false"/>
              <w:bCs w:val="false"/>
              <w:vanish w:val="false"/>
              <w:rFonts w:eastAsia="" w:cs="" w:ascii="Calibri" w:hAnsi="Calibri"/>
            </w:rPr>
            <w:fldChar w:fldCharType="end"/>
          </w:r>
        </w:p>
      </w:sdtContent>
    </w:sdt>
    <w:p>
      <w:pPr>
        <w:pStyle w:val="TOC1"/>
        <w:tabs>
          <w:tab w:val="clear" w:pos="709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</w:rPr>
      </w:pPr>
      <w:r>
        <w:rPr>
          <w:rFonts w:eastAsia="" w:cs="" w:cstheme="minorBidi" w:eastAsiaTheme="minorEastAsia" w:ascii="Calibri" w:hAnsi="Calibri"/>
          <w:b w:val="false"/>
          <w:bCs w:val="false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</w:rPr>
      </w:pPr>
      <w:r>
        <w:rPr>
          <w:rFonts w:eastAsia="" w:cs="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1"/>
        </w:numPr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rPr>
          <w:caps/>
        </w:rPr>
      </w:pPr>
      <w:bookmarkStart w:id="6" w:name="_Toc54643694"/>
      <w:r>
        <w:rPr>
          <w:lang w:val="ru-RU"/>
        </w:rPr>
        <w:t xml:space="preserve">1. </w:t>
      </w:r>
      <w:r>
        <w:rPr/>
        <w:t>Общие сведения</w:t>
      </w:r>
      <w:bookmarkEnd w:id="6"/>
    </w:p>
    <w:p>
      <w:pPr>
        <w:pStyle w:val="Heading4"/>
        <w:numPr>
          <w:ilvl w:val="1"/>
        </w:numPr>
        <w:rPr/>
      </w:pPr>
      <w:bookmarkStart w:id="7" w:name="_Toc46743505"/>
      <w:bookmarkStart w:id="8" w:name="_Toc54643695"/>
      <w:r>
        <w:rPr>
          <w:lang w:val="ru-RU"/>
        </w:rPr>
        <w:t xml:space="preserve">1.1. </w:t>
      </w:r>
      <w:r>
        <w:rPr/>
        <w:t>Обозначения и сокращения</w:t>
      </w:r>
      <w:bookmarkEnd w:id="7"/>
      <w:bookmarkEnd w:id="8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>
                <w:sz w:val="26"/>
                <w:szCs w:val="26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>
                <w:sz w:val="26"/>
                <w:szCs w:val="26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>
                <w:sz w:val="26"/>
                <w:szCs w:val="26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Транспортный участок</w:t>
            </w:r>
          </w:p>
        </w:tc>
      </w:tr>
    </w:tbl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1"/>
        </w:numPr>
        <w:rPr/>
      </w:pPr>
      <w:bookmarkStart w:id="9" w:name="_Toc46743506"/>
      <w:bookmarkStart w:id="10" w:name="_Toc54643696"/>
      <w:r>
        <w:rPr>
          <w:lang w:val="ru-RU"/>
        </w:rPr>
        <w:t xml:space="preserve">1.2. </w:t>
      </w:r>
      <w:r>
        <w:rPr/>
        <w:t>Наименование закупаемой продукции</w:t>
      </w:r>
      <w:bookmarkEnd w:id="9"/>
      <w:bookmarkEnd w:id="10"/>
    </w:p>
    <w:p>
      <w:pPr>
        <w:pStyle w:val="Normal"/>
        <w:keepNext w:val="true"/>
        <w:keepLines/>
        <w:tabs>
          <w:tab w:val="clear" w:pos="709"/>
          <w:tab w:val="left" w:pos="567" w:leader="none"/>
        </w:tabs>
        <w:jc w:val="both"/>
        <w:rPr>
          <w:b w:val="false"/>
          <w:bCs w:val="false"/>
        </w:rPr>
      </w:pPr>
      <w:r>
        <w:rPr>
          <w:b w:val="false"/>
          <w:bCs w:val="false"/>
          <w:color w:val="171717" w:themeColor="background2" w:themeShade="1a"/>
          <w:sz w:val="26"/>
          <w:szCs w:val="26"/>
          <w:shd w:fill="FFFFFF" w:val="clear"/>
        </w:rPr>
        <w:t>ОКПД2: 45.20.30.000 Оказание услуг по мойке легковых транспортных средств в населенном пункте Нерюнгри для нужд транспортного участка Нерюнгри и строительного участка Нерюнгри Дальневосточного филиала АО "ТК РусГидро"</w:t>
      </w:r>
      <w:bookmarkStart w:id="11" w:name="_Toc46743507"/>
    </w:p>
    <w:p>
      <w:pPr>
        <w:pStyle w:val="Heading4"/>
        <w:numPr>
          <w:ilvl w:val="1"/>
        </w:numPr>
        <w:rPr>
          <w:i/>
          <w:i/>
          <w:shd w:fill="FFFF99" w:val="clear"/>
        </w:rPr>
      </w:pPr>
      <w:bookmarkStart w:id="12" w:name="_Toc54643697"/>
      <w:r>
        <w:rPr>
          <w:lang w:val="ru-RU"/>
        </w:rPr>
        <w:t xml:space="preserve">1.3. </w:t>
      </w:r>
      <w:r>
        <w:rPr/>
        <w:t xml:space="preserve">Цель </w:t>
      </w:r>
      <w:bookmarkEnd w:id="11"/>
      <w:r>
        <w:rPr/>
        <w:t xml:space="preserve">оказания услуг </w:t>
      </w:r>
      <w:bookmarkEnd w:id="12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Поддержание чистоты (внешнего вида и внутреннего интерьера) </w:t>
      </w:r>
      <w:r>
        <w:rPr>
          <w:color w:val="171717"/>
          <w:sz w:val="24"/>
          <w:szCs w:val="24"/>
          <w:shd w:fill="FFFFFF" w:val="clear"/>
        </w:rPr>
        <w:t xml:space="preserve">транспортных средств транспортного участка Нерюнгри и строительного участка Нерюнгри в соответствии с «Основными положениями транспортных средств и эксплуатации» и для обеспечения эффективной защиты кузова транспортных средств от воздействия внешних агрессивных факторов. </w:t>
      </w:r>
    </w:p>
    <w:p>
      <w:pPr>
        <w:pStyle w:val="Heading1"/>
        <w:rPr>
          <w:rStyle w:val="Style8"/>
          <w:b/>
          <w:i w:val="false"/>
          <w:i w:val="false"/>
          <w:sz w:val="26"/>
          <w:szCs w:val="26"/>
          <w:shd w:fill="auto" w:val="clear"/>
          <w:lang w:val="ru-RU"/>
        </w:rPr>
      </w:pPr>
      <w:bookmarkStart w:id="13" w:name="_Toc54643699"/>
      <w:r>
        <w:rPr/>
        <w:t>Таблица 1. Перечень объектов заказчика</w:t>
      </w:r>
      <w:bookmarkEnd w:id="13"/>
    </w:p>
    <w:tbl>
      <w:tblPr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05"/>
        <w:gridCol w:w="2651"/>
        <w:gridCol w:w="2205"/>
        <w:gridCol w:w="2784"/>
        <w:gridCol w:w="1615"/>
      </w:tblGrid>
      <w:tr>
        <w:trPr/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588" w:hRule="atLeast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ОКПД2: 45.20.30.000 Оказание услуг по мойке легковых транспортных средств в населенном пункте Нерюнгри для нужд транспортного участка Нерюнгри и строительного участка Нерюнгри Дальневосточного филиала АО "ТК РусГидро"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Республика Саха (Якутия),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г. Нерюнгри,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9"/>
                <w:tab w:val="left" w:pos="321" w:leader="none"/>
              </w:tabs>
              <w:ind w:left="37" w:hanging="0"/>
              <w:jc w:val="center"/>
              <w:rPr>
                <w:sz w:val="22"/>
                <w:szCs w:val="22"/>
              </w:rPr>
            </w:pPr>
            <w:r>
              <w:rPr>
                <w:color w:val="171717" w:themeColor="background2" w:themeShade="1a"/>
                <w:sz w:val="22"/>
                <w:szCs w:val="22"/>
                <w:shd w:fill="FFFFFF" w:val="clear"/>
              </w:rPr>
              <w:t>ТС транспортного участка Нерюнгри и строительного участка Нерюнгри (список ТС Таблица 2.1. ТТ)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21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8"/>
        </w:numPr>
        <w:rPr>
          <w:caps/>
          <w:lang w:val="ru-RU"/>
        </w:rPr>
      </w:pPr>
      <w:bookmarkStart w:id="14" w:name="_Toc51339693"/>
      <w:bookmarkStart w:id="15" w:name="_Toc54643702"/>
      <w:bookmarkStart w:id="16" w:name="_Toc50125126"/>
      <w:bookmarkStart w:id="17" w:name="_Toc46743510"/>
      <w:bookmarkEnd w:id="16"/>
      <w:bookmarkEnd w:id="17"/>
      <w:r>
        <w:rPr>
          <w:lang w:val="ru-RU"/>
        </w:rPr>
        <w:t>Требования</w:t>
      </w:r>
      <w:r>
        <w:rPr/>
        <w:t xml:space="preserve"> к продукции</w:t>
      </w:r>
      <w:bookmarkEnd w:id="14"/>
      <w:bookmarkEnd w:id="15"/>
    </w:p>
    <w:p>
      <w:pPr>
        <w:pStyle w:val="Heading4"/>
        <w:numPr>
          <w:ilvl w:val="1"/>
          <w:numId w:val="8"/>
        </w:numPr>
        <w:rPr/>
      </w:pPr>
      <w:bookmarkStart w:id="18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8"/>
    </w:p>
    <w:p>
      <w:pPr>
        <w:pStyle w:val="Heading3"/>
        <w:numPr>
          <w:ilvl w:val="2"/>
          <w:numId w:val="8"/>
        </w:numPr>
        <w:rPr/>
      </w:pPr>
      <w:bookmarkStart w:id="19" w:name="_Toc54643704"/>
      <w:r>
        <w:rPr/>
        <w:t>Требования к перечню и объему услуг</w:t>
      </w:r>
      <w:bookmarkEnd w:id="19"/>
    </w:p>
    <w:p>
      <w:pPr>
        <w:pStyle w:val="Heading1"/>
        <w:rPr/>
      </w:pPr>
      <w:bookmarkStart w:id="20" w:name="_Toc54643705"/>
      <w:bookmarkStart w:id="21" w:name="_Toc51339695"/>
      <w:r>
        <w:rPr/>
        <w:t xml:space="preserve">Таблица 2. Перечень </w:t>
      </w:r>
      <w:bookmarkEnd w:id="21"/>
      <w:r>
        <w:rPr/>
        <w:t>и объем оказываемых услуг</w:t>
      </w:r>
      <w:bookmarkEnd w:id="20"/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50"/>
        <w:gridCol w:w="4350"/>
        <w:gridCol w:w="2333"/>
        <w:gridCol w:w="2270"/>
      </w:tblGrid>
      <w:tr>
        <w:trPr>
          <w:trHeight w:val="652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Наименование услуг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Количество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1.</w:t>
            </w:r>
          </w:p>
        </w:tc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TOYOTA LAND CRUISER 200, TOYOTA HIACE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1.1.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Наружная мойка кузова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1.2.</w:t>
            </w: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Комплексная мойка и уборка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усл.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1.3.</w:t>
            </w: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Мойка двигателя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усл.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2.</w:t>
            </w:r>
          </w:p>
        </w:tc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TOYOTA LAND CRUISER 100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2.1.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Наружная мойка кузова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2.2</w:t>
            </w: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Комплексная мойка и уборка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усл.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2.3.</w:t>
            </w: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Мойка двигателя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усл.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32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3.</w:t>
            </w:r>
          </w:p>
        </w:tc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TOYOTA LAND CRUISER 150 (PRADO), HAVAL H9, УАЗ 315196</w:t>
            </w:r>
          </w:p>
        </w:tc>
      </w:tr>
      <w:tr>
        <w:trPr>
          <w:trHeight w:val="429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3.1</w:t>
            </w: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Наружная мойка кузова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усл.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3.2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Комплексная мойка и уборка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3.3.</w:t>
            </w: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Мойка двигателя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усл.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4.</w:t>
            </w:r>
          </w:p>
        </w:tc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TOYOTA HILUX, MITSUBISHI L200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4.1.</w:t>
            </w: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Наружная мойка кузова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усл.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4.2.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Комплексная мойка и уборка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4.3.</w:t>
            </w: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Мойка двигателя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усл.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5.</w:t>
            </w:r>
          </w:p>
        </w:tc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RENAULT DUSTER</w:t>
            </w:r>
          </w:p>
        </w:tc>
      </w:tr>
      <w:tr>
        <w:trPr>
          <w:trHeight w:val="318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5.1.</w:t>
            </w: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Наружная мойка кузова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усл.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65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5.2.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Комплексная мойка и уборка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365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5.3.</w:t>
            </w: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Мойка двигателя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усл.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>
      <w:pPr>
        <w:pStyle w:val="Heading3"/>
        <w:widowControl/>
        <w:numPr>
          <w:ilvl w:val="0"/>
          <w:numId w:val="0"/>
        </w:numPr>
        <w:suppressAutoHyphens w:val="true"/>
        <w:bidi w:val="0"/>
        <w:spacing w:before="0" w:after="0"/>
        <w:ind w:left="0" w:hanging="0"/>
        <w:jc w:val="left"/>
        <w:rPr>
          <w:rFonts w:ascii="Times New Roman" w:hAnsi="Times New Roman" w:eastAsia="Calibri" w:cs="Times New Roman"/>
          <w:color w:val="auto"/>
          <w:kern w:val="0"/>
          <w:sz w:val="28"/>
          <w:szCs w:val="28"/>
          <w:lang w:val="x-none" w:eastAsia="x-none" w:bidi="ar-SA"/>
        </w:rPr>
      </w:pPr>
      <w:r>
        <w:rPr>
          <w:rFonts w:eastAsia="Calibri" w:cs="Times New Roman"/>
          <w:color w:val="auto"/>
          <w:kern w:val="0"/>
          <w:sz w:val="28"/>
          <w:szCs w:val="28"/>
          <w:lang w:val="x-none" w:eastAsia="x-none" w:bidi="ar-SA"/>
        </w:rPr>
        <w:t xml:space="preserve">* Объем продукции является ориентировочным, Заказчик не несет ответственности за неполную выборку продукции на общую сумму договора. </w:t>
      </w:r>
    </w:p>
    <w:p>
      <w:pPr>
        <w:pStyle w:val="Normal"/>
        <w:rPr/>
      </w:pPr>
      <w:r>
        <w:rPr/>
      </w:r>
    </w:p>
    <w:p>
      <w:pPr>
        <w:pStyle w:val="Heading3"/>
        <w:rPr>
          <w:bCs/>
          <w:i/>
          <w:i/>
        </w:rPr>
      </w:pPr>
      <w:r>
        <w:rPr/>
        <w:t>Таблица 2.1. Список ТС Хабаровского ТУ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46"/>
        <w:gridCol w:w="4066"/>
        <w:gridCol w:w="2129"/>
        <w:gridCol w:w="2822"/>
      </w:tblGrid>
      <w:tr>
        <w:trPr>
          <w:trHeight w:val="307" w:hRule="atLeast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DEDED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Марка автомобиля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DEDED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Год. выпуска</w:t>
            </w:r>
          </w:p>
        </w:tc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Гос номер</w:t>
            </w:r>
          </w:p>
        </w:tc>
      </w:tr>
      <w:tr>
        <w:trPr>
          <w:trHeight w:val="307" w:hRule="atLeast"/>
        </w:trPr>
        <w:tc>
          <w:tcPr>
            <w:tcW w:w="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259" w:hRule="atLeast"/>
        </w:trPr>
        <w:tc>
          <w:tcPr>
            <w:tcW w:w="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307" w:hRule="atLeast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TOYOTA LAND CRUISER 150(PRADO)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2015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Т 101 АС 15</w:t>
            </w:r>
          </w:p>
        </w:tc>
      </w:tr>
      <w:tr>
        <w:trPr>
          <w:trHeight w:val="307" w:hRule="atLeast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TOYOTA LAND CRUISER 200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2015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К 647 ВЕ 790</w:t>
            </w:r>
          </w:p>
        </w:tc>
      </w:tr>
      <w:tr>
        <w:trPr>
          <w:trHeight w:val="307" w:hRule="atLeast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TOYOTA LAND CRUISER 100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2007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Е 800 ОО 05</w:t>
            </w:r>
          </w:p>
        </w:tc>
      </w:tr>
      <w:tr>
        <w:trPr>
          <w:trHeight w:val="307" w:hRule="atLeast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Toyota Hiace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2015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Е 885 ТО 28</w:t>
            </w:r>
          </w:p>
        </w:tc>
      </w:tr>
      <w:tr>
        <w:trPr>
          <w:trHeight w:val="307" w:hRule="atLeast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RENAULT DUSTER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2019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В 838 ОЕ 763</w:t>
            </w:r>
          </w:p>
        </w:tc>
      </w:tr>
      <w:tr>
        <w:trPr>
          <w:trHeight w:val="307" w:hRule="atLeast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HAVAL H9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2026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Х 925 МУ 19</w:t>
            </w:r>
          </w:p>
        </w:tc>
      </w:tr>
      <w:tr>
        <w:trPr>
          <w:trHeight w:val="307" w:hRule="atLeast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Toyota Hilux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2020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Р 386 КО 27</w:t>
            </w:r>
          </w:p>
        </w:tc>
      </w:tr>
      <w:tr>
        <w:trPr>
          <w:trHeight w:val="372" w:hRule="atLeast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УАЗ 315196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2011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В 996 РР 28</w:t>
            </w:r>
          </w:p>
        </w:tc>
      </w:tr>
      <w:tr>
        <w:trPr>
          <w:trHeight w:val="438" w:hRule="atLeast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Mitsubishi L200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2020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8"/>
                <w:szCs w:val="28"/>
                <w:lang w:val="x-none" w:eastAsia="x-none" w:bidi="ar-SA"/>
              </w:rPr>
            </w:pPr>
            <w:r>
              <w:rPr/>
              <w:t>О 737 АС 790</w:t>
            </w:r>
          </w:p>
        </w:tc>
      </w:tr>
    </w:tbl>
    <w:p>
      <w:pPr>
        <w:pStyle w:val="Heading3"/>
        <w:numPr>
          <w:ilvl w:val="2"/>
          <w:numId w:val="8"/>
        </w:numPr>
        <w:rPr/>
      </w:pPr>
      <w:r>
        <w:rPr/>
        <w:t>Требования к срокам оказания услуг</w:t>
      </w:r>
    </w:p>
    <w:p>
      <w:pPr>
        <w:pStyle w:val="Heading1"/>
        <w:rPr>
          <w:lang w:val="ru-RU"/>
        </w:rPr>
      </w:pPr>
      <w:bookmarkStart w:id="22" w:name="_Toc54643707"/>
      <w:bookmarkStart w:id="23" w:name="_Toc50125127"/>
      <w:bookmarkStart w:id="24" w:name="_Toc51339697"/>
      <w:bookmarkStart w:id="25" w:name="_Toc50125126_Копия_1"/>
      <w:bookmarkEnd w:id="25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26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23"/>
      <w:bookmarkEnd w:id="24"/>
      <w:bookmarkEnd w:id="26"/>
      <w:r>
        <w:rPr>
          <w:lang w:val="ru-RU"/>
        </w:rPr>
        <w:t>оказания услуг</w:t>
      </w:r>
      <w:bookmarkEnd w:id="22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17"/>
        <w:gridCol w:w="2989"/>
        <w:gridCol w:w="2977"/>
        <w:gridCol w:w="2834"/>
      </w:tblGrid>
      <w:tr>
        <w:trPr/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ОКПД2: 45.20.30.000 Оказание услуг по мойке легковых транспортных средств в населенном пункте Нерюнгри для нужд транспортного участка Нерюнгри и строительного участка Нерюнгри Дальневосточного филиала АО "ТК РусГидро"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01.03.2027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31.12.2027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994" w:footer="0" w:bottom="1276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8"/>
        </w:numPr>
        <w:rPr/>
      </w:pPr>
      <w:r>
        <w:rPr/>
        <w:t xml:space="preserve">Требования к </w:t>
      </w:r>
      <w:r>
        <w:rPr>
          <w:lang w:val="ru-RU"/>
        </w:rPr>
        <w:t>качеству услуг</w:t>
      </w:r>
    </w:p>
    <w:p>
      <w:pPr>
        <w:pStyle w:val="Heading1"/>
        <w:rPr/>
      </w:pPr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r>
        <w:rPr>
          <w:lang w:val="ru-RU"/>
        </w:rPr>
        <w:t>качеству услуг</w:t>
      </w:r>
      <w:r>
        <w:rPr/>
        <w:t xml:space="preserve"> </w:t>
      </w:r>
    </w:p>
    <w:p>
      <w:pPr>
        <w:pStyle w:val="Normal"/>
        <w:tabs>
          <w:tab w:val="clear" w:pos="709"/>
          <w:tab w:val="left" w:pos="6946" w:leader="none"/>
        </w:tabs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Наименование услуг/этапа услуг:</w:t>
      </w:r>
      <w:r>
        <w:rPr>
          <w:sz w:val="26"/>
          <w:szCs w:val="26"/>
        </w:rPr>
        <w:t xml:space="preserve"> ОКПД2: 45.20.30.000 Оказание услуг по мойке легковых транспортных средств в населенном пункте Нерюнгри для нужд транспортного участка Нерюнгри и строительного участка Нерюнгри Дальневосточного филиала АО "ТК РусГидро"</w:t>
      </w:r>
    </w:p>
    <w:tbl>
      <w:tblPr>
        <w:tblStyle w:val="af"/>
        <w:tblW w:w="1462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1"/>
        <w:gridCol w:w="3543"/>
        <w:gridCol w:w="5100"/>
        <w:gridCol w:w="10"/>
        <w:gridCol w:w="1568"/>
        <w:gridCol w:w="10"/>
        <w:gridCol w:w="1829"/>
        <w:gridCol w:w="12"/>
        <w:gridCol w:w="1546"/>
        <w:gridCol w:w="14"/>
      </w:tblGrid>
      <w:tr>
        <w:trPr>
          <w:trHeight w:val="551" w:hRule="atLeast"/>
        </w:trPr>
        <w:tc>
          <w:tcPr>
            <w:tcW w:w="9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5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1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341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8" w:hanging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558" w:type="dxa"/>
            <w:gridSpan w:val="2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626" w:hRule="atLeast"/>
        </w:trPr>
        <w:tc>
          <w:tcPr>
            <w:tcW w:w="9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5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1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58" w:type="dxa"/>
            <w:gridSpan w:val="2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bookmarkStart w:id="27" w:name="_Toc53499667"/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</w:t>
            </w:r>
            <w:bookmarkEnd w:id="27"/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1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en-US" w:eastAsia="ru-RU" w:bidi="ar-SA"/>
              </w:rPr>
              <w:t>4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en-US" w:eastAsia="ru-RU" w:bidi="ar-SA"/>
              </w:rPr>
              <w:t>5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en-US" w:eastAsia="ru-RU" w:bidi="ar-SA"/>
              </w:rPr>
              <w:t>6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1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04" w:hanging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1361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04" w:hanging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1.1.1.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Порядок оказания услуг</w:t>
            </w:r>
          </w:p>
        </w:tc>
        <w:tc>
          <w:tcPr>
            <w:tcW w:w="5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оказывает услуги по мойке ТС согласно Таблицы №2.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04" w:hanging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1.1.2.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Условия проведения работ</w:t>
            </w:r>
          </w:p>
        </w:tc>
        <w:tc>
          <w:tcPr>
            <w:tcW w:w="5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Услуги должны оказываться Исполнителем в строгом соответствии с нормами законодательства Российской Федерации, настоящими техническим требованиями,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правилами производственной, пожарной, экологической безопасности, правилами техники безопасности и промсанитарии, действующими в отрасли.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841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1.1.3.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обеспечению сохранности и комплектности ТС на период оказания услуг</w:t>
            </w:r>
          </w:p>
        </w:tc>
        <w:tc>
          <w:tcPr>
            <w:tcW w:w="510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обязан обеспечить сохранность и комплектность ТС Заказчика на период оказания Услуг.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1039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4" w:hanging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1.1.4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качеству оказания услуг</w:t>
            </w:r>
          </w:p>
        </w:tc>
        <w:tc>
          <w:tcPr>
            <w:tcW w:w="5100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  <w:t>Качество оказанных Услуг должно соответствовать нормативно-технической и технологической документации.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4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1.1.5.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Осуществление контроля.</w:t>
            </w:r>
          </w:p>
        </w:tc>
        <w:tc>
          <w:tcPr>
            <w:tcW w:w="511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Осуществлять допуск Заказчика к проведению контроля за выполняемыми работами при оказании услуг по мойке ТС.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4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highlight w:val="green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highlight w:val="green"/>
                <w:lang w:val="ru-RU" w:eastAsia="ru-RU" w:bidi="ar-SA"/>
              </w:rPr>
            </w:r>
          </w:p>
        </w:tc>
        <w:tc>
          <w:tcPr>
            <w:tcW w:w="511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highlight w:val="green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highlight w:val="green"/>
                <w:lang w:val="ru-RU" w:eastAsia="ru-RU" w:bidi="ar-SA"/>
              </w:rPr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highlight w:val="green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highlight w:val="green"/>
                <w:lang w:val="ru-RU" w:eastAsia="ru-RU" w:bidi="ar-SA"/>
              </w:rPr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4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13632" w:type="dxa"/>
            <w:gridSpan w:val="9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способам оказания услуг</w:t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4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1.2.1</w:t>
            </w:r>
          </w:p>
        </w:tc>
        <w:tc>
          <w:tcPr>
            <w:tcW w:w="8653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Наружная мойка кузова транспортного средства должна включать в себя: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Мойка и сушка кузова, продув сжатым воздухом, мойка колесных дисков и подкрылок,  мойка или сухая чистка ковров транспортного средства (мойка кузова автомобилей под давлением, нанесение моющего средства с химическим составом, обеспечивающим сохранность лакокрасочного покрытия, смывание чистящего средства, мойка — очистка стекол с обеих сторон специальными средствами, сушка и протирка автомобиля; удаление влаги с кузова и дверных проемов до сухого состояния; мойка ковров) Мойка кузова транспортных средств может проводиться только бесконтактным способом.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4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1.2.2</w:t>
            </w:r>
          </w:p>
        </w:tc>
        <w:tc>
          <w:tcPr>
            <w:tcW w:w="8653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x-none" w:bidi="ar-SA"/>
              </w:rPr>
              <w:t>Комплексная мойка и уборка транспортного средства должна включать в себя: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Мойка и сушка кузова, продув сжатым воздухом, мойка колесных дисков и подкрылок,  мойка или сухая чистка ковров (мойка кузова автомобилей под давлением, нанесение моющего средства с химическим составом, обеспечивающим сохранность лакокрасочного покрытия, смывание чистящего средства, мойка — очистка стекол с обеих сторон специальными средствами, сушка и протирка автомобиля; удаление влаги с кузова и дверных проемов до сухого состояния; мойка ковров), уборка салона (влажная уборка пластика и торпедо), сухая уборка салона (БЕЗ БАГАЖНИКА) пылесосом;,очистка пепельницы, полировка пластика и торпедо, чернение резины.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Мойка кузова транспортных средств может проводиться только бесконтактным способом.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4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1.2.3.</w:t>
            </w:r>
          </w:p>
        </w:tc>
        <w:tc>
          <w:tcPr>
            <w:tcW w:w="8653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Мойка двигателя транспортного средства должна включать в себя: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Выбор моющего средства. Подготовка агрегата к мойке (обеспечить защиту систем и узлов агрегата и подкапотного пространства, АКБ от попадания влаги). Нанесение моющего средства. Смыв моющего средства. Снятие защиты от влаги. Сушка агрегата (сжатым воздухом).</w:t>
            </w:r>
          </w:p>
        </w:tc>
        <w:tc>
          <w:tcPr>
            <w:tcW w:w="157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6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1.3.</w:t>
            </w:r>
          </w:p>
        </w:tc>
        <w:tc>
          <w:tcPr>
            <w:tcW w:w="1361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1229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1.3.1</w:t>
            </w:r>
          </w:p>
        </w:tc>
        <w:tc>
          <w:tcPr>
            <w:tcW w:w="864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Исполнителем ведется Ведомость мойки и чистки автотранспортных средств Заказчика, в которой по каждому факту оказания услуги указываются сведения об автотранспортных средствах, в отношении которых были оказаны услуги, проставляется дата, объем оказанных услуг и их стоимость.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highlight w:val="green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highlight w:val="green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1.3.2.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Требование к оповещению Заказчика при возникновении ситуации которые могут привести к снижению безопасности эксплуатации ТС</w:t>
            </w:r>
          </w:p>
        </w:tc>
        <w:tc>
          <w:tcPr>
            <w:tcW w:w="510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обязан извещать Заказчика о возникновении в ходе оказания Услуг новых обстоятельств, обслуживаемого ТС, которые могут привести к снижению безопасности его эксплуатации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highlight w:val="green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highlight w:val="green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1.4.</w:t>
            </w:r>
          </w:p>
        </w:tc>
        <w:tc>
          <w:tcPr>
            <w:tcW w:w="1361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1.4.1.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характеристикам используемых материалов.</w:t>
            </w:r>
          </w:p>
        </w:tc>
        <w:tc>
          <w:tcPr>
            <w:tcW w:w="510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Все используемые химические, дезинфицирующие, ароматические средства не должны вызывать аллергии, не должны иметь резкого запаха.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ind w:left="4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предъявляет по требованию: сертификат соответствия, санитарно-эпидемиологическое заключение и гигиеническая характеристика на используемые средства.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8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1.4.2.</w:t>
            </w:r>
          </w:p>
        </w:tc>
        <w:tc>
          <w:tcPr>
            <w:tcW w:w="864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Химические средства, применяемые при оказании услуг по комплексной мойке, а также уборочный инвентарь (пылесос, протирочный материал, щетки, губки) должны использоваться в соответствии с требованиями инструкций фирм-изготовителей.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8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</w:t>
            </w:r>
          </w:p>
        </w:tc>
        <w:tc>
          <w:tcPr>
            <w:tcW w:w="864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 оказании услуг по мойке должны использоваться расходные материалы, безопасные для здоровья человека, не повреждающие лакокрасочные покрытия, пластиковые, кожаные, резиновые и тканевые и другие элементы транспортного средства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1.5</w:t>
            </w:r>
          </w:p>
        </w:tc>
        <w:tc>
          <w:tcPr>
            <w:tcW w:w="13618" w:type="dxa"/>
            <w:gridSpan w:val="8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1.5.1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510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обязан привлекать квалифицированный персонал в оказании услуг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38" w:hanging="38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1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слуг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303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8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1361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428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2.1.1</w:t>
            </w:r>
          </w:p>
        </w:tc>
        <w:tc>
          <w:tcPr>
            <w:tcW w:w="86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После проведения мойки транспортное средство должно быть без визуально контролируемых загрязнений, подтёков, пятен, разводов, волокон протирочного материала и других недостатков; с сохранностью лакокрасочного покрытия автомобиля от повреждений, в том числе повреждений от воздействия химических средств (белесых пятен и др.), микро повреждений от абразивного воздействия частиц грязи; с сохранностью обшивки, панелей и пластиковых элементов салона и сидений автомобиля; отсутствием влаги на электрооборудовании в моторном отсеке, сохранностью механизмов автомобиля;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34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2.2.</w:t>
            </w:r>
          </w:p>
        </w:tc>
        <w:tc>
          <w:tcPr>
            <w:tcW w:w="1361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431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2.2.1</w:t>
            </w:r>
          </w:p>
        </w:tc>
        <w:tc>
          <w:tcPr>
            <w:tcW w:w="86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2" w:hanging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Услуги оказываются в соответствии с Инструкцией по охране труда, требованиями СНиП, ГОСТ, СанПиН, ТУ и (или) иной нормативно-технической документации и настоящим Техническим заданием.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2.3.</w:t>
            </w:r>
          </w:p>
        </w:tc>
        <w:tc>
          <w:tcPr>
            <w:tcW w:w="1361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eastAsia="Times New Roman" w:cs="Times New Roman"/>
                <w:b w:val="false"/>
                <w:bCs/>
                <w:i w:val="false"/>
                <w:i w:val="false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слуг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2.3.1.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Проверка качества оказанных услуг</w:t>
            </w:r>
          </w:p>
        </w:tc>
        <w:tc>
          <w:tcPr>
            <w:tcW w:w="510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Приемка результатов оказания услуг путем подписания с двух сторон Акта сдачи-приемки Услуг, выставленного Исполнителем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2.3.2.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Осмотр транспортного средства после оказании услуги.</w:t>
            </w:r>
          </w:p>
        </w:tc>
        <w:tc>
          <w:tcPr>
            <w:tcW w:w="510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После оказания услуг Заказчик проводит визуальный осмотр транспортного средства на предмет соответствия оказанных услуг требованиям Заказчика.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2.4.</w:t>
            </w:r>
          </w:p>
        </w:tc>
        <w:tc>
          <w:tcPr>
            <w:tcW w:w="1361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2.4.1.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51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2.4.2.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Счет на оплату</w:t>
            </w:r>
          </w:p>
        </w:tc>
        <w:tc>
          <w:tcPr>
            <w:tcW w:w="51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передает Заказчику счет на оплату после оказания услуги.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581" w:hRule="atLeast"/>
        </w:trPr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8" w:leader="none"/>
              </w:tabs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2.4.3.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Счет-фактура (если контрагент является плательщиком НДС)</w:t>
            </w:r>
          </w:p>
        </w:tc>
        <w:tc>
          <w:tcPr>
            <w:tcW w:w="51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передает счет-фактуру (если Исполнитель является плательщиком НДС)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1361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864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обязан обеспечивать сохранность автомобилей на время их нахождения на территории мойки.</w:t>
            </w:r>
          </w:p>
        </w:tc>
        <w:tc>
          <w:tcPr>
            <w:tcW w:w="15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1276" w:right="992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tabs>
          <w:tab w:val="clear" w:pos="709"/>
          <w:tab w:val="left" w:pos="7230" w:leader="none"/>
        </w:tabs>
        <w:rPr>
          <w:iCs/>
          <w:sz w:val="26"/>
          <w:szCs w:val="26"/>
          <w:shd w:fill="FFFF99" w:val="clear"/>
        </w:rPr>
      </w:pPr>
      <w:r>
        <w:rPr>
          <w:iCs/>
          <w:sz w:val="26"/>
          <w:szCs w:val="26"/>
        </w:rPr>
        <w:tab/>
        <w:tab/>
        <w:tab/>
        <w:tab/>
        <w:t xml:space="preserve"> </w:t>
        <w:tab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994" w:footer="0" w:bottom="127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171717" w:themeColor="background2" w:themeShade="1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77b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/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2071b"/>
    <w:pPr>
      <w:keepNext w:val="true"/>
      <w:outlineLvl w:val="2"/>
    </w:pPr>
    <w:rPr>
      <w:rFonts w:eastAsia="Calibri"/>
      <w:b w:val="false"/>
      <w:bCs w:val="false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2071b"/>
    <w:rPr>
      <w:rFonts w:eastAsia="Calibri"/>
      <w:b/>
      <w:sz w:val="28"/>
      <w:szCs w:val="28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1511a2"/>
    <w:rPr>
      <w:color w:val="954F72" w:themeColor="followedHyperlink"/>
      <w:u w:val="single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38154b"/>
    <w:pPr>
      <w:tabs>
        <w:tab w:val="clear" w:pos="709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d64da"/>
    <w:pPr>
      <w:tabs>
        <w:tab w:val="clear" w:pos="709"/>
        <w:tab w:val="left" w:pos="1120" w:leader="none"/>
        <w:tab w:val="right" w:pos="992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709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02CE1-F9B1-4E47-91C8-B47294EA7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Application>AlterOffice/3.4.0.9$Linux_X86_64 LibreOffice_project/b8daf9e823b1a5463a2f48435ddc2e8696e7d4fc</Application>
  <AppVersion>15.0000</AppVersion>
  <Pages>10</Pages>
  <Words>1550</Words>
  <Characters>10041</Characters>
  <CharactersWithSpaces>11380</CharactersWithSpaces>
  <Paragraphs>316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2023-10-17T02:11:00Z</dcterms:created>
  <dc:creator>Быстров Олег Геннадьевич</dc:creator>
  <dc:description/>
  <dc:language>ru-RU</dc:language>
  <cp:lastModifiedBy>sopinav@corp.gidroogk.com</cp:lastModifiedBy>
  <cp:lastPrinted>2026-02-03T11:06:58Z</cp:lastPrinted>
  <dcterms:modified xsi:type="dcterms:W3CDTF">2026-09-14T18:24:22Z</dcterms:modified>
  <cp:revision>46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