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8D" w:rsidRDefault="006F5A43">
      <w:pPr>
        <w:spacing w:line="240" w:lineRule="auto"/>
        <w:ind w:left="6237" w:firstLine="0"/>
        <w:jc w:val="right"/>
        <w:rPr>
          <w:sz w:val="20"/>
        </w:rPr>
      </w:pPr>
      <w:r>
        <w:rPr>
          <w:sz w:val="20"/>
        </w:rPr>
        <w:t>Приложение №1</w:t>
      </w:r>
    </w:p>
    <w:p w:rsidR="00361F8D" w:rsidRDefault="006F5A43">
      <w:pPr>
        <w:spacing w:line="240" w:lineRule="auto"/>
        <w:ind w:left="6237" w:firstLine="0"/>
        <w:jc w:val="right"/>
        <w:rPr>
          <w:sz w:val="20"/>
        </w:rPr>
      </w:pPr>
      <w:r>
        <w:rPr>
          <w:sz w:val="20"/>
        </w:rPr>
        <w:t>к заявке на проведение процедуры</w:t>
      </w:r>
    </w:p>
    <w:p w:rsidR="00361F8D" w:rsidRDefault="006F5A43">
      <w:pPr>
        <w:spacing w:line="240" w:lineRule="auto"/>
        <w:ind w:left="6237" w:firstLine="0"/>
        <w:jc w:val="right"/>
        <w:rPr>
          <w:sz w:val="20"/>
        </w:rPr>
      </w:pPr>
      <w:r>
        <w:rPr>
          <w:sz w:val="20"/>
        </w:rPr>
        <w:t>закупки материалов и оборудования</w:t>
      </w:r>
    </w:p>
    <w:p w:rsidR="00361F8D" w:rsidRDefault="00361F8D">
      <w:pPr>
        <w:spacing w:line="240" w:lineRule="auto"/>
        <w:ind w:firstLine="0"/>
        <w:rPr>
          <w:sz w:val="24"/>
          <w:szCs w:val="24"/>
        </w:rPr>
      </w:pPr>
    </w:p>
    <w:p w:rsidR="00361F8D" w:rsidRDefault="006F5A43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ТЕХНИЧЕСКОЕ ЗАДАНИЕ</w:t>
      </w:r>
    </w:p>
    <w:p w:rsidR="00361F8D" w:rsidRDefault="00361F8D">
      <w:pPr>
        <w:spacing w:line="240" w:lineRule="auto"/>
        <w:ind w:firstLine="0"/>
        <w:jc w:val="center"/>
        <w:rPr>
          <w:sz w:val="6"/>
          <w:szCs w:val="24"/>
        </w:rPr>
      </w:pPr>
    </w:p>
    <w:p w:rsidR="00361F8D" w:rsidRDefault="006F5A43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 проведение закупочной процедуры</w:t>
      </w:r>
    </w:p>
    <w:p w:rsidR="00361F8D" w:rsidRDefault="006F5A43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выбору победителя на право заключения с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DOCVARIABLE  Организации  \* MERGEFORMAT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ПАО "Россети Юг"</w:t>
      </w:r>
      <w:r>
        <w:rPr>
          <w:sz w:val="24"/>
          <w:szCs w:val="24"/>
        </w:rPr>
        <w:fldChar w:fldCharType="end"/>
      </w:r>
    </w:p>
    <w:p w:rsidR="00361F8D" w:rsidRDefault="006F5A43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договора на поставку прочей кабельно-проводниковой продукции </w:t>
      </w:r>
    </w:p>
    <w:p w:rsidR="00361F8D" w:rsidRDefault="006F5A43">
      <w:pPr>
        <w:pStyle w:val="af8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Номенклатура и объем поставки: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90"/>
        <w:gridCol w:w="5165"/>
        <w:gridCol w:w="1188"/>
        <w:gridCol w:w="1714"/>
        <w:gridCol w:w="2057"/>
        <w:gridCol w:w="2057"/>
        <w:gridCol w:w="2057"/>
      </w:tblGrid>
      <w:tr w:rsidR="006F5A43" w:rsidTr="00EF1D60">
        <w:trPr>
          <w:cantSplit/>
          <w:trHeight w:val="300"/>
          <w:tblHeader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5165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vAlign w:val="center"/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(полные технические характеристики, комплектация, предпочтительные типы, марки или аналоги)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vAlign w:val="center"/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vAlign w:val="center"/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Ориентировочный объем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Максимальная единичная расценка, рублей с НДС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>Постановление национального режима в соответствии с ПП 1875 от 23.12.2024</w:t>
            </w:r>
          </w:p>
        </w:tc>
      </w:tr>
      <w:tr w:rsidR="006F5A43" w:rsidTr="00EF1D60">
        <w:trPr>
          <w:cantSplit/>
          <w:trHeight w:val="300"/>
          <w:tblHeader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165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5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>ОКПД 2</w:t>
            </w:r>
          </w:p>
        </w:tc>
        <w:tc>
          <w:tcPr>
            <w:tcW w:w="205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6F5A43" w:rsidRDefault="006F5A43" w:rsidP="00EF1D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4"/>
                <w:lang w:eastAsia="en-US"/>
              </w:rPr>
              <w:t>Мера применения национального режима (запрет, ограничение, преимущество)</w:t>
            </w:r>
          </w:p>
        </w:tc>
      </w:tr>
      <w:tr w:rsidR="006F5A43" w:rsidTr="00EF1D60">
        <w:trPr>
          <w:cantSplit/>
          <w:trHeight w:val="300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A43" w:rsidRDefault="006F5A43" w:rsidP="00EF1D6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38" w:type="dxa"/>
            <w:gridSpan w:val="6"/>
            <w:tcBorders>
              <w:top w:val="single" w:sz="4" w:space="0" w:color="auto"/>
              <w:left w:val="single" w:sz="4" w:space="0" w:color="7D8AB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5A43" w:rsidRDefault="006F5A43" w:rsidP="00EF1D6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в соответствии с приложением</w:t>
            </w:r>
          </w:p>
        </w:tc>
      </w:tr>
    </w:tbl>
    <w:p w:rsidR="006F5A43" w:rsidRPr="006F5A43" w:rsidRDefault="006F5A43" w:rsidP="006F5A43">
      <w:pPr>
        <w:tabs>
          <w:tab w:val="left" w:pos="1134"/>
        </w:tabs>
        <w:spacing w:line="240" w:lineRule="auto"/>
        <w:rPr>
          <w:sz w:val="24"/>
          <w:szCs w:val="24"/>
        </w:rPr>
      </w:pPr>
    </w:p>
    <w:p w:rsidR="00361F8D" w:rsidRDefault="006F5A43">
      <w:pPr>
        <w:pStyle w:val="af8"/>
        <w:numPr>
          <w:ilvl w:val="0"/>
          <w:numId w:val="1"/>
        </w:numPr>
        <w:tabs>
          <w:tab w:val="left" w:pos="1134"/>
        </w:tabs>
        <w:spacing w:line="240" w:lineRule="auto"/>
        <w:ind w:left="0" w:firstLine="851"/>
        <w:rPr>
          <w:sz w:val="24"/>
          <w:szCs w:val="24"/>
        </w:rPr>
      </w:pPr>
      <w:r>
        <w:rPr>
          <w:bCs/>
          <w:sz w:val="24"/>
          <w:szCs w:val="24"/>
        </w:rPr>
        <w:t>Н</w:t>
      </w:r>
      <w:r>
        <w:rPr>
          <w:bCs/>
          <w:sz w:val="24"/>
          <w:szCs w:val="24"/>
        </w:rPr>
        <w:t>ачальная (максимальная) цена договора является фиксированной и изменению в процессе проведения закупочной процедуры не подлежит</w:t>
      </w:r>
      <w:r>
        <w:rPr>
          <w:sz w:val="24"/>
          <w:szCs w:val="24"/>
        </w:rPr>
        <w:t>.</w:t>
      </w:r>
    </w:p>
    <w:p w:rsidR="00361F8D" w:rsidRDefault="006F5A43">
      <w:pPr>
        <w:pStyle w:val="af8"/>
        <w:numPr>
          <w:ilvl w:val="0"/>
          <w:numId w:val="1"/>
        </w:numPr>
        <w:tabs>
          <w:tab w:val="left" w:pos="1134"/>
        </w:tabs>
        <w:spacing w:line="240" w:lineRule="auto"/>
        <w:ind w:left="0" w:firstLine="851"/>
        <w:rPr>
          <w:sz w:val="24"/>
          <w:szCs w:val="24"/>
        </w:rPr>
      </w:pPr>
      <w:r>
        <w:rPr>
          <w:bCs/>
          <w:sz w:val="24"/>
          <w:szCs w:val="24"/>
        </w:rPr>
        <w:t>Сумм</w:t>
      </w:r>
      <w:r>
        <w:rPr>
          <w:bCs/>
          <w:sz w:val="24"/>
          <w:szCs w:val="24"/>
        </w:rPr>
        <w:t>а единичных расценок подлежит изменению (снижению) в процессе проведения закупочных процедур. Превышение начальной (максимальной) цены за единицу продукции не допускается и является основанием для отклонения заявки участника по решению Закупочной комиссии.</w:t>
      </w:r>
    </w:p>
    <w:p w:rsidR="00361F8D" w:rsidRDefault="006F5A43">
      <w:pPr>
        <w:pStyle w:val="af8"/>
        <w:numPr>
          <w:ilvl w:val="0"/>
          <w:numId w:val="1"/>
        </w:numPr>
        <w:tabs>
          <w:tab w:val="left" w:pos="1134"/>
        </w:tabs>
        <w:spacing w:line="24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>При подаче ценового предложения, в том числе при проведении процедуры переторжки путем снижения общей стоимости заявки (суммы единичных расценок), стоимость каждой единичной расценки (стоимостной позиции) уменьшается соразмерно проценту тендерного снижени</w:t>
      </w:r>
      <w:r>
        <w:rPr>
          <w:sz w:val="24"/>
          <w:szCs w:val="24"/>
        </w:rPr>
        <w:t>я общей стоимости заявки (суммы единичных расценок).</w:t>
      </w:r>
    </w:p>
    <w:p w:rsidR="00361F8D" w:rsidRDefault="006F5A43">
      <w:pPr>
        <w:pStyle w:val="af8"/>
        <w:numPr>
          <w:ilvl w:val="0"/>
          <w:numId w:val="1"/>
        </w:numPr>
        <w:tabs>
          <w:tab w:val="left" w:pos="1134"/>
        </w:tabs>
        <w:spacing w:line="240" w:lineRule="auto"/>
        <w:ind w:left="0" w:firstLine="851"/>
        <w:rPr>
          <w:sz w:val="24"/>
          <w:szCs w:val="24"/>
        </w:rPr>
      </w:pPr>
      <w:r>
        <w:rPr>
          <w:sz w:val="24"/>
          <w:szCs w:val="24"/>
        </w:rPr>
        <w:t xml:space="preserve">Заказчик намерен приобрести продукцию в ассортименте, указанном в п. 1, и в объеме на основании ежемесячных заявок в соответствии с запланированными работами в рамках производственных программ Общества. </w:t>
      </w:r>
      <w:r>
        <w:rPr>
          <w:sz w:val="24"/>
          <w:szCs w:val="24"/>
        </w:rPr>
        <w:t>При этом Заказчик имеет право изменить количество приобретаемого товара в зависимости от выделенного финансирования и сложившейся цены как в сторону увеличения, так и в сторону уменьшения количества товара.</w:t>
      </w:r>
    </w:p>
    <w:p w:rsidR="00361F8D" w:rsidRDefault="006F5A43">
      <w:pPr>
        <w:pStyle w:val="af8"/>
        <w:numPr>
          <w:ilvl w:val="0"/>
          <w:numId w:val="1"/>
        </w:numPr>
        <w:tabs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Общие требования.</w:t>
      </w:r>
    </w:p>
    <w:p w:rsidR="00361F8D" w:rsidRDefault="006F5A43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Продукция должна соответствовать требованиям Положения ПАО «Р</w:t>
      </w:r>
      <w:r>
        <w:rPr>
          <w:sz w:val="24"/>
          <w:szCs w:val="24"/>
        </w:rPr>
        <w:t>оссети» о единой технической политике в электросетевом комплексе (</w:t>
      </w:r>
      <w:hyperlink r:id="rId8" w:tooltip="https://www.rosseti.ru/suppliers/technical-policy/" w:history="1">
        <w:r>
          <w:rPr>
            <w:rStyle w:val="ad"/>
            <w:sz w:val="24"/>
            <w:szCs w:val="24"/>
          </w:rPr>
          <w:t>https://www.rosseti.ru/suppliers/technical-policy/</w:t>
        </w:r>
      </w:hyperlink>
      <w:r>
        <w:rPr>
          <w:sz w:val="24"/>
          <w:szCs w:val="24"/>
        </w:rPr>
        <w:t>).</w:t>
      </w:r>
    </w:p>
    <w:p w:rsidR="00361F8D" w:rsidRDefault="006F5A43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Срок изготовле</w:t>
      </w:r>
      <w:r>
        <w:rPr>
          <w:sz w:val="24"/>
          <w:szCs w:val="24"/>
        </w:rPr>
        <w:t>ния продукции должен быть не более года от момента поставки. Продукция должна быть новой, ранее не использованной, являться серийной моделью, отражающей все последние модификации и не снятой с производства производителем на момент поставки.</w:t>
      </w:r>
    </w:p>
    <w:p w:rsidR="00361F8D" w:rsidRDefault="006F5A43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У Участника дол</w:t>
      </w:r>
      <w:r>
        <w:rPr>
          <w:sz w:val="24"/>
          <w:szCs w:val="24"/>
        </w:rPr>
        <w:t>жен отсутствовать негативный опыт работы с ПАО «Россети Юг» (отсутствие судебных решений, а также отсутствие писем и претензий, направленных в адрес Участника о неисполнении обязательств по ранее заключенным договорам с ПАО «Россети Юг»).</w:t>
      </w:r>
    </w:p>
    <w:p w:rsidR="00361F8D" w:rsidRDefault="006F5A43">
      <w:pPr>
        <w:numPr>
          <w:ilvl w:val="1"/>
          <w:numId w:val="1"/>
        </w:numPr>
        <w:spacing w:line="240" w:lineRule="auto"/>
        <w:ind w:left="0" w:firstLine="709"/>
        <w:contextualSpacing/>
      </w:pPr>
      <w:r>
        <w:rPr>
          <w:sz w:val="24"/>
          <w:szCs w:val="24"/>
        </w:rPr>
        <w:t>Участник должен и</w:t>
      </w:r>
      <w:r>
        <w:rPr>
          <w:sz w:val="24"/>
          <w:szCs w:val="24"/>
        </w:rPr>
        <w:t>меть опыт поставки аналогичного товара за последние 3 года (не менее двух исполненных или находящихся к моменту участия в закупке в процессе исполнения договоров по аналогичным поставкам, стоимость выполненных договоров или стоимость исполненного объема на</w:t>
      </w:r>
      <w:r>
        <w:rPr>
          <w:sz w:val="24"/>
          <w:szCs w:val="24"/>
        </w:rPr>
        <w:t>ходящихся в процессе исполнения договоров по аналогичным поставкам не должна быть меньше 80 % от цены закупки). Под выполненными или находящимися в процессе исполнения договорами по аналогичным поставкам понимаются договоры на поставку грозозащитного троса</w:t>
      </w:r>
      <w:r>
        <w:rPr>
          <w:sz w:val="24"/>
          <w:szCs w:val="24"/>
        </w:rPr>
        <w:t>. Наличие необходимого опыта подтверждается предоставлением в составе заявки участника копий договоров и документов, подтверждающих исполнение поставок по договору (ТН/УПД), при этом дата подписания последнего документа, подтверждающего исполне</w:t>
      </w:r>
      <w:r>
        <w:rPr>
          <w:sz w:val="24"/>
          <w:szCs w:val="24"/>
        </w:rPr>
        <w:t xml:space="preserve">ние поставки по договору (ТН/УПД) не должна быть ранее 3 лет до даты подачи заявки на участие в настоящей закупке). 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Отсутствие в составе заявки участника подтверждения выполнения вышеуказанного требования является основанием для отклонения заявки участник</w:t>
      </w:r>
      <w:r>
        <w:rPr>
          <w:sz w:val="24"/>
          <w:szCs w:val="24"/>
        </w:rPr>
        <w:t>а по решению Закупочной комиссии ПАО «Россети Юг».</w:t>
      </w:r>
    </w:p>
    <w:p w:rsidR="00361F8D" w:rsidRDefault="006F5A43">
      <w:pPr>
        <w:numPr>
          <w:ilvl w:val="0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Состав технической и эксплуатационной документации.</w:t>
      </w:r>
    </w:p>
    <w:p w:rsidR="00361F8D" w:rsidRDefault="006F5A43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По всем типам продукции Поставщик должен иметь полный комплект технической и эксплуатационной документации на русском языке, подготовленной в соответстви</w:t>
      </w:r>
      <w:r>
        <w:rPr>
          <w:sz w:val="24"/>
          <w:szCs w:val="24"/>
        </w:rPr>
        <w:t>и с ГОСТ по монтажу, наладке, пуску, сдаче в эксплуатацию, обеспечению правильной и безопасной эксплуатации поставляемой продукции оборудования (подтверждается письмом Участника).</w:t>
      </w:r>
    </w:p>
    <w:p w:rsidR="00361F8D" w:rsidRDefault="006F5A43">
      <w:pPr>
        <w:numPr>
          <w:ilvl w:val="1"/>
          <w:numId w:val="1"/>
        </w:numPr>
        <w:spacing w:line="240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Обязательным условием является предоставление в составе конкурсной заявки: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>.2.1. Обязательным условием является предоставление в составе конкурсной заявки Российских сертификатов (деклараций) соответствия требованиям ГОСТ Р (ГОСТ или ТУ) и безопасности или выписку из реестра деклараций (сертификатов) о соответствии (данная информ</w:t>
      </w:r>
      <w:r>
        <w:rPr>
          <w:sz w:val="24"/>
          <w:szCs w:val="24"/>
        </w:rPr>
        <w:t>ация находится в свободном доступе на официальном сайте Федеральной службы по аккредитации «Росаккредитация»);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bCs/>
          <w:sz w:val="24"/>
          <w:szCs w:val="24"/>
        </w:rPr>
        <w:t>8.2.2. Участник в своем предложении должен представить документы, подтверждающие, что Участник является производителем продукции, указанной в п.1</w:t>
      </w:r>
      <w:r>
        <w:rPr>
          <w:bCs/>
          <w:sz w:val="24"/>
          <w:szCs w:val="24"/>
        </w:rPr>
        <w:t xml:space="preserve"> настоящей Спецификации либо Свидетельство производителя, подтверждающее возможность поставки Участником продукции с сохранением гарантийных обязательств производителя в установленные сроки,</w:t>
      </w:r>
      <w:r>
        <w:rPr>
          <w:bCs/>
          <w:sz w:val="20"/>
        </w:rPr>
        <w:t xml:space="preserve"> </w:t>
      </w:r>
      <w:r>
        <w:rPr>
          <w:bCs/>
          <w:sz w:val="24"/>
          <w:szCs w:val="24"/>
        </w:rPr>
        <w:t>техническое предложение, заполненное в соответствии с требованиям</w:t>
      </w:r>
      <w:r>
        <w:rPr>
          <w:bCs/>
          <w:sz w:val="24"/>
          <w:szCs w:val="24"/>
        </w:rPr>
        <w:t>и Документации о закупке, в том числе в формате приложения 4.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8.2.3. Сведения о наличии (копия действующего заключения аттестационной комиссии) или отсутствии проверки качества (аттестации) на всё предлагаемое оборудование, материалы и системы, подлежащие </w:t>
      </w:r>
      <w:r>
        <w:rPr>
          <w:sz w:val="24"/>
          <w:szCs w:val="24"/>
        </w:rPr>
        <w:t>проверке качества (аттестации) в соответствии с перечнем оборудования, материалов и систем, рекомендованных к применению на объектах ПАО «Россети», размещенном официальном сайте ПАО «Россети» в разделе Поставщикам → Единая техническая политика → Проверка к</w:t>
      </w:r>
      <w:r>
        <w:rPr>
          <w:sz w:val="24"/>
          <w:szCs w:val="24"/>
        </w:rPr>
        <w:t>ачества оборудования» (</w:t>
      </w:r>
      <w:hyperlink r:id="rId9" w:tooltip="https://rosseti.ru/suppliers/technical-policy/equipment-quality-control/" w:history="1">
        <w:r>
          <w:rPr>
            <w:rStyle w:val="ad"/>
            <w:sz w:val="24"/>
            <w:szCs w:val="24"/>
          </w:rPr>
          <w:t>https://rosseti.ru/suppliers/technical-policy/equipment-quality-co</w:t>
        </w:r>
        <w:r>
          <w:rPr>
            <w:rStyle w:val="ad"/>
            <w:sz w:val="24"/>
            <w:szCs w:val="24"/>
          </w:rPr>
          <w:t>ntrol/</w:t>
        </w:r>
      </w:hyperlink>
      <w:r>
        <w:rPr>
          <w:sz w:val="24"/>
          <w:szCs w:val="24"/>
        </w:rPr>
        <w:t>).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При отсутствии проверки качества (аттестации) предлагаемого к поставке товара участник закупочных процедур представляет документы в соответствии с общим перечнем документов, указанным в Таблице 4.1 СТО 34.01-25-001-2022 «Состав документации для пр</w:t>
      </w:r>
      <w:r>
        <w:rPr>
          <w:sz w:val="24"/>
          <w:szCs w:val="24"/>
        </w:rPr>
        <w:t xml:space="preserve">оверки качества оборудования, материалов и систем. Типовые требования», представленного на официальном сайте ПАО «Россети» по адресу: </w:t>
      </w:r>
      <w:hyperlink r:id="rId10" w:tooltip="https://rosseti.ru/suppliers/technical-policy/organization-standards/" w:history="1">
        <w:r>
          <w:rPr>
            <w:rStyle w:val="ad"/>
            <w:sz w:val="24"/>
            <w:szCs w:val="24"/>
          </w:rPr>
          <w:t>https://rosseti.ru/suppliers/technical-policy/organization-standards/</w:t>
        </w:r>
      </w:hyperlink>
      <w:r>
        <w:rPr>
          <w:sz w:val="24"/>
          <w:szCs w:val="24"/>
        </w:rPr>
        <w:t xml:space="preserve">. Документы представляются в составе заявки участника отдельным </w:t>
      </w:r>
      <w:r>
        <w:rPr>
          <w:sz w:val="24"/>
          <w:szCs w:val="24"/>
        </w:rPr>
        <w:lastRenderedPageBreak/>
        <w:t>архивом. Наименование файла указывается в соответствии с нумерацией столбца 1 Таблиц</w:t>
      </w:r>
      <w:r>
        <w:rPr>
          <w:sz w:val="24"/>
          <w:szCs w:val="24"/>
        </w:rPr>
        <w:t>ы 4.1. Несоблюдение данного требования является основанием для отклонения заявки участника.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Отсутствие проверки качества (аттестации) на предлагаемое оборудование, материалы и системы, подлежащие проверке качества (аттестации) в соответствии с перечнем обо</w:t>
      </w:r>
      <w:r>
        <w:rPr>
          <w:sz w:val="24"/>
          <w:szCs w:val="24"/>
        </w:rPr>
        <w:t>рудования, материалов и систем, рекомендованных к применению на объектах ПАО «Россети», размещенном официальном сайте ПАО «Россети» в разделе «Поставщикам → Единая техническая политика → Проверка качества оборудования» (</w:t>
      </w:r>
      <w:hyperlink r:id="rId11" w:tooltip="https://rosseti.ru/suppliers/technical-policy/equipment-quality-control/" w:history="1">
        <w:r>
          <w:rPr>
            <w:rStyle w:val="ad"/>
            <w:sz w:val="24"/>
            <w:szCs w:val="24"/>
          </w:rPr>
          <w:t>https://rosseti.ru/suppliers/technical-policy/equipment-quality-control/</w:t>
        </w:r>
      </w:hyperlink>
      <w:r>
        <w:rPr>
          <w:sz w:val="24"/>
          <w:szCs w:val="24"/>
        </w:rPr>
        <w:t>) не является основанием для отклонения заявки Участн</w:t>
      </w:r>
      <w:r>
        <w:rPr>
          <w:sz w:val="24"/>
          <w:szCs w:val="24"/>
        </w:rPr>
        <w:t>ика.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9. Упаковка, транспортирование, условия и сроки хранения.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9.1.  Упаковка, маркировка, временная антикоррозионная защита, транспортирование, условия и сроки хранения всех устро</w:t>
      </w:r>
      <w:r>
        <w:rPr>
          <w:sz w:val="24"/>
          <w:szCs w:val="24"/>
        </w:rPr>
        <w:t>йств, запасных частей, расходных материалов и документации должны соответствовать требованиям, указанным в технических условиях её изготовителя.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9.2. Поставляемая продукция должна быть упакована соответственно данному виду продукции, нормам фасовки (объём,</w:t>
      </w:r>
      <w:r>
        <w:rPr>
          <w:sz w:val="24"/>
          <w:szCs w:val="24"/>
        </w:rPr>
        <w:t xml:space="preserve"> схема, целостность упаковки и т.д.), с соблюдением требований ГОСТ, принятым заводом изготовителем.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9.3. Способ укладки и транспортировки продукции должен предотвратить её повреждение или порчу во время перевозки и погрузке/разгрузке, а также воздействие </w:t>
      </w:r>
      <w:r>
        <w:rPr>
          <w:sz w:val="24"/>
          <w:szCs w:val="24"/>
        </w:rPr>
        <w:t>осадков во время перевозки и при открытом хранении.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9.4. Порядок отгрузки, специальные требования к таре и упаковке определяются в соответствии с проектом договора в составе конкурсной документации.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9.5. Транспортные расходы включены в стоимость продукции.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10. Требования к надежности продукции.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10.1. Продукция должна обеспечивать эксплуатационные показатели в течение установленного срока службы (до списания), который (при условии проведения требуемых технических мероприятий по обслуживанию) должен быть не м</w:t>
      </w:r>
      <w:r>
        <w:rPr>
          <w:sz w:val="24"/>
          <w:szCs w:val="24"/>
        </w:rPr>
        <w:t>енее установленного заводом изготовителем.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10.2. Продукция по качеству должна соответствовать требованиям ГОСТ и ТУ, иметь сертификаты соответствия качества завода-изготовителя, сертификаты соответствия Госстандарта России, санитарно-эпидемиологические зак</w:t>
      </w:r>
      <w:r>
        <w:rPr>
          <w:sz w:val="24"/>
          <w:szCs w:val="24"/>
        </w:rPr>
        <w:t>лючения, пожарные сертификаты, если продукция подлежит сертификации, паспорта на каждую партию продукции.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10.3. Климатическое исполнение в соответствии с Межгосударственным Стандартом ГОСТ 15150-69 (Машины, приборы и другие технические изделия). Исполнение</w:t>
      </w:r>
      <w:r>
        <w:rPr>
          <w:sz w:val="24"/>
          <w:szCs w:val="24"/>
        </w:rPr>
        <w:t xml:space="preserve"> для различных климатических районов. Категория, условия эксплуатации, хранения и транспортирования в части воздействия климатических факторов внешней среды.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11. Гарантийные обязательства.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11.1. Гарантийный срок на Товар – в соответствии с предоставленной </w:t>
      </w:r>
      <w:r>
        <w:rPr>
          <w:sz w:val="24"/>
          <w:szCs w:val="24"/>
        </w:rPr>
        <w:t>документацией завода-изготовителя. Гарантийный срок исчисляется с момента подписания Документа о приемке Товара. Срок службы Товара - в соответствии с предоставленной документацией завода-изготовителя.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11.2. Поставщик должен за свой счет и в сроки, согласо</w:t>
      </w:r>
      <w:r>
        <w:rPr>
          <w:sz w:val="24"/>
          <w:szCs w:val="24"/>
        </w:rPr>
        <w:t>ванные с Заказчиком, устранять любые дефекты в поставляемой продукции, выявленные в течение гарантийного срока.</w:t>
      </w:r>
    </w:p>
    <w:p w:rsidR="00361F8D" w:rsidRDefault="006F5A43">
      <w:pPr>
        <w:spacing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11.3. В случае повреждения кабеля поставщик обязан направить своего представителя для участия в составлении акта, фиксирующего дефекты, согласов</w:t>
      </w:r>
      <w:r>
        <w:rPr>
          <w:sz w:val="24"/>
          <w:szCs w:val="24"/>
        </w:rPr>
        <w:t>ания порядка и сроков их устранения не позднее 5 дней со дня получения письменного извещения Заказчика. Гарантийный срок в этом случае продлевается соответственно на период устранения дефектов.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12. Сроки поставки.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12.1. Поставка продукции, входящей в предм</w:t>
      </w:r>
      <w:r>
        <w:rPr>
          <w:sz w:val="24"/>
          <w:szCs w:val="24"/>
        </w:rPr>
        <w:t>ет Договора, осуществляется на основании поданных заявок Заказчика. Срок поставки продукции по каждой Заявке не более 30 календарных дней с момента получения заявки Поставщиком</w:t>
      </w:r>
      <w:r>
        <w:rPr>
          <w:bCs/>
          <w:sz w:val="24"/>
          <w:szCs w:val="24"/>
        </w:rPr>
        <w:t>. Возможное отклонение по длинам при выходе из производства продукции составляет 0/+2%.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12.2. Поставщик осуществляет поставку продукции на склад Покупателя, по адресам: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- 416474, Астраханская область, г. Астрахань, ул. Шоссе Энергетиков, дом №</w:t>
      </w:r>
      <w:r>
        <w:rPr>
          <w:sz w:val="24"/>
          <w:szCs w:val="24"/>
        </w:rPr>
        <w:t xml:space="preserve"> 1;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- 400057, Волгоградская, Волгоград, Химзаводская, дом № 4;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- 404130, Волгоградская область, г. Волжский, ул. Логинова № 10;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- 403882, Волгоградская область, г. Камышин, ул. Советская № 39;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- 403346, Волгоградская область, г. Михайловка, ул. Ленина № 20</w:t>
      </w:r>
      <w:r>
        <w:rPr>
          <w:sz w:val="24"/>
          <w:szCs w:val="24"/>
        </w:rPr>
        <w:t>5;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- 403116, Волгоградская область, г. Урюпинск, ул. Волгоградская № 30;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- 358007, Калмыкия, Элиста, Северная промышленная зона;</w:t>
      </w:r>
    </w:p>
    <w:p w:rsidR="00361F8D" w:rsidRDefault="006F5A43">
      <w:pPr>
        <w:pStyle w:val="af8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sz w:val="24"/>
          <w:szCs w:val="24"/>
        </w:rPr>
        <w:t>347320, Ростовская область, Цимлянский район, г. Цимлянск, ул. Вокзальная, дом № 74;</w:t>
      </w:r>
    </w:p>
    <w:p w:rsidR="00361F8D" w:rsidRDefault="006F5A43">
      <w:pPr>
        <w:pStyle w:val="af8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- 347800, Ростовская область, г. Каменск</w:t>
      </w:r>
      <w:r>
        <w:rPr>
          <w:bCs/>
          <w:sz w:val="24"/>
          <w:szCs w:val="24"/>
        </w:rPr>
        <w:t>-Шахтинский, ул. Героев Пионеров, дом № 26;</w:t>
      </w:r>
    </w:p>
    <w:p w:rsidR="00361F8D" w:rsidRDefault="006F5A43">
      <w:pPr>
        <w:pStyle w:val="af8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- 346130, Ростовская область, Миллеровский район, г. Миллерово, ул. Артиллерийская, дом № 34;</w:t>
      </w:r>
    </w:p>
    <w:p w:rsidR="00361F8D" w:rsidRDefault="006F5A43">
      <w:pPr>
        <w:pStyle w:val="af8"/>
        <w:spacing w:line="240" w:lineRule="auto"/>
        <w:ind w:left="0" w:firstLine="709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Cs/>
          <w:sz w:val="24"/>
          <w:szCs w:val="24"/>
        </w:rPr>
        <w:t>347639, Ростовская область, Сальский район, г. Сальск, ул. Скирды, дом № 18;</w:t>
      </w:r>
    </w:p>
    <w:p w:rsidR="00361F8D" w:rsidRDefault="006F5A43">
      <w:pPr>
        <w:pStyle w:val="af8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- 347937, Ростовская область, г. Таганрог, ул. Дзержинского, дом № 144;</w:t>
      </w:r>
    </w:p>
    <w:p w:rsidR="00361F8D" w:rsidRDefault="006F5A43">
      <w:pPr>
        <w:pStyle w:val="af8"/>
        <w:spacing w:line="240" w:lineRule="auto"/>
        <w:ind w:left="0"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- 346780, Ростовская область, г. Азов, пр. Литейный, дом № 5;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bCs/>
          <w:sz w:val="24"/>
          <w:szCs w:val="24"/>
        </w:rPr>
        <w:t>- 346493, Ростовская область, Октябрьский р-н, 8 км автодороги Новочеркасск-Багаевская.</w:t>
      </w:r>
    </w:p>
    <w:p w:rsidR="00361F8D" w:rsidRDefault="006F5A43">
      <w:pPr>
        <w:pStyle w:val="af8"/>
        <w:spacing w:line="240" w:lineRule="auto"/>
        <w:ind w:left="0" w:firstLine="709"/>
        <w:rPr>
          <w:sz w:val="24"/>
          <w:szCs w:val="24"/>
        </w:rPr>
      </w:pPr>
      <w:r>
        <w:rPr>
          <w:bCs/>
          <w:sz w:val="24"/>
          <w:szCs w:val="24"/>
        </w:rPr>
        <w:t>- 350080, Краснодарский край, г. К</w:t>
      </w:r>
      <w:r>
        <w:rPr>
          <w:bCs/>
          <w:sz w:val="24"/>
          <w:szCs w:val="24"/>
        </w:rPr>
        <w:t>раснодар, ул. Новороссийская, 47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12.3. Период действия договора поставки – с момента заключения и по 30 декабря 2027 года в части подачи Заявок и до полного исполнения своих обязательств Сторонами в части поставки и оплаты Товара.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13. Сроки оплаты.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13.1. У</w:t>
      </w:r>
      <w:r>
        <w:rPr>
          <w:sz w:val="24"/>
          <w:szCs w:val="24"/>
        </w:rPr>
        <w:t xml:space="preserve">словия оплаты: оплата поставленной Поставщиком партии Товара, принятого Покупателем на основании Товарной накладной/Универсального передаточного документа, счета, счета-фактуры Покупателем в размере 100% (ста процентов) </w:t>
      </w:r>
      <w:r>
        <w:rPr>
          <w:b/>
          <w:sz w:val="24"/>
          <w:szCs w:val="24"/>
        </w:rPr>
        <w:t>в течение 30 рабочих дней</w:t>
      </w:r>
      <w:r>
        <w:rPr>
          <w:sz w:val="24"/>
          <w:szCs w:val="24"/>
        </w:rPr>
        <w:t xml:space="preserve"> (для догов</w:t>
      </w:r>
      <w:r>
        <w:rPr>
          <w:sz w:val="24"/>
          <w:szCs w:val="24"/>
        </w:rPr>
        <w:t xml:space="preserve">оров с </w:t>
      </w:r>
      <w:r>
        <w:rPr>
          <w:b/>
          <w:sz w:val="24"/>
          <w:szCs w:val="24"/>
        </w:rPr>
        <w:t>субъектами малого и среднего предпринимательства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в течение 7 рабочих дней</w:t>
      </w:r>
      <w:r>
        <w:rPr>
          <w:sz w:val="24"/>
          <w:szCs w:val="24"/>
        </w:rPr>
        <w:t>) со дня фактической передачи Товара в собственность Покупателя в полном объеме по Заявке.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14. Правила приемки продукции.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14.1. Каждая партия кабеля должна пройти входной кон</w:t>
      </w:r>
      <w:r>
        <w:rPr>
          <w:sz w:val="24"/>
          <w:szCs w:val="24"/>
        </w:rPr>
        <w:t>троль, осуществляемый представителями филиалов ПАО «Россети Юг» и ответственными представителями Поставщика при получении его на склад.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14.2. Заказчик оставляет за собой право проводить входной контроль при сдаче провода на заводе производителе.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14.3. Прие</w:t>
      </w:r>
      <w:r>
        <w:rPr>
          <w:sz w:val="24"/>
          <w:szCs w:val="24"/>
        </w:rPr>
        <w:t>мка продукции Покупателем по количеству и качеству производится в соответствии с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</w:t>
      </w:r>
      <w:r>
        <w:rPr>
          <w:sz w:val="24"/>
          <w:szCs w:val="24"/>
        </w:rPr>
        <w:t>ете Министров СССР от 25.04.1966 г. № П-7 (с изменениями и дополнениями) и «Инструкцией о порядке приемки продукции производственно-технического назначения и товаров народного потребления по количеству» от 15.07.1965 г. № П-6, утвержденной постановлением Г</w:t>
      </w:r>
      <w:r>
        <w:rPr>
          <w:sz w:val="24"/>
          <w:szCs w:val="24"/>
        </w:rPr>
        <w:t>осарбитража при Совете Министров СССР (с изменениями и дополнениями) в части, не противоречащей условиям договора.</w:t>
      </w:r>
    </w:p>
    <w:p w:rsidR="00361F8D" w:rsidRDefault="006F5A43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14.4. В случае выявления дефектов, в том числе и скрытых, Поставщик обязан за свой счет заменить поставленную продукцию.</w:t>
      </w:r>
    </w:p>
    <w:p w:rsidR="00361F8D" w:rsidRDefault="00361F8D">
      <w:pPr>
        <w:spacing w:line="240" w:lineRule="auto"/>
        <w:ind w:firstLine="0"/>
        <w:rPr>
          <w:sz w:val="24"/>
          <w:szCs w:val="24"/>
        </w:rPr>
      </w:pPr>
    </w:p>
    <w:p w:rsidR="00361F8D" w:rsidRDefault="00361F8D">
      <w:pPr>
        <w:spacing w:line="240" w:lineRule="auto"/>
        <w:ind w:firstLine="0"/>
        <w:rPr>
          <w:sz w:val="24"/>
          <w:szCs w:val="24"/>
        </w:rPr>
      </w:pPr>
    </w:p>
    <w:p w:rsidR="00361F8D" w:rsidRDefault="00361F8D">
      <w:pPr>
        <w:spacing w:line="240" w:lineRule="auto"/>
        <w:ind w:firstLine="0"/>
        <w:rPr>
          <w:sz w:val="24"/>
          <w:szCs w:val="24"/>
        </w:rPr>
      </w:pPr>
      <w:bookmarkStart w:id="0" w:name="_GoBack"/>
      <w:bookmarkEnd w:id="0"/>
    </w:p>
    <w:sectPr w:rsidR="00361F8D" w:rsidSect="006F5A43">
      <w:pgSz w:w="16838" w:h="11906" w:orient="landscape"/>
      <w:pgMar w:top="1259" w:right="1134" w:bottom="748" w:left="992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8D" w:rsidRDefault="006F5A43">
      <w:pPr>
        <w:spacing w:line="240" w:lineRule="auto"/>
      </w:pPr>
      <w:r>
        <w:separator/>
      </w:r>
    </w:p>
  </w:endnote>
  <w:endnote w:type="continuationSeparator" w:id="0">
    <w:p w:rsidR="00361F8D" w:rsidRDefault="006F5A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Batang">
    <w:altName w:val="바탕"/>
    <w:panose1 w:val="02030600000101010101"/>
    <w:charset w:val="00"/>
    <w:family w:val="auto"/>
    <w:pitch w:val="default"/>
  </w:font>
  <w:font w:name="Verdan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8D" w:rsidRDefault="006F5A43">
      <w:pPr>
        <w:spacing w:line="240" w:lineRule="auto"/>
      </w:pPr>
      <w:r>
        <w:separator/>
      </w:r>
    </w:p>
  </w:footnote>
  <w:footnote w:type="continuationSeparator" w:id="0">
    <w:p w:rsidR="00361F8D" w:rsidRDefault="006F5A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A2671"/>
    <w:multiLevelType w:val="multilevel"/>
    <w:tmpl w:val="DA5EF372"/>
    <w:lvl w:ilvl="0">
      <w:start w:val="1"/>
      <w:numFmt w:val="decimal"/>
      <w:lvlText w:val="%1."/>
      <w:lvlJc w:val="left"/>
      <w:pPr>
        <w:ind w:left="1402" w:hanging="69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ind w:left="199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134" w:hanging="234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" w15:restartNumberingAfterBreak="0">
    <w:nsid w:val="732178DA"/>
    <w:multiLevelType w:val="hybridMultilevel"/>
    <w:tmpl w:val="057A547E"/>
    <w:lvl w:ilvl="0" w:tplc="FBD26636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93282B6">
      <w:start w:val="1"/>
      <w:numFmt w:val="decimal"/>
      <w:lvlText w:val=""/>
      <w:lvlJc w:val="left"/>
    </w:lvl>
    <w:lvl w:ilvl="2" w:tplc="267CBD1C">
      <w:start w:val="1"/>
      <w:numFmt w:val="decimal"/>
      <w:lvlText w:val=""/>
      <w:lvlJc w:val="left"/>
    </w:lvl>
    <w:lvl w:ilvl="3" w:tplc="5E148200">
      <w:start w:val="1"/>
      <w:numFmt w:val="decimal"/>
      <w:lvlText w:val=""/>
      <w:lvlJc w:val="left"/>
    </w:lvl>
    <w:lvl w:ilvl="4" w:tplc="BB925256">
      <w:start w:val="1"/>
      <w:numFmt w:val="decimal"/>
      <w:lvlText w:val=""/>
      <w:lvlJc w:val="left"/>
    </w:lvl>
    <w:lvl w:ilvl="5" w:tplc="32AA2C08">
      <w:start w:val="1"/>
      <w:numFmt w:val="decimal"/>
      <w:lvlText w:val=""/>
      <w:lvlJc w:val="left"/>
    </w:lvl>
    <w:lvl w:ilvl="6" w:tplc="9D4E3884">
      <w:start w:val="1"/>
      <w:numFmt w:val="decimal"/>
      <w:lvlText w:val=""/>
      <w:lvlJc w:val="left"/>
    </w:lvl>
    <w:lvl w:ilvl="7" w:tplc="B1DA7824">
      <w:start w:val="1"/>
      <w:numFmt w:val="decimal"/>
      <w:lvlText w:val=""/>
      <w:lvlJc w:val="left"/>
    </w:lvl>
    <w:lvl w:ilvl="8" w:tplc="80689060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F8D"/>
    <w:rsid w:val="00361F8D"/>
    <w:rsid w:val="006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39F5"/>
  <w15:docId w15:val="{113AEFD2-D4BA-4C2D-8E1F-E6FEE9A3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ab">
    <w:name w:val="Название объекта Знак"/>
    <w:link w:val="ac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0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0"/>
    <w:link w:val="af2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rPr>
      <w:sz w:val="20"/>
    </w:rPr>
  </w:style>
  <w:style w:type="character" w:styleId="af3">
    <w:name w:val="endnote reference"/>
    <w:basedOn w:val="a1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  <w:ind w:firstLine="0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 w:firstLine="0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 w:firstLine="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 w:firstLine="0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 w:firstLine="0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 w:firstLine="0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 w:firstLine="0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 w:firstLine="0"/>
    </w:pPr>
  </w:style>
  <w:style w:type="paragraph" w:styleId="af4">
    <w:name w:val="TOC Heading"/>
    <w:uiPriority w:val="39"/>
    <w:unhideWhenUsed/>
    <w:qFormat/>
  </w:style>
  <w:style w:type="paragraph" w:styleId="af5">
    <w:name w:val="table of figures"/>
    <w:basedOn w:val="a0"/>
    <w:next w:val="a0"/>
    <w:uiPriority w:val="99"/>
    <w:unhideWhenUsed/>
  </w:style>
  <w:style w:type="paragraph" w:styleId="af6">
    <w:name w:val="Plain Text"/>
    <w:basedOn w:val="a0"/>
    <w:link w:val="af7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f7">
    <w:name w:val="Текст Знак"/>
    <w:basedOn w:val="a1"/>
    <w:link w:val="af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List Paragraph"/>
    <w:basedOn w:val="a0"/>
    <w:link w:val="af9"/>
    <w:uiPriority w:val="99"/>
    <w:qFormat/>
    <w:pPr>
      <w:ind w:left="720"/>
      <w:contextualSpacing/>
    </w:pPr>
  </w:style>
  <w:style w:type="paragraph" w:styleId="afa">
    <w:name w:val="Balloon Text"/>
    <w:basedOn w:val="a0"/>
    <w:link w:val="afb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header"/>
    <w:basedOn w:val="a0"/>
    <w:link w:val="afd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basedOn w:val="a1"/>
    <w:link w:val="afc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footer"/>
    <w:basedOn w:val="a0"/>
    <w:link w:val="aff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1"/>
    <w:link w:val="afe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f0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caption"/>
    <w:basedOn w:val="a0"/>
    <w:next w:val="a0"/>
    <w:link w:val="ab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1"/>
    <w:link w:val="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3">
    <w:name w:val="Сетка таблицы1"/>
    <w:basedOn w:val="a2"/>
    <w:next w:val="aff0"/>
    <w:uiPriority w:val="5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9">
    <w:name w:val="Абзац списка Знак"/>
    <w:link w:val="af8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1">
    <w:name w:val="page number"/>
    <w:basedOn w:val="a1"/>
  </w:style>
  <w:style w:type="paragraph" w:styleId="aff2">
    <w:name w:val="Normal (Web)"/>
    <w:basedOn w:val="a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aff3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1"/>
  </w:style>
  <w:style w:type="character" w:customStyle="1" w:styleId="tooltip">
    <w:name w:val="tooltip"/>
    <w:basedOn w:val="a1"/>
  </w:style>
  <w:style w:type="character" w:styleId="aff4">
    <w:name w:val="FollowedHyperlink"/>
    <w:basedOn w:val="a1"/>
    <w:uiPriority w:val="99"/>
    <w:semiHidden/>
    <w:unhideWhenUsed/>
    <w:rPr>
      <w:color w:val="954F72"/>
      <w:u w:val="single"/>
    </w:rPr>
  </w:style>
  <w:style w:type="paragraph" w:customStyle="1" w:styleId="xl64">
    <w:name w:val="xl6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4"/>
      <w:szCs w:val="24"/>
    </w:rPr>
  </w:style>
  <w:style w:type="paragraph" w:customStyle="1" w:styleId="xl65">
    <w:name w:val="xl6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xl66">
    <w:name w:val="xl6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xl67">
    <w:name w:val="xl6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0"/>
    <w:pPr>
      <w:spacing w:before="100" w:beforeAutospacing="1" w:after="100" w:afterAutospacing="1" w:line="240" w:lineRule="auto"/>
      <w:ind w:firstLine="0"/>
      <w:jc w:val="center"/>
    </w:pPr>
    <w:rPr>
      <w:sz w:val="24"/>
      <w:szCs w:val="24"/>
    </w:rPr>
  </w:style>
  <w:style w:type="paragraph" w:customStyle="1" w:styleId="xl69">
    <w:name w:val="xl69"/>
    <w:basedOn w:val="a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eorgia" w:hAnsi="Georgia"/>
      <w:b/>
      <w:bCs/>
      <w:color w:val="000000"/>
      <w:sz w:val="20"/>
    </w:rPr>
  </w:style>
  <w:style w:type="paragraph" w:customStyle="1" w:styleId="xl71">
    <w:name w:val="xl7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0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0"/>
    <w:pPr>
      <w:spacing w:before="100" w:beforeAutospacing="1" w:after="100" w:afterAutospacing="1" w:line="240" w:lineRule="auto"/>
      <w:ind w:firstLine="0"/>
      <w:jc w:val="left"/>
    </w:pPr>
    <w:rPr>
      <w:color w:val="000000"/>
      <w:sz w:val="24"/>
      <w:szCs w:val="24"/>
    </w:rPr>
  </w:style>
  <w:style w:type="paragraph" w:customStyle="1" w:styleId="xl73">
    <w:name w:val="xl73"/>
    <w:basedOn w:val="a0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eorgia" w:hAnsi="Georgia"/>
      <w:b/>
      <w:bCs/>
      <w:color w:val="000000"/>
      <w:sz w:val="20"/>
    </w:rPr>
  </w:style>
  <w:style w:type="paragraph" w:customStyle="1" w:styleId="xl74">
    <w:name w:val="xl74"/>
    <w:basedOn w:val="a0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eorgia" w:hAnsi="Georgia"/>
      <w:b/>
      <w:bCs/>
      <w:color w:val="000000"/>
      <w:sz w:val="20"/>
    </w:rPr>
  </w:style>
  <w:style w:type="paragraph" w:customStyle="1" w:styleId="aff5">
    <w:name w:val="Цитаты"/>
    <w:basedOn w:val="a0"/>
    <w:uiPriority w:val="99"/>
    <w:pPr>
      <w:spacing w:before="100" w:after="100" w:line="240" w:lineRule="auto"/>
      <w:ind w:left="360" w:right="360" w:firstLine="0"/>
      <w:jc w:val="left"/>
    </w:pPr>
    <w:rPr>
      <w:rFonts w:eastAsia="Calibri"/>
      <w:sz w:val="24"/>
    </w:rPr>
  </w:style>
  <w:style w:type="paragraph" w:customStyle="1" w:styleId="msonormal0">
    <w:name w:val="msonormal"/>
    <w:basedOn w:val="a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ff6">
    <w:name w:val="annotation text"/>
    <w:basedOn w:val="a0"/>
    <w:link w:val="aff7"/>
    <w:uiPriority w:val="99"/>
    <w:semiHidden/>
    <w:unhideWhenUsed/>
    <w:pPr>
      <w:spacing w:line="240" w:lineRule="auto"/>
      <w:ind w:firstLine="0"/>
      <w:jc w:val="left"/>
    </w:pPr>
    <w:rPr>
      <w:sz w:val="20"/>
    </w:rPr>
  </w:style>
  <w:style w:type="character" w:customStyle="1" w:styleId="aff7">
    <w:name w:val="Текст примечания Знак"/>
    <w:basedOn w:val="a1"/>
    <w:link w:val="af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semiHidden/>
    <w:unhideWhenUsed/>
    <w:pPr>
      <w:widowControl w:val="0"/>
      <w:numPr>
        <w:numId w:val="2"/>
      </w:numPr>
      <w:tabs>
        <w:tab w:val="clear" w:pos="360"/>
      </w:tabs>
      <w:spacing w:line="240" w:lineRule="auto"/>
      <w:ind w:left="0" w:firstLine="709"/>
    </w:pPr>
    <w:rPr>
      <w:bCs/>
      <w:iCs/>
      <w:color w:val="000000"/>
      <w:szCs w:val="28"/>
    </w:rPr>
  </w:style>
  <w:style w:type="paragraph" w:styleId="aff8">
    <w:name w:val="Body Text"/>
    <w:basedOn w:val="a0"/>
    <w:link w:val="aff9"/>
    <w:semiHidden/>
    <w:unhideWhenUsed/>
    <w:pPr>
      <w:spacing w:after="120" w:line="240" w:lineRule="auto"/>
      <w:ind w:firstLine="0"/>
      <w:jc w:val="left"/>
    </w:pPr>
    <w:rPr>
      <w:sz w:val="24"/>
      <w:szCs w:val="24"/>
    </w:rPr>
  </w:style>
  <w:style w:type="character" w:customStyle="1" w:styleId="aff9">
    <w:name w:val="Основной текст Знак"/>
    <w:basedOn w:val="a1"/>
    <w:link w:val="aff8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Основной текст с отступом Знак"/>
    <w:basedOn w:val="a1"/>
    <w:link w:val="affb"/>
    <w:semiHidden/>
    <w:rPr>
      <w:sz w:val="24"/>
      <w:szCs w:val="24"/>
    </w:rPr>
  </w:style>
  <w:style w:type="paragraph" w:styleId="affb">
    <w:name w:val="Body Text Indent"/>
    <w:basedOn w:val="a0"/>
    <w:link w:val="affa"/>
    <w:semiHidden/>
    <w:unhideWhenUsed/>
    <w:pPr>
      <w:spacing w:after="120" w:line="240" w:lineRule="auto"/>
      <w:ind w:left="283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6">
    <w:name w:val="Основной текст с отступом Знак1"/>
    <w:basedOn w:val="a1"/>
    <w:semiHidden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2"/>
    <w:basedOn w:val="a0"/>
    <w:link w:val="26"/>
    <w:semiHidden/>
    <w:unhideWhenUsed/>
    <w:pPr>
      <w:spacing w:after="120" w:line="480" w:lineRule="auto"/>
      <w:ind w:firstLine="0"/>
      <w:jc w:val="left"/>
    </w:pPr>
    <w:rPr>
      <w:sz w:val="24"/>
      <w:szCs w:val="24"/>
    </w:rPr>
  </w:style>
  <w:style w:type="character" w:customStyle="1" w:styleId="26">
    <w:name w:val="Основной текст 2 Знак"/>
    <w:basedOn w:val="a1"/>
    <w:link w:val="25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3 Знак"/>
    <w:basedOn w:val="a1"/>
    <w:link w:val="34"/>
    <w:semiHidden/>
    <w:rPr>
      <w:sz w:val="16"/>
      <w:szCs w:val="16"/>
    </w:rPr>
  </w:style>
  <w:style w:type="paragraph" w:styleId="34">
    <w:name w:val="Body Text 3"/>
    <w:basedOn w:val="a0"/>
    <w:link w:val="33"/>
    <w:semiHidden/>
    <w:unhideWhenUsed/>
    <w:pPr>
      <w:spacing w:after="120" w:line="240" w:lineRule="auto"/>
      <w:ind w:firstLine="0"/>
      <w:jc w:val="left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0">
    <w:name w:val="Основной текст 3 Знак1"/>
    <w:basedOn w:val="a1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Indent 2"/>
    <w:basedOn w:val="a0"/>
    <w:link w:val="28"/>
    <w:semiHidden/>
    <w:unhideWhenUsed/>
    <w:pPr>
      <w:spacing w:after="120" w:line="480" w:lineRule="auto"/>
      <w:ind w:left="283" w:firstLine="0"/>
      <w:jc w:val="left"/>
    </w:pPr>
    <w:rPr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semiHidden/>
    <w:rPr>
      <w:rFonts w:ascii="Times New Roman" w:eastAsia="Times New Roman" w:hAnsi="Times New Roman" w:cs="Times New Roman"/>
      <w:sz w:val="24"/>
      <w:szCs w:val="24"/>
    </w:rPr>
  </w:style>
  <w:style w:type="paragraph" w:styleId="35">
    <w:name w:val="Body Text Indent 3"/>
    <w:basedOn w:val="a0"/>
    <w:link w:val="36"/>
    <w:semiHidden/>
    <w:unhideWhenUsed/>
    <w:pPr>
      <w:spacing w:line="240" w:lineRule="auto"/>
      <w:ind w:left="3600" w:firstLine="0"/>
      <w:jc w:val="left"/>
    </w:pPr>
    <w:rPr>
      <w:rFonts w:ascii="Arial" w:hAnsi="Arial" w:cs="Arial"/>
      <w:sz w:val="24"/>
      <w:szCs w:val="24"/>
    </w:rPr>
  </w:style>
  <w:style w:type="character" w:customStyle="1" w:styleId="36">
    <w:name w:val="Основной текст с отступом 3 Знак"/>
    <w:basedOn w:val="a1"/>
    <w:link w:val="35"/>
    <w:semiHidden/>
    <w:rPr>
      <w:rFonts w:ascii="Arial" w:eastAsia="Times New Roman" w:hAnsi="Arial" w:cs="Arial"/>
      <w:sz w:val="24"/>
      <w:szCs w:val="24"/>
      <w:lang w:eastAsia="ru-RU"/>
    </w:rPr>
  </w:style>
  <w:style w:type="paragraph" w:styleId="affc">
    <w:name w:val="Block Text"/>
    <w:basedOn w:val="a0"/>
    <w:semiHidden/>
    <w:unhideWhenUsed/>
    <w:pPr>
      <w:widowControl w:val="0"/>
      <w:shd w:val="clear" w:color="auto" w:fill="FFFFFF"/>
      <w:tabs>
        <w:tab w:val="left" w:pos="2635"/>
      </w:tabs>
      <w:spacing w:before="5" w:line="278" w:lineRule="exact"/>
      <w:ind w:left="725" w:right="2650" w:firstLine="485"/>
      <w:jc w:val="center"/>
    </w:pPr>
    <w:rPr>
      <w:b/>
      <w:bCs/>
      <w:color w:val="000000"/>
      <w:spacing w:val="-8"/>
      <w:szCs w:val="24"/>
      <w:u w:val="single"/>
    </w:rPr>
  </w:style>
  <w:style w:type="paragraph" w:styleId="affd">
    <w:name w:val="Document Map"/>
    <w:basedOn w:val="a0"/>
    <w:link w:val="affe"/>
    <w:semiHidden/>
    <w:unhideWhenUsed/>
    <w:pPr>
      <w:shd w:val="clear" w:color="auto" w:fill="000080"/>
      <w:spacing w:line="240" w:lineRule="auto"/>
      <w:ind w:firstLine="0"/>
      <w:jc w:val="left"/>
    </w:pPr>
    <w:rPr>
      <w:rFonts w:ascii="Tahoma" w:eastAsia="Batang" w:hAnsi="Tahoma"/>
      <w:sz w:val="20"/>
      <w:lang w:eastAsia="ko-KR"/>
    </w:rPr>
  </w:style>
  <w:style w:type="character" w:customStyle="1" w:styleId="affe">
    <w:name w:val="Схема документа Знак"/>
    <w:basedOn w:val="a1"/>
    <w:link w:val="affd"/>
    <w:semiHidden/>
    <w:rPr>
      <w:rFonts w:ascii="Tahoma" w:eastAsia="Batang" w:hAnsi="Tahoma" w:cs="Times New Roman"/>
      <w:sz w:val="20"/>
      <w:szCs w:val="20"/>
      <w:shd w:val="clear" w:color="auto" w:fill="000080"/>
      <w:lang w:eastAsia="ko-KR"/>
    </w:rPr>
  </w:style>
  <w:style w:type="paragraph" w:styleId="afff">
    <w:name w:val="annotation subject"/>
    <w:basedOn w:val="aff6"/>
    <w:next w:val="aff6"/>
    <w:link w:val="afff0"/>
    <w:uiPriority w:val="99"/>
    <w:semiHidden/>
    <w:unhideWhenUsed/>
    <w:pPr>
      <w:spacing w:after="200" w:line="276" w:lineRule="auto"/>
    </w:pPr>
    <w:rPr>
      <w:rFonts w:ascii="Calibri" w:hAnsi="Calibri"/>
      <w:b/>
      <w:bCs/>
    </w:rPr>
  </w:style>
  <w:style w:type="character" w:customStyle="1" w:styleId="afff0">
    <w:name w:val="Тема примечания Знак"/>
    <w:basedOn w:val="aff7"/>
    <w:link w:val="afff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afff1">
    <w:name w:val="Знак Знак Знак Знак"/>
    <w:basedOn w:val="a0"/>
    <w:pPr>
      <w:spacing w:after="160" w:line="240" w:lineRule="exact"/>
      <w:ind w:firstLine="0"/>
      <w:jc w:val="left"/>
    </w:pPr>
    <w:rPr>
      <w:rFonts w:ascii="Verdana" w:hAnsi="Verdana" w:cs="Verdana"/>
      <w:sz w:val="20"/>
      <w:lang w:eastAsia="en-US"/>
    </w:rPr>
  </w:style>
  <w:style w:type="paragraph" w:customStyle="1" w:styleId="Heading">
    <w:name w:val="Heading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formattext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7">
    <w:name w:val="Основной текст1"/>
    <w:basedOn w:val="a0"/>
    <w:pPr>
      <w:shd w:val="clear" w:color="auto" w:fill="FFFFFF"/>
      <w:spacing w:after="60" w:line="863" w:lineRule="exact"/>
      <w:ind w:hanging="1120"/>
      <w:jc w:val="left"/>
    </w:pPr>
    <w:rPr>
      <w:color w:val="000000"/>
      <w:sz w:val="75"/>
      <w:szCs w:val="75"/>
    </w:rPr>
  </w:style>
  <w:style w:type="paragraph" w:customStyle="1" w:styleId="HEADERTEXT">
    <w:name w:val=".HEADERTEXT"/>
    <w:uiPriority w:val="99"/>
    <w:pPr>
      <w:widowControl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FORMATTEXT0">
    <w:name w:val=".FORMATTEXT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33">
    <w:name w:val="Body Text Indent 33"/>
    <w:basedOn w:val="a0"/>
    <w:pPr>
      <w:spacing w:line="240" w:lineRule="auto"/>
      <w:ind w:left="576" w:firstLine="0"/>
    </w:pPr>
    <w:rPr>
      <w:rFonts w:eastAsia="Batang"/>
      <w:sz w:val="24"/>
      <w:szCs w:val="24"/>
      <w:lang w:eastAsia="ko-KR"/>
    </w:rPr>
  </w:style>
  <w:style w:type="paragraph" w:customStyle="1" w:styleId="afff2">
    <w:name w:val="Стиль начало"/>
    <w:basedOn w:val="a0"/>
    <w:pPr>
      <w:spacing w:line="264" w:lineRule="auto"/>
      <w:ind w:firstLine="0"/>
      <w:jc w:val="left"/>
    </w:pPr>
  </w:style>
  <w:style w:type="paragraph" w:customStyle="1" w:styleId="styleof">
    <w:name w:val="Название этапа style of отчет"/>
    <w:basedOn w:val="a0"/>
    <w:pPr>
      <w:widowControl w:val="0"/>
      <w:spacing w:line="240" w:lineRule="auto"/>
      <w:ind w:firstLine="0"/>
      <w:jc w:val="center"/>
    </w:pPr>
    <w:rPr>
      <w:b/>
      <w:i/>
      <w:sz w:val="24"/>
      <w:lang w:eastAsia="ar-SA"/>
    </w:rPr>
  </w:style>
  <w:style w:type="paragraph" w:customStyle="1" w:styleId="styleof0">
    <w:name w:val="Номер этапа style of отчет"/>
    <w:basedOn w:val="a0"/>
    <w:qFormat/>
    <w:pPr>
      <w:spacing w:line="240" w:lineRule="auto"/>
      <w:ind w:firstLine="0"/>
      <w:jc w:val="center"/>
    </w:pPr>
    <w:rPr>
      <w:b/>
      <w:bCs/>
      <w:i/>
      <w:lang w:eastAsia="ar-SA"/>
    </w:rPr>
  </w:style>
  <w:style w:type="paragraph" w:customStyle="1" w:styleId="-">
    <w:name w:val="основной-А"/>
    <w:pPr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headertext0">
    <w:name w:val="headertext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40">
    <w:name w:val="Стиль14"/>
    <w:basedOn w:val="a0"/>
    <w:pPr>
      <w:spacing w:line="264" w:lineRule="auto"/>
      <w:ind w:firstLine="720"/>
    </w:pPr>
  </w:style>
  <w:style w:type="paragraph" w:customStyle="1" w:styleId="FR2">
    <w:name w:val="FR2"/>
    <w:pPr>
      <w:widowControl w:val="0"/>
      <w:spacing w:after="0" w:line="360" w:lineRule="auto"/>
      <w:ind w:left="40" w:firstLine="8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7">
    <w:name w:val="Стиль3 Знак"/>
    <w:link w:val="38"/>
    <w:rPr>
      <w:rFonts w:ascii="Calibri" w:eastAsia="Calibri" w:hAnsi="Calibri" w:cs="Calibri"/>
      <w:spacing w:val="1"/>
    </w:rPr>
  </w:style>
  <w:style w:type="paragraph" w:customStyle="1" w:styleId="38">
    <w:name w:val="Стиль3"/>
    <w:basedOn w:val="a0"/>
    <w:link w:val="37"/>
    <w:pPr>
      <w:spacing w:line="240" w:lineRule="auto"/>
      <w:ind w:firstLine="0"/>
    </w:pPr>
    <w:rPr>
      <w:rFonts w:ascii="Calibri" w:eastAsia="Calibri" w:hAnsi="Calibri" w:cs="Calibri"/>
      <w:spacing w:val="1"/>
      <w:sz w:val="22"/>
      <w:szCs w:val="22"/>
      <w:lang w:eastAsia="en-US"/>
    </w:rPr>
  </w:style>
  <w:style w:type="paragraph" w:customStyle="1" w:styleId="CM1">
    <w:name w:val="CM1"/>
    <w:basedOn w:val="Default"/>
    <w:next w:val="Default"/>
    <w:uiPriority w:val="99"/>
    <w:pPr>
      <w:spacing w:line="420" w:lineRule="atLeast"/>
    </w:pPr>
    <w:rPr>
      <w:rFonts w:ascii="Arial" w:eastAsia="Calibri" w:hAnsi="Arial" w:cs="Arial"/>
      <w:color w:val="auto"/>
    </w:rPr>
  </w:style>
  <w:style w:type="paragraph" w:customStyle="1" w:styleId="CM11">
    <w:name w:val="CM1+1"/>
    <w:basedOn w:val="Default"/>
    <w:next w:val="Default"/>
    <w:uiPriority w:val="99"/>
    <w:pPr>
      <w:spacing w:line="413" w:lineRule="atLeast"/>
    </w:pPr>
    <w:rPr>
      <w:rFonts w:ascii="Arial" w:eastAsia="Calibri" w:hAnsi="Arial" w:cs="Arial"/>
      <w:color w:val="auto"/>
    </w:rPr>
  </w:style>
  <w:style w:type="paragraph" w:customStyle="1" w:styleId="18">
    <w:name w:val="Абзац списка1"/>
    <w:basedOn w:val="a0"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</w:rPr>
  </w:style>
  <w:style w:type="character" w:styleId="afff3">
    <w:name w:val="annotation reference"/>
    <w:uiPriority w:val="99"/>
    <w:semiHidden/>
    <w:unhideWhenUsed/>
    <w:rPr>
      <w:sz w:val="16"/>
      <w:szCs w:val="16"/>
    </w:rPr>
  </w:style>
  <w:style w:type="character" w:customStyle="1" w:styleId="afff4">
    <w:name w:val="Название Знак"/>
    <w:rPr>
      <w:b/>
      <w:bCs/>
      <w:sz w:val="28"/>
      <w:szCs w:val="24"/>
      <w:lang w:val="ru-RU" w:eastAsia="ru-RU" w:bidi="ar-SA"/>
    </w:rPr>
  </w:style>
  <w:style w:type="character" w:customStyle="1" w:styleId="29">
    <w:name w:val="Заголовок 2 Знак Знак Знак Знак Знак Знак Знак Знак Знак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afff5">
    <w:name w:val="Знак Знак Знак"/>
    <w:rPr>
      <w:sz w:val="24"/>
      <w:szCs w:val="24"/>
      <w:lang w:val="ru-RU" w:eastAsia="ru-RU" w:bidi="ar-SA"/>
    </w:rPr>
  </w:style>
  <w:style w:type="character" w:customStyle="1" w:styleId="context">
    <w:name w:val="context"/>
    <w:basedOn w:val="a1"/>
  </w:style>
  <w:style w:type="character" w:customStyle="1" w:styleId="311">
    <w:name w:val="Основной текст с отступом 3 Знак1"/>
    <w:basedOn w:val="a1"/>
    <w:rPr>
      <w:sz w:val="16"/>
      <w:szCs w:val="16"/>
    </w:rPr>
  </w:style>
  <w:style w:type="character" w:customStyle="1" w:styleId="FontStyle25">
    <w:name w:val="Font Style25"/>
    <w:uiPriority w:val="99"/>
    <w:rPr>
      <w:rFonts w:ascii="Times New Roman" w:hAnsi="Times New Roman" w:cs="Times New Roman" w:hint="default"/>
      <w:sz w:val="24"/>
    </w:rPr>
  </w:style>
  <w:style w:type="character" w:customStyle="1" w:styleId="19">
    <w:name w:val="Тема примечания Знак1"/>
    <w:basedOn w:val="aff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seti.ru/suppliers/technical-policy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seti.ru/suppliers/technical-policy/equipment-quality-contro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osseti.ru/suppliers/technical-policy/organization-standard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seti.ru/suppliers/technical-policy/equipment-quality-c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02D80B-F60A-4876-9915-131CCD01F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1971</Words>
  <Characters>11238</Characters>
  <Application>Microsoft Office Word</Application>
  <DocSecurity>0</DocSecurity>
  <Lines>93</Lines>
  <Paragraphs>26</Paragraphs>
  <ScaleCrop>false</ScaleCrop>
  <Company/>
  <LinksUpToDate>false</LinksUpToDate>
  <CharactersWithSpaces>13183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Карих Дмитрий Борисович</dc:creator>
  <cp:lastModifiedBy>Ерыгин Евгений Валериевич</cp:lastModifiedBy>
  <cp:revision>103</cp:revision>
  <dcterms:created xsi:type="dcterms:W3CDTF">2018-09-12T06:02:00Z</dcterms:created>
  <dcterms:modified xsi:type="dcterms:W3CDTF">2026-09-14T10:05:00Z</dcterms:modified>
</cp:coreProperties>
</file>