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Приложение №1</w:t>
      </w:r>
      <w:r>
        <w:rPr>
          <w:sz w:val="20"/>
        </w:rPr>
      </w:r>
      <w:r>
        <w:rPr>
          <w:sz w:val="20"/>
        </w:rPr>
      </w:r>
    </w:p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к заявке на проведение процедуры</w:t>
      </w:r>
      <w:r>
        <w:rPr>
          <w:sz w:val="20"/>
        </w:rPr>
      </w:r>
      <w:r>
        <w:rPr>
          <w:sz w:val="20"/>
        </w:rPr>
      </w:r>
    </w:p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закупки материалов и оборудования</w:t>
      </w:r>
      <w:r>
        <w:rPr>
          <w:sz w:val="20"/>
        </w:rPr>
      </w:r>
      <w:r>
        <w:rPr>
          <w:sz w:val="20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40" w:lineRule="auto"/>
        <w:rPr>
          <w:b/>
          <w:szCs w:val="28"/>
        </w:rPr>
      </w:pPr>
      <w:r>
        <w:rPr>
          <w:b/>
          <w:szCs w:val="28"/>
        </w:rPr>
        <w:t xml:space="preserve">ТЕХНИЧЕСКОЕ ЗАДАНИЕ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0"/>
        <w:jc w:val="center"/>
        <w:spacing w:line="240" w:lineRule="auto"/>
        <w:rPr>
          <w:sz w:val="6"/>
          <w:szCs w:val="24"/>
        </w:rPr>
      </w:pPr>
      <w:r>
        <w:rPr>
          <w:sz w:val="6"/>
          <w:szCs w:val="24"/>
        </w:rPr>
      </w:r>
      <w:r>
        <w:rPr>
          <w:sz w:val="6"/>
          <w:szCs w:val="24"/>
        </w:rPr>
      </w:r>
      <w:r>
        <w:rPr>
          <w:sz w:val="6"/>
          <w:szCs w:val="24"/>
        </w:rPr>
      </w:r>
    </w:p>
    <w:p>
      <w:pPr>
        <w:ind w:firstLine="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 проведение закупочной процедуры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ПАО "Россети Юг"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договора на поставку кабельных муфт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Номенклатура и объем поставки: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5165"/>
        <w:gridCol w:w="1188"/>
        <w:gridCol w:w="1714"/>
        <w:gridCol w:w="2057"/>
        <w:gridCol w:w="2057"/>
        <w:gridCol w:w="2057"/>
      </w:tblGrid>
      <w:tr>
        <w:tblPrEx/>
        <w:trPr>
          <w:cantSplit/>
          <w:trHeight w:val="300"/>
          <w:tblHeader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№ п.п.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16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продукции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(полные технические характеристики, комплектация, предпочтительные типы, марки или аналоги)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18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Ед. изм.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1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Ориентировочный объем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05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Максимальная единичная расценка, рублей с НДС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114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Постановление национального режима в соответствии с ПП 1875 от 23.12.2024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</w:p>
        </w:tc>
      </w:tr>
      <w:tr>
        <w:tblPrEx/>
        <w:trPr>
          <w:cantSplit/>
          <w:trHeight w:val="300"/>
          <w:tblHeader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6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8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14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ОКПД 2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Мера применения национального режима (запрет, ограничение, преимущество)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</w:p>
        </w:tc>
      </w:tr>
      <w:tr>
        <w:tblPrEx/>
        <w:trPr>
          <w:cantSplit/>
          <w:trHeight w:val="300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7D8AB9" w:sz="4" w:space="0"/>
              <w:bottom w:val="single" w:color="auto" w:sz="4" w:space="0"/>
              <w:right w:val="single" w:color="auto" w:sz="4" w:space="0"/>
            </w:tcBorders>
            <w:tcW w:w="14238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в соответствии с приложением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pacing w:line="240" w:lineRule="auto"/>
        <w:tabs>
          <w:tab w:val="left" w:pos="1134" w:leader="none"/>
        </w:tabs>
        <w:rPr>
          <w:sz w:val="24"/>
          <w:szCs w:val="24"/>
        </w:rPr>
      </w:pPr>
      <w:r/>
      <w:bookmarkStart w:id="0" w:name="_GoBack"/>
      <w:r/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Н</w:t>
      </w:r>
      <w:r>
        <w:rPr>
          <w:bCs/>
          <w:sz w:val="24"/>
          <w:szCs w:val="24"/>
        </w:rPr>
        <w:t xml:space="preserve">ачальная (максимальная) цена договора является фиксированной и изменению в процессе проведения закупочной процедуры не подлежит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Сумм</w:t>
      </w:r>
      <w:r>
        <w:rPr>
          <w:bCs/>
          <w:sz w:val="24"/>
          <w:szCs w:val="24"/>
        </w:rPr>
        <w:t xml:space="preserve">а единичных расценок подлежит изменению (снижению) в процессе проведения закупочных процедур. Превышение начальной (максимальной) цены за единицу продукции не допускается и является основанием для отклонения заявки участника по решению Закупочной комиссии.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подаче ценового предложения, в том числе при проведении процедуры переторжки путем снижения общей стоимости заявки (суммы единичных расценок), стоимость каждой единичной расценки (стоимостной позиции) уменьшается соразмерно проценту тендерного снижени</w:t>
      </w:r>
      <w:r>
        <w:rPr>
          <w:sz w:val="24"/>
          <w:szCs w:val="24"/>
        </w:rPr>
        <w:t xml:space="preserve">я общей стоимости заявки (суммы единичных расценок).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Заказчик намерен приобрести продукцию в ассортименте, указанном в п. 1, и в объеме на основании ежемесячных заявок в соответствии с запланированными работами в рамках производственных программ Общества. </w:t>
      </w:r>
      <w:r>
        <w:rPr>
          <w:sz w:val="24"/>
          <w:szCs w:val="24"/>
        </w:rPr>
        <w:t xml:space="preserve">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увеличения, так и в сторону уменьшения количества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6.1. Технические характеристики кабельных муфт должны соответствовать требованиям, приведённым в таблице 1: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rPr>
          <w:color w:val="000000"/>
          <w:sz w:val="24"/>
          <w:szCs w:val="24"/>
          <w:highlight w:val="none"/>
        </w:rPr>
      </w:pPr>
      <w:r>
        <w:rPr>
          <w:bCs/>
          <w:color w:val="000000"/>
          <w:sz w:val="24"/>
          <w:szCs w:val="24"/>
        </w:rPr>
        <w:t xml:space="preserve">Таблица 1</w:t>
      </w:r>
      <w:r>
        <w:rPr>
          <w:color w:val="000000"/>
          <w:sz w:val="24"/>
          <w:szCs w:val="24"/>
          <w:highlight w:val="none"/>
        </w:rPr>
      </w:r>
      <w:r/>
    </w:p>
    <w:tbl>
      <w:tblPr>
        <w:tblW w:w="94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1025"/>
        <w:gridCol w:w="5264"/>
        <w:gridCol w:w="3204"/>
      </w:tblGrid>
      <w:tr>
        <w:tblPrEx/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Нормативный документ для изготовления (ГОСТ, ТУ)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ГОСТ 34839-2022,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ГОСТ Р МЭК 60840-2022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Частота, Гц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50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Эксплуатация на высоте над уровнем моря, не более, м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1000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Климатическое исполнение и категория размещения по ГОСТ 15150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УХЛ1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Минимальная температура монтажа муфт без предварительного подогрева, </w:t>
            </w:r>
            <w:r>
              <w:rPr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color w:val="000000"/>
                <w:sz w:val="24"/>
                <w:szCs w:val="24"/>
              </w:rPr>
              <w:t xml:space="preserve">С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-20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6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Гарантийный срок эксплуатации, лет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7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Установленный срок службы, лет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30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8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Гарантийный срок хранения, лет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" w:type="dxa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9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Тип материала муфт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4" w:type="dxa"/>
            <w:vAlign w:val="center"/>
            <w:textDirection w:val="lrTb"/>
            <w:noWrap w:val="false"/>
          </w:tcPr>
          <w:p>
            <w:pPr>
              <w:ind w:firstLine="709"/>
              <w:jc w:val="center"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Термоусаживаемый полимер</w:t>
            </w:r>
            <w:r>
              <w:rPr>
                <w:bCs/>
                <w:color w:val="000000"/>
                <w:sz w:val="24"/>
                <w:szCs w:val="24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</w:tbl>
    <w:p>
      <w:pPr>
        <w:ind w:firstLine="709"/>
        <w:jc w:val="both"/>
        <w:spacing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6.2. Муфты должны иметь сертификаты соответствия и протоколы сертификационных испытаний, подтверждающие заявленные характеристики (копии).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6.3. Муфты должны соответствовать требованиям безопасности по ГОСТ 12.2.007.14–75. Применяемые материалы должны быть экологически чистыми и подлежать вторичной переработке.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  Требования к контактным соединениям: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6.4.1. Контактные соединения должны соответствовать ГОСТ 10434-82.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8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6.4.2. Соединители (наконечники) должны гарантировать электрическую целостность жил кабелей и механическую прочность соединения, обеспечивать работоспособность муфт в аварийных режимах.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6.4.3. В комплект поставки муфт должны входить механические болтовые соединители (наконечники) со срывающимися при затяжке головками.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6.4.4. Соединители (наконечники) должны обеспечивать возможность их применения для кабелей с алюминиевыми и медными жилами.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6.4.5. Жила кабеля должна быть закреплена в корпусе соединителя (наконечника) двумя или более контактными болтами со срывающимися при затяжке головками.  Момент срыва головок болтов должен быть: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3"/>
        </w:numPr>
        <w:ind w:firstLine="34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для сечений жил кабеля 70, 95, 120 мм</w:t>
      </w:r>
      <w:r>
        <w:rPr>
          <w:bCs/>
          <w:color w:val="000000"/>
          <w:sz w:val="24"/>
          <w:szCs w:val="24"/>
          <w:vertAlign w:val="superscript"/>
        </w:rPr>
        <w:t xml:space="preserve">2</w:t>
      </w:r>
      <w:r>
        <w:rPr>
          <w:bCs/>
          <w:color w:val="000000"/>
          <w:sz w:val="24"/>
          <w:szCs w:val="24"/>
        </w:rPr>
        <w:t xml:space="preserve">      -  от 2,8 до 3,2 кг/м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3"/>
        </w:numPr>
        <w:ind w:firstLine="34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для сечения жил кабеля 150, 185, 240 мм</w:t>
      </w:r>
      <w:r>
        <w:rPr>
          <w:bCs/>
          <w:color w:val="000000"/>
          <w:sz w:val="24"/>
          <w:szCs w:val="24"/>
          <w:vertAlign w:val="superscript"/>
        </w:rPr>
        <w:t xml:space="preserve">2</w:t>
      </w:r>
      <w:r>
        <w:rPr>
          <w:bCs/>
          <w:color w:val="000000"/>
          <w:sz w:val="24"/>
          <w:szCs w:val="24"/>
        </w:rPr>
        <w:t xml:space="preserve">  -</w:t>
      </w:r>
      <w:r>
        <w:rPr>
          <w:bCs/>
          <w:color w:val="000000"/>
          <w:sz w:val="24"/>
          <w:szCs w:val="24"/>
        </w:rPr>
        <w:t xml:space="preserve">  от 5,0 до 5,9 кг/м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6.4.6. Для соединения жил кабелей с бумажной изоляцией должны применяться соединители с внутренней цельной перегородкой изготовленной способом механической обработки, применение запрессованной перегородки не допускается.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6.4.7. Для соединения (</w:t>
      </w:r>
      <w:r>
        <w:rPr>
          <w:bCs/>
          <w:color w:val="000000"/>
          <w:sz w:val="24"/>
          <w:szCs w:val="24"/>
        </w:rPr>
        <w:t xml:space="preserve">оконцевания</w:t>
      </w:r>
      <w:r>
        <w:rPr>
          <w:bCs/>
          <w:color w:val="000000"/>
          <w:sz w:val="24"/>
          <w:szCs w:val="24"/>
        </w:rPr>
        <w:t xml:space="preserve">) секторных цельнотянутых жил кабелей должны применяться соединители (наконечники) с расположенными в одной радиальной плоскости резьбовыми отверстиями под контактные болты. 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 Требования к конструкции муфт для кабелей с бумажной изоляцией: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6.5.1. В соединительных муфтах для многожильных кабелей с бумажной изоляцией на напряжение 6 – 10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 жилы кабелей должны быть разделены эластичной распоркой, межфазное пространство должно быть заполнено мастикой, обеспечивающей равномерное заполнение без образования пустот.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6.5.2. В соединительных и переходных муфтах для восстановления оболочки кабеля и в качестве защитного кожуха должны применяться </w:t>
      </w:r>
      <w:r>
        <w:rPr>
          <w:bCs/>
          <w:color w:val="000000"/>
          <w:sz w:val="24"/>
          <w:szCs w:val="24"/>
        </w:rPr>
        <w:t xml:space="preserve">термоусаживаемые трубки</w:t>
      </w:r>
      <w:r>
        <w:rPr>
          <w:bCs/>
          <w:color w:val="000000"/>
          <w:sz w:val="24"/>
          <w:szCs w:val="24"/>
        </w:rPr>
        <w:t xml:space="preserve"> имеющие сплошной клеевой слой по всей длине внутренней поверхности. Толщина трубки кожуха муфты после усадки должна обеспечивать жесткость конструкции муфты. Применение составного защитного кожуха не допускается.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6.5.3. В концевых муфтах наружной установки на напряжение 6-35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 должны применяться две термоусаживаемые трубки (</w:t>
      </w:r>
      <w:r>
        <w:rPr>
          <w:bCs/>
          <w:color w:val="000000"/>
          <w:sz w:val="24"/>
          <w:szCs w:val="24"/>
        </w:rPr>
        <w:t xml:space="preserve">маслоотделительная</w:t>
      </w:r>
      <w:r>
        <w:rPr>
          <w:bCs/>
          <w:color w:val="000000"/>
          <w:sz w:val="24"/>
          <w:szCs w:val="24"/>
        </w:rPr>
        <w:t xml:space="preserve"> и наружная). Наружная термоусаживаемая трубка должна иметь сплошной клеевой слой по всей длине внутренней поверхности.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6.5.4. В концевых муфтах наружной установки на напряжение свыше 1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 должны применяться термоусаживаемые изоляционные юбки. На патрубке юбок должен быть нанесен клей-расплав.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6.5.5. Соединительные и переходные муфты на напряжение свыше 1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 должны иметь экран из алюминиевой ленты.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6.5.6.  Сечение заземляющего провода должно быть: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4"/>
        </w:numPr>
        <w:ind w:left="1276" w:hanging="425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для кабелей с жилами сечением 35 - 120 мм²    -   не менее 16 мм²;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4"/>
        </w:numPr>
        <w:ind w:hanging="578"/>
        <w:jc w:val="both"/>
        <w:spacing w:line="240" w:lineRule="auto"/>
        <w:tabs>
          <w:tab w:val="num" w:pos="1276" w:leader="none"/>
        </w:tabs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для кабелей с жилами сечением 150 - 240 мм</w:t>
      </w:r>
      <w:r>
        <w:rPr>
          <w:bCs/>
          <w:color w:val="000000"/>
          <w:sz w:val="24"/>
          <w:szCs w:val="24"/>
        </w:rPr>
        <w:t xml:space="preserve">²  -</w:t>
      </w:r>
      <w:r>
        <w:rPr>
          <w:bCs/>
          <w:color w:val="000000"/>
          <w:sz w:val="24"/>
          <w:szCs w:val="24"/>
        </w:rPr>
        <w:t xml:space="preserve">   не менее 25 мм².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При использовании алюминиевой оболочки кабеля на напряжение до 1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 включительно в качестве нулевой жилы кабеля заземляющий провод должен иметь следующие сечения: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5"/>
        </w:numPr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   для кабелей с жилами сечением 70 мм²              -   50 мм²;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5"/>
        </w:numPr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   для кабелей с жилами сечением 95 мм²              -   70 мм²;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5"/>
        </w:numPr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   для кабелей с жилами сечением 120; 150 мм²    -   95 мм²;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numPr>
          <w:ilvl w:val="0"/>
          <w:numId w:val="5"/>
        </w:numPr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   для кабелей с жилами сечением 185; 240 мм²    -   150 мм².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Заземляющий провод должен присоединяться к металлической оболочке и лентам брони кабеля </w:t>
      </w:r>
      <w:r>
        <w:rPr>
          <w:bCs/>
          <w:color w:val="000000"/>
          <w:sz w:val="24"/>
          <w:szCs w:val="24"/>
        </w:rPr>
        <w:t xml:space="preserve">методом пайки.  Применение роликовых пружин постоянного давления не допускается.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4"/>
          <w:szCs w:val="24"/>
        </w:rPr>
        <w:t xml:space="preserve">6.5.7. Концевые муфты внутренний и наружной установки должны быть испытаны повышенным напряжением 47 </w:t>
      </w:r>
      <w:r>
        <w:rPr>
          <w:bCs/>
          <w:color w:val="000000" w:themeColor="text1"/>
          <w:sz w:val="24"/>
          <w:szCs w:val="24"/>
        </w:rPr>
        <w:t xml:space="preserve">кВ</w:t>
      </w:r>
      <w:r>
        <w:rPr>
          <w:bCs/>
          <w:color w:val="000000" w:themeColor="text1"/>
          <w:sz w:val="24"/>
          <w:szCs w:val="24"/>
        </w:rPr>
        <w:t xml:space="preserve">, что должно подтверждаться протоколом испытаний, который должен быть предоставлен на момент поставки.</w:t>
      </w:r>
      <w:r>
        <w:rPr>
          <w:bCs/>
          <w:color w:val="000000" w:themeColor="text1"/>
          <w:sz w:val="24"/>
          <w:szCs w:val="24"/>
        </w:rPr>
      </w:r>
      <w:r>
        <w:rPr>
          <w:bCs/>
          <w:color w:val="000000" w:themeColor="text1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6.6. Требования к конструкции муфт для </w:t>
      </w:r>
      <w:r>
        <w:rPr>
          <w:bCs/>
          <w:color w:val="000000"/>
          <w:sz w:val="24"/>
          <w:szCs w:val="24"/>
        </w:rPr>
        <w:t xml:space="preserve">одножильных  кабелей</w:t>
      </w:r>
      <w:r>
        <w:rPr>
          <w:bCs/>
          <w:color w:val="000000"/>
          <w:sz w:val="24"/>
          <w:szCs w:val="24"/>
        </w:rPr>
        <w:t xml:space="preserve"> с изоляцией из СПЭ на напряжение 10-35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6.6.1. Соединительные муфты в конструкции должны иметь экран из медной сетки или алюминиевой ленты.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6.6.2. Соединение проволок экранов кабелей в соединительных муфтах должно быть выполнено разделанными скрутками данных экранов с </w:t>
      </w:r>
      <w:r>
        <w:rPr>
          <w:bCs/>
          <w:color w:val="000000"/>
          <w:sz w:val="24"/>
          <w:szCs w:val="24"/>
        </w:rPr>
        <w:t xml:space="preserve">помощью  соединителей</w:t>
      </w:r>
      <w:r>
        <w:rPr>
          <w:bCs/>
          <w:color w:val="000000"/>
          <w:sz w:val="24"/>
          <w:szCs w:val="24"/>
        </w:rPr>
        <w:t xml:space="preserve">  со срывающимися при затяжке головками или с помощью пружин постоянного давления.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6.6.3. В концевых муфтах заземление экрана должно быть выполнено разделанной скруткой данного экрана. </w:t>
      </w:r>
      <w:r>
        <w:rPr>
          <w:bCs/>
          <w:color w:val="000000"/>
          <w:sz w:val="24"/>
          <w:szCs w:val="24"/>
        </w:rPr>
        <w:t xml:space="preserve">Оконцевание</w:t>
      </w:r>
      <w:r>
        <w:rPr>
          <w:bCs/>
          <w:color w:val="000000"/>
          <w:sz w:val="24"/>
          <w:szCs w:val="24"/>
        </w:rPr>
        <w:t xml:space="preserve"> проволок экрана должно быть выполнено наконечниками (болтовыми со срывающимися болтами, винтовыми, под </w:t>
      </w:r>
      <w:r>
        <w:rPr>
          <w:bCs/>
          <w:color w:val="000000"/>
          <w:sz w:val="24"/>
          <w:szCs w:val="24"/>
        </w:rPr>
        <w:t xml:space="preserve">опрессовку</w:t>
      </w:r>
      <w:r>
        <w:rPr>
          <w:bCs/>
          <w:color w:val="000000"/>
          <w:sz w:val="24"/>
          <w:szCs w:val="24"/>
        </w:rPr>
        <w:t xml:space="preserve"> однозубым вдавливанием), входящими в комплект муфты.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6.6.4. Размер присоединения (длина) концевых муфт должен </w:t>
      </w:r>
      <w:r>
        <w:rPr>
          <w:bCs/>
          <w:color w:val="000000"/>
          <w:sz w:val="24"/>
          <w:szCs w:val="24"/>
        </w:rPr>
        <w:t xml:space="preserve">соответствовать  соответствующим</w:t>
      </w:r>
      <w:r>
        <w:rPr>
          <w:bCs/>
          <w:color w:val="000000"/>
          <w:sz w:val="24"/>
          <w:szCs w:val="24"/>
        </w:rPr>
        <w:t xml:space="preserve"> размерам малогабаритного электрооборудования.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6.6.5. Для малогабаритного электрооборудования конструкция наконечника должна предусматривать возможность применения с изолирующим адаптером.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 Требования к деталям и материалам: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6.7.1. Для изготовления контактных соединений должны применяться материалы с удельным электрическим сопротивлением не более 4 </w:t>
      </w:r>
      <w:r>
        <w:rPr>
          <w:bCs/>
          <w:color w:val="000000"/>
          <w:sz w:val="24"/>
          <w:szCs w:val="24"/>
        </w:rPr>
        <w:t xml:space="preserve">мкОм·см</w:t>
      </w:r>
      <w:r>
        <w:rPr>
          <w:bCs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6.7.2. Заземляющий провод должен </w:t>
      </w:r>
      <w:r>
        <w:rPr>
          <w:bCs/>
          <w:color w:val="000000"/>
          <w:sz w:val="24"/>
          <w:szCs w:val="24"/>
        </w:rPr>
        <w:t xml:space="preserve">быть  медным</w:t>
      </w:r>
      <w:r>
        <w:rPr>
          <w:bCs/>
          <w:color w:val="000000"/>
          <w:sz w:val="24"/>
          <w:szCs w:val="24"/>
        </w:rPr>
        <w:t xml:space="preserve">  луженым,  конструкции класса 3 или 4 по ГОСТ22483. В концевых муфтах заземляющий провод должен быть </w:t>
      </w:r>
      <w:r>
        <w:rPr>
          <w:bCs/>
          <w:color w:val="000000"/>
          <w:sz w:val="24"/>
          <w:szCs w:val="24"/>
        </w:rPr>
        <w:t xml:space="preserve">опрессован</w:t>
      </w:r>
      <w:r>
        <w:rPr>
          <w:bCs/>
          <w:color w:val="000000"/>
          <w:sz w:val="24"/>
          <w:szCs w:val="24"/>
        </w:rPr>
        <w:t xml:space="preserve"> медным луженым наконечником, </w:t>
      </w:r>
      <w:r>
        <w:rPr>
          <w:bCs/>
          <w:color w:val="000000"/>
          <w:sz w:val="24"/>
          <w:szCs w:val="24"/>
        </w:rPr>
        <w:t xml:space="preserve">опрессовка</w:t>
      </w:r>
      <w:r>
        <w:rPr>
          <w:bCs/>
          <w:color w:val="000000"/>
          <w:sz w:val="24"/>
          <w:szCs w:val="24"/>
        </w:rPr>
        <w:t xml:space="preserve"> должна быть выполнена однозубым вдавливанием.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6.7.3. Алюминиевая экранная лента должна быть выполнена из алюминия марки А0 толщиной 100 мкм.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6.7.4. Толщина профиля межфазной распорки должна быть не менее 4 мм для кабелей сечением 35 - 120 мм</w:t>
      </w:r>
      <w:r>
        <w:rPr>
          <w:bCs/>
          <w:color w:val="000000"/>
          <w:sz w:val="24"/>
          <w:szCs w:val="24"/>
          <w:vertAlign w:val="superscript"/>
        </w:rPr>
        <w:t xml:space="preserve">2 </w:t>
      </w:r>
      <w:r>
        <w:rPr>
          <w:bCs/>
          <w:color w:val="000000"/>
          <w:sz w:val="24"/>
          <w:szCs w:val="24"/>
        </w:rPr>
        <w:t xml:space="preserve">,</w:t>
      </w:r>
      <w:r>
        <w:rPr>
          <w:bCs/>
          <w:color w:val="000000"/>
          <w:sz w:val="24"/>
          <w:szCs w:val="24"/>
        </w:rPr>
        <w:t xml:space="preserve"> и не менее 6 мм  для кабелей сечением 150 - 240 мм</w:t>
      </w:r>
      <w:r>
        <w:rPr>
          <w:bCs/>
          <w:color w:val="000000"/>
          <w:sz w:val="24"/>
          <w:szCs w:val="24"/>
          <w:vertAlign w:val="superscript"/>
        </w:rPr>
        <w:t xml:space="preserve">2</w:t>
      </w:r>
      <w:r>
        <w:rPr>
          <w:bCs/>
          <w:color w:val="000000"/>
          <w:sz w:val="24"/>
          <w:szCs w:val="24"/>
        </w:rPr>
        <w:t xml:space="preserve">, высота профиля должна быть не менее 25 мм для кабелей с сечением жил 35 - 120 мм</w:t>
      </w:r>
      <w:r>
        <w:rPr>
          <w:bCs/>
          <w:color w:val="000000"/>
          <w:sz w:val="24"/>
          <w:szCs w:val="24"/>
          <w:vertAlign w:val="superscript"/>
        </w:rPr>
        <w:t xml:space="preserve">2</w:t>
      </w:r>
      <w:r>
        <w:rPr>
          <w:bCs/>
          <w:color w:val="000000"/>
          <w:sz w:val="24"/>
          <w:szCs w:val="24"/>
        </w:rPr>
        <w:t xml:space="preserve">, и не менее 35 мм для кабелей с сечением жил 150 - 240 мм</w:t>
      </w:r>
      <w:r>
        <w:rPr>
          <w:bCs/>
          <w:color w:val="000000"/>
          <w:sz w:val="24"/>
          <w:szCs w:val="24"/>
          <w:vertAlign w:val="superscript"/>
        </w:rPr>
        <w:t xml:space="preserve">2</w:t>
      </w:r>
      <w:r>
        <w:rPr>
          <w:bCs/>
          <w:color w:val="000000"/>
          <w:sz w:val="24"/>
          <w:szCs w:val="24"/>
        </w:rPr>
        <w:t xml:space="preserve">. Для изготовления профиля межфазной распорки должен применяться ПВХ пластикат кабельный марки О-40 рецептуры ОМ-40 по ГОСТ 5960-72. На поверхность профиля должен быть нанесен мастичный слой толщиной не менее 2 мм.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6.7.5. Электрическая прочность электроизоляционных полимерных материалов должна быть не менее 15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/мм.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6.7.6. В соединительных и переходных муфтах на напряжение 6-10 </w:t>
      </w:r>
      <w:r>
        <w:rPr>
          <w:bCs/>
          <w:color w:val="000000"/>
          <w:sz w:val="24"/>
          <w:szCs w:val="24"/>
        </w:rPr>
        <w:t xml:space="preserve">кВ</w:t>
      </w:r>
      <w:r>
        <w:rPr>
          <w:bCs/>
          <w:color w:val="000000"/>
          <w:sz w:val="24"/>
          <w:szCs w:val="24"/>
        </w:rPr>
        <w:t xml:space="preserve"> для восстановления изоляции в области болтовых соединителей должна применяться </w:t>
      </w:r>
      <w:r>
        <w:rPr>
          <w:bCs/>
          <w:color w:val="000000"/>
          <w:sz w:val="24"/>
          <w:szCs w:val="24"/>
        </w:rPr>
        <w:t xml:space="preserve">толстостенная термоусаживаемая трубка</w:t>
      </w:r>
      <w:r>
        <w:rPr>
          <w:bCs/>
          <w:color w:val="000000"/>
          <w:sz w:val="24"/>
          <w:szCs w:val="24"/>
        </w:rPr>
        <w:t xml:space="preserve"> изготовленная из неокрашенного полимера, </w:t>
      </w:r>
      <w:r>
        <w:rPr>
          <w:bCs/>
          <w:color w:val="000000"/>
          <w:sz w:val="24"/>
          <w:szCs w:val="24"/>
        </w:rPr>
        <w:t xml:space="preserve">клеей</w:t>
      </w:r>
      <w:r>
        <w:rPr>
          <w:bCs/>
          <w:color w:val="000000"/>
          <w:sz w:val="24"/>
          <w:szCs w:val="24"/>
        </w:rPr>
        <w:t xml:space="preserve">-расплав должен быть нанесен сплошным слоем в местах усадки трубки на жилу кабеля. Толщина восстановленной изоляции должна быть не менее 4,5 мм.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6.7.7. В концевых муфтах наружной установки всех типов и напряжений термоусаживаемые детали должны быть атмосферостойкими, </w:t>
      </w:r>
      <w:r>
        <w:rPr>
          <w:bCs/>
          <w:color w:val="000000"/>
          <w:sz w:val="24"/>
          <w:szCs w:val="24"/>
        </w:rPr>
        <w:t xml:space="preserve">трекинго-эрозионностойкими</w:t>
      </w:r>
      <w:r>
        <w:rPr>
          <w:bCs/>
          <w:color w:val="000000"/>
          <w:sz w:val="24"/>
          <w:szCs w:val="24"/>
        </w:rPr>
        <w:t xml:space="preserve">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6.7.8. Коэффициент усадки термоусаживаемых деталей должен быть не менее 2,5. Стенки термоусаживаемых деталей (трубки, перчатки и манжеты) не должн</w:t>
      </w:r>
      <w:r>
        <w:rPr>
          <w:bCs/>
          <w:color w:val="000000"/>
          <w:sz w:val="24"/>
          <w:szCs w:val="24"/>
        </w:rPr>
        <w:t xml:space="preserve">ы иметь трещин, складок и сквозных отверстий.  На поверхности термоусаживаемых деталей не должно быть раковин, расслоений, пузырей и других поверхностных дефектов. Края термоусаживаемых деталей не должны иметь надрывов, заусенцев и других краевых дефектов.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6.7.9. В процессе монтажа муфт термоусаживаемые детали должны иметь равномерную динамичную усадку по длине и окружности, плотный </w:t>
      </w:r>
      <w:r>
        <w:rPr>
          <w:bCs/>
          <w:color w:val="000000"/>
          <w:sz w:val="24"/>
          <w:szCs w:val="24"/>
        </w:rPr>
        <w:t xml:space="preserve">обхват  элементов</w:t>
      </w:r>
      <w:r>
        <w:rPr>
          <w:bCs/>
          <w:color w:val="000000"/>
          <w:sz w:val="24"/>
          <w:szCs w:val="24"/>
        </w:rPr>
        <w:t xml:space="preserve"> кабеля без воздушных включений, стойкость поверхности к пламени горелки, незначительную  продольную усадку.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8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6.7.10. </w:t>
      </w:r>
      <w:r>
        <w:rPr>
          <w:bCs/>
          <w:color w:val="000000"/>
          <w:sz w:val="24"/>
          <w:szCs w:val="24"/>
        </w:rPr>
        <w:t xml:space="preserve">Термоусаживаемые детали и мастичные материалы</w:t>
      </w:r>
      <w:r>
        <w:rPr>
          <w:bCs/>
          <w:color w:val="000000"/>
          <w:sz w:val="24"/>
          <w:szCs w:val="24"/>
        </w:rPr>
        <w:t xml:space="preserve"> имеющие контакт с бумажной </w:t>
      </w:r>
      <w:r>
        <w:rPr>
          <w:bCs/>
          <w:color w:val="000000"/>
          <w:sz w:val="24"/>
          <w:szCs w:val="24"/>
        </w:rPr>
        <w:t xml:space="preserve">маслопропитанной</w:t>
      </w:r>
      <w:r>
        <w:rPr>
          <w:bCs/>
          <w:color w:val="000000"/>
          <w:sz w:val="24"/>
          <w:szCs w:val="24"/>
        </w:rPr>
        <w:t xml:space="preserve"> изоляцией должны быть маслостойкими.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6.7.11. Термоусаживаемые трубки для восстановления изоляции кабеля с изоляцией из сшитого полиэтилена должны быть трёхслойные.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6.7.12. Материал, применяемый для выравнивания напряженности электрического поля должен иметь: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- диэлектрическую проницаемость при частоте 100 Гц, не менее 15;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- удельное объемное электрическое сопротивление, Ом·</w:t>
      </w:r>
      <w:r>
        <w:rPr>
          <w:bCs/>
          <w:color w:val="000000"/>
          <w:sz w:val="24"/>
          <w:szCs w:val="24"/>
          <w:lang w:val="en-US"/>
        </w:rPr>
        <w:t xml:space="preserve">c</w:t>
      </w:r>
      <w:r>
        <w:rPr>
          <w:bCs/>
          <w:color w:val="000000"/>
          <w:sz w:val="24"/>
          <w:szCs w:val="24"/>
        </w:rPr>
        <w:t xml:space="preserve">м, не менее 1·10¹º.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6.7.13. В муфтах должны применяться термоусаживаемые имеющие сплошной клеевой слой по всей длине внутренней поверхности с параметрами усадки не менее 1 к 3,5.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6.7.14. Герметизирующие материалы должны обеспечивать герметичность муфт на протяжении всего срока эксплуатации с учетом повышенной влажности и высокого уровня грунтовых вод. 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6.7.15. </w:t>
      </w:r>
      <w:r>
        <w:rPr>
          <w:bCs/>
          <w:color w:val="000000"/>
          <w:sz w:val="24"/>
          <w:szCs w:val="24"/>
        </w:rPr>
        <w:t xml:space="preserve">Водопоглощение</w:t>
      </w:r>
      <w:r>
        <w:rPr>
          <w:bCs/>
          <w:color w:val="000000"/>
          <w:sz w:val="24"/>
          <w:szCs w:val="24"/>
        </w:rPr>
        <w:t xml:space="preserve"> герметика должно быть не более 0,1 %, прочность связи герметика с металлом при отслаивании должна быть не менее 300 Н/м, характер разрушения – когезионный.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6.7.16. Клей-расплав должен быть нанесён на внутренние поверхности термоусаживаемых деталей сплошным слоем. Метод нанесения клея-расплава – </w:t>
      </w:r>
      <w:r>
        <w:rPr>
          <w:bCs/>
          <w:color w:val="000000"/>
          <w:sz w:val="24"/>
          <w:szCs w:val="24"/>
        </w:rPr>
        <w:t xml:space="preserve">соэкструдирование</w:t>
      </w:r>
      <w:r>
        <w:rPr>
          <w:bCs/>
          <w:color w:val="000000"/>
          <w:sz w:val="24"/>
          <w:szCs w:val="24"/>
        </w:rPr>
        <w:t xml:space="preserve"> или механическое нанесение контактным способом с применением дозирующих устройств. Нанесение клея-расплава методом напыления не допускается.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6.8. Маркировка на термоусаживаемых деталях должна быть четкой и содержать наименование (товарный знак) завода изготовителя и соответствовать требованиям ГОСТ 18690-2012.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6.9. Кабельные муфты должны быть рассчитаны на возможность эксплуатации в непрерывном </w:t>
      </w:r>
      <w:r>
        <w:rPr>
          <w:bCs/>
          <w:color w:val="000000"/>
          <w:sz w:val="24"/>
          <w:szCs w:val="24"/>
        </w:rPr>
        <w:t xml:space="preserve">режиме круглосуточно в течение установленного срока службы, но не менее 30 лет.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ind w:firstLine="709"/>
        <w:jc w:val="both"/>
        <w:spacing w:line="240" w:lineRule="auto"/>
        <w:rPr>
          <w:bCs/>
          <w:color w:val="000000"/>
          <w:sz w:val="20"/>
          <w:szCs w:val="20"/>
        </w:rPr>
      </w:pPr>
      <w:r>
        <w:rPr>
          <w:bCs/>
          <w:color w:val="000000"/>
          <w:sz w:val="24"/>
          <w:szCs w:val="24"/>
        </w:rPr>
        <w:t xml:space="preserve">6.10. По всем видам кабельных муфт Поставщик должен предоставить </w:t>
      </w:r>
      <w:r>
        <w:rPr>
          <w:bCs/>
          <w:color w:val="000000"/>
          <w:sz w:val="24"/>
          <w:szCs w:val="24"/>
        </w:rPr>
        <w:t xml:space="preserve">паспорт</w:t>
      </w:r>
      <w:r>
        <w:rPr>
          <w:bCs/>
          <w:color w:val="000000"/>
          <w:sz w:val="24"/>
          <w:szCs w:val="24"/>
        </w:rPr>
        <w:t xml:space="preserve">. Весь комплект документации должен предоставляться в составе заявки.</w:t>
      </w:r>
      <w:r>
        <w:rPr>
          <w:bCs/>
          <w:color w:val="000000"/>
          <w:sz w:val="24"/>
          <w:szCs w:val="24"/>
        </w:rPr>
      </w:r>
      <w:r>
        <w:rPr>
          <w:bCs/>
          <w:color w:val="000000"/>
          <w:sz w:val="20"/>
          <w:szCs w:val="20"/>
        </w:rPr>
      </w:r>
    </w:p>
    <w:p>
      <w:pPr>
        <w:pStyle w:val="859"/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6.11. По всем пунктам за исключением п. 6.5.7. (протокол испытаний предоставляется на момент поставки продукции) подтверждение требований указывается в техническом предложении в составе заявки участника.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numPr>
          <w:ilvl w:val="0"/>
          <w:numId w:val="1"/>
        </w:numPr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Общие требования.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Продукция должна соответствовать требованиям Положения ПАО «Р</w:t>
      </w:r>
      <w:r>
        <w:rPr>
          <w:sz w:val="24"/>
          <w:szCs w:val="24"/>
        </w:rPr>
        <w:t xml:space="preserve">оссети» о единой технической политике в электросетевом комплексе (</w:t>
      </w:r>
      <w:hyperlink r:id="rId10" w:tooltip="https://www.rosseti.ru/suppliers/technical-policy/" w:history="1">
        <w:r>
          <w:rPr>
            <w:rStyle w:val="839"/>
            <w:sz w:val="24"/>
            <w:szCs w:val="24"/>
          </w:rPr>
          <w:t xml:space="preserve">https://www.rosseti.ru/suppliers/technical-policy/</w:t>
        </w:r>
      </w:hyperlink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Срок изготовле</w:t>
      </w:r>
      <w:r>
        <w:rPr>
          <w:sz w:val="24"/>
          <w:szCs w:val="24"/>
        </w:rPr>
        <w:t xml:space="preserve">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 Участника дол</w:t>
      </w:r>
      <w:r>
        <w:rPr>
          <w:sz w:val="24"/>
          <w:szCs w:val="24"/>
        </w:rPr>
        <w:t xml:space="preserve">жен отсутствовать негативный опыт работы с ПАО «Россети Юг» (отсутствие судебных решений, а также отсутствие писем и претензий, направленных в адрес Участника о неисполнении обязательств по ранее заключенным договорам с ПАО «Россети Юг»).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</w:pPr>
      <w:r>
        <w:rPr>
          <w:sz w:val="24"/>
          <w:szCs w:val="24"/>
        </w:rPr>
        <w:t xml:space="preserve">Участник должен и</w:t>
      </w:r>
      <w:r>
        <w:rPr>
          <w:sz w:val="24"/>
          <w:szCs w:val="24"/>
        </w:rPr>
        <w:t xml:space="preserve">меть опыт поставки аналогичного товара за последние 3 года (не менее двух исполненных или находящихся к моменту участия в закупке в процессе исполнения договоров по аналогичным поставкам, стоимость выполненных договоров или стоимость исполненного объема на</w:t>
      </w:r>
      <w:r>
        <w:rPr>
          <w:sz w:val="24"/>
          <w:szCs w:val="24"/>
        </w:rPr>
        <w:t xml:space="preserve">ходящихся в процессе исполнения договоров по аналогичным поставкам не должна быть меньше 80 % от цены закупки). Под выполненными или находящимися в процессе исполнения договорами по аналогичным поставкам понимаются договоры на поставку кабельных муфт</w:t>
      </w:r>
      <w:r>
        <w:rPr>
          <w:sz w:val="24"/>
          <w:szCs w:val="24"/>
        </w:rPr>
        <w:t xml:space="preserve">. Наличие необходимого опыта подтверждается предоставлением в составе заявки участника копий договоров и документов, подтверждающих исполнение поставок по договору (ТН/УПД), при этом дата подписания последнего документа, подтверждающего исполне</w:t>
      </w:r>
      <w:r>
        <w:rPr>
          <w:sz w:val="24"/>
          <w:szCs w:val="24"/>
        </w:rPr>
        <w:t xml:space="preserve">ние поставки по договору (ТН/УПД) не должна быть ранее 3 лет до даты подачи заявки на участие в настоящей закупке). </w:t>
      </w:r>
      <w:r/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Отсутствие в составе заявки участника подтверждения выполнения вышеуказанного требования является основанием для отклонения заявки участник</w:t>
      </w:r>
      <w:r>
        <w:rPr>
          <w:sz w:val="24"/>
          <w:szCs w:val="24"/>
        </w:rPr>
        <w:t xml:space="preserve">а по решению Закупочной комиссии ПАО «Россети Юг».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Состав технической и эксплуатационной документации.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</w:t>
      </w:r>
      <w:r>
        <w:rPr>
          <w:sz w:val="24"/>
          <w:szCs w:val="24"/>
        </w:rPr>
        <w:t xml:space="preserve">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Обязательным условием является предоставление в составе конкурсной заявки: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.2.1. Обязательным условием является предоставление в составе конкурсной заявки Российских сертификатов (деклараций) соответствия требованиям ГОСТ Р (ГОСТ или ТУ) и безопасности или выписку из реестра деклараций (сертификатов) о соответствии (данная информ</w:t>
      </w:r>
      <w:r>
        <w:rPr>
          <w:sz w:val="24"/>
          <w:szCs w:val="24"/>
        </w:rPr>
        <w:t xml:space="preserve">ация находится в свободном доступе на официальном сайте Федеральной службы по аккредитации «Росаккредитация»);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8.2.2. Участник в своем предложении должен представить документы, подтверждающие, что Участник является производителем продукции, указанной в п.1</w:t>
      </w:r>
      <w:r>
        <w:rPr>
          <w:bCs/>
          <w:sz w:val="24"/>
          <w:szCs w:val="24"/>
        </w:rPr>
        <w:t xml:space="preserve">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сроки,</w:t>
      </w:r>
      <w:r>
        <w:rPr>
          <w:bCs/>
          <w:sz w:val="20"/>
        </w:rPr>
        <w:t xml:space="preserve"> </w:t>
      </w:r>
      <w:r>
        <w:rPr>
          <w:bCs/>
          <w:sz w:val="24"/>
          <w:szCs w:val="24"/>
        </w:rPr>
        <w:t xml:space="preserve">техническое предложение, заполненное в соответствии с требованиям</w:t>
      </w:r>
      <w:r>
        <w:rPr>
          <w:bCs/>
          <w:sz w:val="24"/>
          <w:szCs w:val="24"/>
        </w:rPr>
        <w:t xml:space="preserve">и Документации о закупке, в том числе в формате приложения 4.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8.2.3. Сведения о наличии (копия действующего заключения аттестационной комиссии) или отсутствии проверки качества (аттестации) на всё предлагаемое оборудование, материалы и системы, подлежащие </w:t>
      </w:r>
      <w:r>
        <w:rPr>
          <w:sz w:val="24"/>
          <w:szCs w:val="24"/>
        </w:rPr>
        <w:t xml:space="preserve">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Поставщикам → Единая техническая политика → Проверка к</w:t>
      </w:r>
      <w:r>
        <w:rPr>
          <w:sz w:val="24"/>
          <w:szCs w:val="24"/>
        </w:rPr>
        <w:t xml:space="preserve">ачества оборудования» (</w:t>
      </w:r>
      <w:hyperlink r:id="rId11" w:tooltip="https://rosseti.ru/suppliers/technical-policy/equipment-quality-control/" w:history="1">
        <w:r>
          <w:rPr>
            <w:rStyle w:val="839"/>
            <w:sz w:val="24"/>
            <w:szCs w:val="24"/>
          </w:rPr>
          <w:t xml:space="preserve">https://rosseti.ru/suppliers/technical-policy/equipment-quality-co</w:t>
        </w:r>
        <w:r>
          <w:rPr>
            <w:rStyle w:val="839"/>
            <w:sz w:val="24"/>
            <w:szCs w:val="24"/>
          </w:rPr>
          <w:t xml:space="preserve">ntrol/</w:t>
        </w:r>
      </w:hyperlink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</w:t>
      </w:r>
      <w:r>
        <w:rPr>
          <w:sz w:val="24"/>
          <w:szCs w:val="24"/>
        </w:rPr>
        <w:t xml:space="preserve">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2" w:tooltip="https://rosseti.ru/suppliers/technical-policy/organization-standards/" w:history="1">
        <w:r>
          <w:rPr>
            <w:rStyle w:val="839"/>
            <w:sz w:val="24"/>
            <w:szCs w:val="24"/>
          </w:rPr>
          <w:t xml:space="preserve">https://rosseti.ru/suppliers/technical-policy/organization-standards/</w:t>
        </w:r>
      </w:hyperlink>
      <w:r>
        <w:rPr>
          <w:sz w:val="24"/>
          <w:szCs w:val="24"/>
        </w:rPr>
        <w:t xml:space="preserve">. Документы представляются в составе заявки участника отдельным архивом. Наименование файла указывается в соответствии с нумерацией столбца 1 Таблиц</w:t>
      </w:r>
      <w:r>
        <w:rPr>
          <w:sz w:val="24"/>
          <w:szCs w:val="24"/>
        </w:rPr>
        <w:t xml:space="preserve">ы 4.1. Несоблюдение данного требования является основанием для отклонения заявки участника.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</w:t>
      </w:r>
      <w:r>
        <w:rPr>
          <w:sz w:val="24"/>
          <w:szCs w:val="24"/>
        </w:rPr>
        <w:t xml:space="preserve">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13" w:tooltip="https://rosseti.ru/suppliers/technical-policy/equipment-quality-control/" w:history="1">
        <w:r>
          <w:rPr>
            <w:rStyle w:val="839"/>
            <w:sz w:val="24"/>
            <w:szCs w:val="24"/>
          </w:rPr>
          <w:t xml:space="preserve">https://rosseti.ru/suppliers/technical-policy/equipment-quality-control/</w:t>
        </w:r>
      </w:hyperlink>
      <w:r>
        <w:rPr>
          <w:sz w:val="24"/>
          <w:szCs w:val="24"/>
        </w:rPr>
        <w:t xml:space="preserve">) не является основанием для отклонения заявки Участн</w:t>
      </w:r>
      <w:r>
        <w:rPr>
          <w:sz w:val="24"/>
          <w:szCs w:val="24"/>
        </w:rPr>
        <w:t xml:space="preserve">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Упаковка, транспортирование, условия и сроки хранения.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9.1.  Упаковка, маркировка, временная антикоррозионная защита, транспортирование, условия и сроки хранения всех устро</w:t>
      </w:r>
      <w:r>
        <w:rPr>
          <w:sz w:val="24"/>
          <w:szCs w:val="24"/>
        </w:rPr>
        <w:t xml:space="preserve">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9.2. Поставляемая продукция должна быть упакована соответственно данному виду продукции, нормам фасовки (объём,</w:t>
      </w:r>
      <w:r>
        <w:rPr>
          <w:sz w:val="24"/>
          <w:szCs w:val="24"/>
        </w:rPr>
        <w:t xml:space="preserve"> схема, целостность упаковки и т.д.), с соблюдением требований ГОСТ, принятым заводом изготовителем.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9.3. Способ укладки и транспортировки продукции должен предотвратить её повреждение или порчу во время перевозки и погрузке/разгрузке, а также воздействие </w:t>
      </w:r>
      <w:r>
        <w:rPr>
          <w:sz w:val="24"/>
          <w:szCs w:val="24"/>
        </w:rPr>
        <w:t xml:space="preserve">осадков во время перевозки и при открытом хранении.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9.4. 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9.5. Транспортные расходы включены в стоимость продукции.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Требования к надежности продукции.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10.1. 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</w:t>
      </w:r>
      <w:r>
        <w:rPr>
          <w:sz w:val="24"/>
          <w:szCs w:val="24"/>
        </w:rPr>
        <w:t xml:space="preserve">енее установленного заводом изготовителем.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10.2. 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</w:t>
      </w:r>
      <w:r>
        <w:rPr>
          <w:sz w:val="24"/>
          <w:szCs w:val="24"/>
        </w:rPr>
        <w:t xml:space="preserve">лючения, пожарные сертификаты, если продукция подлежит сертификации, паспорта на каждую партию продукции.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10.3. Климатическое исполнение в соответствии с Межгосударственным Стандартом ГОСТ 15150-69 (Машины, приборы и другие технические изделия). Исполнение</w:t>
      </w:r>
      <w:r>
        <w:rPr>
          <w:sz w:val="24"/>
          <w:szCs w:val="24"/>
        </w:rPr>
        <w:t xml:space="preserve">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Гарантийные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11.1. Гарантийный срок на Товар – в соответствии с предоставленной </w:t>
      </w:r>
      <w:r>
        <w:rPr>
          <w:sz w:val="24"/>
          <w:szCs w:val="24"/>
        </w:rPr>
        <w:t xml:space="preserve">документацией завода-изготовителя. Гарантийный срок исчисляется с момента подписания Документа о приемке Товара. Срок службы Товара - в соответствии с предоставленной документацией завода-изготовителя.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11.2. Поставщик должен за свой счет и в сроки, согласо</w:t>
      </w:r>
      <w:r>
        <w:rPr>
          <w:sz w:val="24"/>
          <w:szCs w:val="24"/>
        </w:rPr>
        <w:t xml:space="preserve">ванные с Заказчиком, устранять любые дефекты в поставляемой продукции, выявленные в течение гарантийного срока.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11.3. В случае повреждения кабеля поставщик обязан направить своего представителя для участия в составлении акта, фиксирующего дефекты, согласов</w:t>
      </w:r>
      <w:r>
        <w:rPr>
          <w:sz w:val="24"/>
          <w:szCs w:val="24"/>
        </w:rPr>
        <w:t xml:space="preserve">ания порядка и сроков их устранения не позднее 5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Сроки поставки.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12.1. Поставка продукции, входящей в предм</w:t>
      </w:r>
      <w:r>
        <w:rPr>
          <w:sz w:val="24"/>
          <w:szCs w:val="24"/>
        </w:rPr>
        <w:t xml:space="preserve">ет Договора, осуществляется на основании поданных заявок Заказчика. Срок поставки продукции по каждой Заявке не более 30 календарных дней с момента получения заявки Поставщиком.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12.2. Поставщик осуществляет поставку продукции на склад Покупателя, по адресам: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- 416474, Астраханская область, г. Астрахань, ул. Шоссе Энергетиков, дом №</w:t>
      </w:r>
      <w:r>
        <w:rPr>
          <w:sz w:val="24"/>
          <w:szCs w:val="24"/>
        </w:rPr>
        <w:t xml:space="preserve"> 1;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- 400057, Волгоградская, Волгоград, Химзаводская, дом № 4;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- 404130, Волгоградская область, г. Волжский, ул. Логинова № 10;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- 403882, Волгоградская область, г. Камышин, ул. Советская № 39;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- 403346, Волгоградская область, г. Михайловка, ул. Ленина № 20</w:t>
      </w:r>
      <w:r>
        <w:rPr>
          <w:sz w:val="24"/>
          <w:szCs w:val="24"/>
        </w:rPr>
        <w:t xml:space="preserve">5;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- 403116, Волгоградская область, г. Урюпинск, ул. Волгоградская № 30;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- 358007, Калмыкия, Элиста, Северная промышленная зона;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347320, Ростовская область, Цимлянский район, г. Цимлянск, ул. Вокзальная, дом № 74;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- 347800, Ростовская область, г. Каменск</w:t>
      </w:r>
      <w:r>
        <w:rPr>
          <w:bCs/>
          <w:sz w:val="24"/>
          <w:szCs w:val="24"/>
        </w:rPr>
        <w:t xml:space="preserve">-Шахтинский, ул. Героев Пионеров, дом № 26;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- 346130, Ростовская область, Миллеровский район, г. Миллерово, ул. Артиллерийская, дом № 34;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347639, Ростовская область, Сальский район, г. Сальск, ул. Скирды, дом № 18;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- 347937, Ростовская область, г. Таганрог, ул. Дзержинского, дом № 144;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- 346780, Ростовская область, г. Азов, пр. Литейный, дом № 5;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- 346493, Ростовская область, Октябрьский р-н, 8 км автодороги Новочеркасск-Багаевская.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9"/>
        <w:ind w:left="0" w:firstLine="709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- 350080, Краснодарский край, г. К</w:t>
      </w:r>
      <w:r>
        <w:rPr>
          <w:bCs/>
          <w:sz w:val="24"/>
          <w:szCs w:val="24"/>
        </w:rPr>
        <w:t xml:space="preserve">раснодар, ул. Новороссийская, 47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12.3. Период действия договора поставки – с момента заключения и по 30 </w:t>
      </w:r>
      <w:r>
        <w:rPr>
          <w:sz w:val="24"/>
          <w:szCs w:val="24"/>
          <w:highlight w:val="none"/>
        </w:rPr>
        <w:t xml:space="preserve">декабря </w:t>
      </w:r>
      <w:r>
        <w:rPr>
          <w:sz w:val="24"/>
          <w:szCs w:val="24"/>
        </w:rPr>
        <w:t xml:space="preserve">2027 года в части подачи Заявок и до полного исполнения своих обязательств Сторонами в части поставки и оплаты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Сроки оплаты.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13.1. У</w:t>
      </w:r>
      <w:r>
        <w:rPr>
          <w:sz w:val="24"/>
          <w:szCs w:val="24"/>
        </w:rPr>
        <w:t xml:space="preserve">словия оплаты: оплата поставленной Поставщиком партии Товара, принятого Покупателем на основании Товарной накладной/Универсального передаточного документа, счета, счета-фактуры Покупателем в размере 100% (ста процентов) </w:t>
      </w:r>
      <w:r>
        <w:rPr>
          <w:b/>
          <w:sz w:val="24"/>
          <w:szCs w:val="24"/>
        </w:rPr>
        <w:t xml:space="preserve">в течение 30 рабочих дней</w:t>
      </w:r>
      <w:r>
        <w:rPr>
          <w:sz w:val="24"/>
          <w:szCs w:val="24"/>
        </w:rPr>
        <w:t xml:space="preserve"> (для догов</w:t>
      </w:r>
      <w:r>
        <w:rPr>
          <w:sz w:val="24"/>
          <w:szCs w:val="24"/>
        </w:rPr>
        <w:t xml:space="preserve">оров с </w:t>
      </w:r>
      <w:r>
        <w:rPr>
          <w:b/>
          <w:sz w:val="24"/>
          <w:szCs w:val="24"/>
        </w:rPr>
        <w:t xml:space="preserve">субъектами малого и среднего предпринимательства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в течение 7 рабочих дней</w:t>
      </w:r>
      <w:r>
        <w:rPr>
          <w:sz w:val="24"/>
          <w:szCs w:val="24"/>
        </w:rPr>
        <w:t xml:space="preserve">) со дня фактической передачи Товара в собственность Покупателя в полном объеме по Заявке.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Правила приемки продукции.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14.1. Каждая партия кабеля должна пройти входной кон</w:t>
      </w:r>
      <w:r>
        <w:rPr>
          <w:sz w:val="24"/>
          <w:szCs w:val="24"/>
        </w:rPr>
        <w:t xml:space="preserve">троль, осуществляемый представителями филиалов ПАО «Россети Юг» и ответственными представителями Поставщика при получении его на склад.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14.2. Заказчик оставляет за собой право проводить входной контроль при сдаче провода на заводе производителе.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14.3. Прие</w:t>
      </w:r>
      <w:r>
        <w:rPr>
          <w:sz w:val="24"/>
          <w:szCs w:val="24"/>
        </w:rPr>
        <w:t xml:space="preserve">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</w:t>
      </w:r>
      <w:r>
        <w:rPr>
          <w:sz w:val="24"/>
          <w:szCs w:val="24"/>
        </w:rPr>
        <w:t xml:space="preserve">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</w:t>
      </w:r>
      <w:r>
        <w:rPr>
          <w:sz w:val="24"/>
          <w:szCs w:val="24"/>
        </w:rPr>
        <w:t xml:space="preserve">осарбитража при Совете Министров СССР (с изменениями и дополнениями) в части, не противоречащей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14.4. В случае выявления дефектов, в том числе и скрытых, Поставщик обязан за свой счет заменить поставленную продукцию.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</w:pPr>
      <w:r/>
      <w:r/>
    </w:p>
    <w:sectPr>
      <w:footnotePr/>
      <w:endnotePr/>
      <w:type w:val="nextPage"/>
      <w:pgSz w:w="11906" w:h="16838" w:orient="portrait"/>
      <w:pgMar w:top="1134" w:right="748" w:bottom="992" w:left="1259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Verdana">
    <w:panose1 w:val="020B0604030504040204"/>
  </w:font>
  <w:font w:name="Batang">
    <w:panose1 w:val="02020509000000000000"/>
  </w:font>
  <w:font w:name="Calibri">
    <w:panose1 w:val="020F0502020204030204"/>
  </w:font>
  <w:font w:name="Georgia">
    <w:panose1 w:val="02040502050405020303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2" w:hanging="693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620" w:hanging="720"/>
      </w:pPr>
      <w:rPr>
        <w:rFonts w:hint="default" w:cs="Times New Roman"/>
      </w:rPr>
    </w:lvl>
    <w:lvl w:ilvl="2">
      <w:start w:val="1"/>
      <w:numFmt w:val="bullet"/>
      <w:isLgl w:val="false"/>
      <w:suff w:val="tab"/>
      <w:lvlText w:val=""/>
      <w:lvlJc w:val="left"/>
      <w:pPr>
        <w:ind w:left="1996" w:hanging="720"/>
      </w:pPr>
      <w:rPr>
        <w:rFonts w:hint="default" w:ascii="Symbol" w:hAnsi="Symbol"/>
      </w:rPr>
    </w:lvl>
    <w:lvl w:ilvl="3">
      <w:start w:val="1"/>
      <w:numFmt w:val="decimal"/>
      <w:isLgl/>
      <w:suff w:val="tab"/>
      <w:lvlText w:val="%1.%2.%3.%4."/>
      <w:lvlJc w:val="left"/>
      <w:pPr>
        <w:ind w:left="1134" w:hanging="234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98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340" w:hanging="144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700" w:hanging="180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700" w:hanging="180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60" w:hanging="2160"/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bullet"/>
      <w:pStyle w:val="894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1070" w:hanging="360"/>
      </w:pPr>
      <w:rPr>
        <w:rFonts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Caption Char"/>
    <w:basedOn w:val="676"/>
    <w:link w:val="867"/>
    <w:uiPriority w:val="35"/>
    <w:rPr>
      <w:b/>
      <w:bCs/>
      <w:color w:val="4f81bd" w:themeColor="accent1"/>
      <w:sz w:val="18"/>
      <w:szCs w:val="18"/>
    </w:rPr>
  </w:style>
  <w:style w:type="paragraph" w:styleId="666" w:default="1">
    <w:name w:val="Normal"/>
    <w:qFormat/>
    <w:pPr>
      <w:ind w:firstLine="567"/>
      <w:jc w:val="both"/>
      <w:spacing w:after="0" w:line="36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67">
    <w:name w:val="Heading 1"/>
    <w:basedOn w:val="666"/>
    <w:next w:val="666"/>
    <w:link w:val="868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668">
    <w:name w:val="Heading 2"/>
    <w:basedOn w:val="666"/>
    <w:next w:val="666"/>
    <w:link w:val="694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9">
    <w:name w:val="Heading 3"/>
    <w:basedOn w:val="666"/>
    <w:next w:val="666"/>
    <w:link w:val="695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0">
    <w:name w:val="Heading 4"/>
    <w:basedOn w:val="666"/>
    <w:next w:val="666"/>
    <w:link w:val="696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666"/>
    <w:next w:val="666"/>
    <w:link w:val="697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666"/>
    <w:next w:val="666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666"/>
    <w:next w:val="666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666"/>
    <w:next w:val="666"/>
    <w:link w:val="700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666"/>
    <w:next w:val="666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character" w:styleId="679" w:customStyle="1">
    <w:name w:val="Heading 2 Char"/>
    <w:basedOn w:val="676"/>
    <w:uiPriority w:val="9"/>
    <w:rPr>
      <w:rFonts w:ascii="Arial" w:hAnsi="Arial" w:eastAsia="Arial" w:cs="Arial"/>
      <w:sz w:val="34"/>
    </w:rPr>
  </w:style>
  <w:style w:type="character" w:styleId="680" w:customStyle="1">
    <w:name w:val="Heading 3 Char"/>
    <w:basedOn w:val="676"/>
    <w:uiPriority w:val="9"/>
    <w:rPr>
      <w:rFonts w:ascii="Arial" w:hAnsi="Arial" w:eastAsia="Arial" w:cs="Arial"/>
      <w:sz w:val="30"/>
      <w:szCs w:val="30"/>
    </w:rPr>
  </w:style>
  <w:style w:type="character" w:styleId="681" w:customStyle="1">
    <w:name w:val="Heading 4 Char"/>
    <w:basedOn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2" w:customStyle="1">
    <w:name w:val="Heading 5 Char"/>
    <w:basedOn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3" w:customStyle="1">
    <w:name w:val="Heading 6 Char"/>
    <w:basedOn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684" w:customStyle="1">
    <w:name w:val="Heading 7 Char"/>
    <w:basedOn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 w:customStyle="1">
    <w:name w:val="Heading 8 Char"/>
    <w:basedOn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686" w:customStyle="1">
    <w:name w:val="Heading 9 Char"/>
    <w:basedOn w:val="676"/>
    <w:uiPriority w:val="9"/>
    <w:rPr>
      <w:rFonts w:ascii="Arial" w:hAnsi="Arial" w:eastAsia="Arial" w:cs="Arial"/>
      <w:i/>
      <w:iCs/>
      <w:sz w:val="21"/>
      <w:szCs w:val="21"/>
    </w:rPr>
  </w:style>
  <w:style w:type="character" w:styleId="687" w:customStyle="1">
    <w:name w:val="Title Char"/>
    <w:basedOn w:val="676"/>
    <w:uiPriority w:val="10"/>
    <w:rPr>
      <w:sz w:val="48"/>
      <w:szCs w:val="48"/>
    </w:rPr>
  </w:style>
  <w:style w:type="character" w:styleId="688" w:customStyle="1">
    <w:name w:val="Subtitle Char"/>
    <w:basedOn w:val="676"/>
    <w:uiPriority w:val="11"/>
    <w:rPr>
      <w:sz w:val="24"/>
      <w:szCs w:val="24"/>
    </w:rPr>
  </w:style>
  <w:style w:type="character" w:styleId="689" w:customStyle="1">
    <w:name w:val="Quote Char"/>
    <w:uiPriority w:val="29"/>
    <w:rPr>
      <w:i/>
    </w:rPr>
  </w:style>
  <w:style w:type="character" w:styleId="690" w:customStyle="1">
    <w:name w:val="Intense Quote Char"/>
    <w:uiPriority w:val="30"/>
    <w:rPr>
      <w:i/>
    </w:rPr>
  </w:style>
  <w:style w:type="character" w:styleId="691" w:customStyle="1">
    <w:name w:val="Footnote Text Char"/>
    <w:uiPriority w:val="99"/>
    <w:rPr>
      <w:sz w:val="18"/>
    </w:rPr>
  </w:style>
  <w:style w:type="character" w:styleId="692" w:customStyle="1">
    <w:name w:val="Endnote Text Char"/>
    <w:uiPriority w:val="99"/>
    <w:rPr>
      <w:sz w:val="20"/>
    </w:rPr>
  </w:style>
  <w:style w:type="character" w:styleId="693" w:customStyle="1">
    <w:name w:val="Heading 1 Char"/>
    <w:basedOn w:val="676"/>
    <w:uiPriority w:val="9"/>
    <w:rPr>
      <w:rFonts w:ascii="Arial" w:hAnsi="Arial" w:eastAsia="Arial" w:cs="Arial"/>
      <w:sz w:val="40"/>
      <w:szCs w:val="40"/>
    </w:rPr>
  </w:style>
  <w:style w:type="character" w:styleId="694" w:customStyle="1">
    <w:name w:val="Заголовок 2 Знак"/>
    <w:basedOn w:val="676"/>
    <w:link w:val="668"/>
    <w:rPr>
      <w:rFonts w:ascii="Arial" w:hAnsi="Arial" w:eastAsia="Arial" w:cs="Arial"/>
      <w:sz w:val="34"/>
    </w:rPr>
  </w:style>
  <w:style w:type="character" w:styleId="695" w:customStyle="1">
    <w:name w:val="Заголовок 3 Знак"/>
    <w:basedOn w:val="676"/>
    <w:link w:val="669"/>
    <w:rPr>
      <w:rFonts w:ascii="Arial" w:hAnsi="Arial" w:eastAsia="Arial" w:cs="Arial"/>
      <w:sz w:val="30"/>
      <w:szCs w:val="30"/>
    </w:rPr>
  </w:style>
  <w:style w:type="character" w:styleId="696" w:customStyle="1">
    <w:name w:val="Заголовок 4 Знак"/>
    <w:basedOn w:val="676"/>
    <w:link w:val="670"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Заголовок 5 Знак"/>
    <w:basedOn w:val="676"/>
    <w:link w:val="671"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Заголовок 6 Знак"/>
    <w:basedOn w:val="676"/>
    <w:link w:val="672"/>
    <w:uiPriority w:val="9"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Заголовок 7 Знак"/>
    <w:basedOn w:val="676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Заголовок 8 Знак"/>
    <w:basedOn w:val="676"/>
    <w:link w:val="674"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Заголовок 9 Знак"/>
    <w:basedOn w:val="676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No Spacing"/>
    <w:uiPriority w:val="1"/>
    <w:qFormat/>
    <w:pPr>
      <w:spacing w:after="0" w:line="240" w:lineRule="auto"/>
    </w:pPr>
  </w:style>
  <w:style w:type="paragraph" w:styleId="703">
    <w:name w:val="Title"/>
    <w:basedOn w:val="666"/>
    <w:next w:val="666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 w:customStyle="1">
    <w:name w:val="Заголовок Знак"/>
    <w:basedOn w:val="676"/>
    <w:link w:val="703"/>
    <w:uiPriority w:val="10"/>
    <w:rPr>
      <w:sz w:val="48"/>
      <w:szCs w:val="48"/>
    </w:rPr>
  </w:style>
  <w:style w:type="paragraph" w:styleId="705">
    <w:name w:val="Subtitle"/>
    <w:basedOn w:val="666"/>
    <w:next w:val="666"/>
    <w:link w:val="706"/>
    <w:qFormat/>
    <w:pPr>
      <w:spacing w:before="200" w:after="200"/>
    </w:pPr>
    <w:rPr>
      <w:sz w:val="24"/>
      <w:szCs w:val="24"/>
    </w:rPr>
  </w:style>
  <w:style w:type="character" w:styleId="706" w:customStyle="1">
    <w:name w:val="Подзаголовок Знак"/>
    <w:basedOn w:val="676"/>
    <w:link w:val="705"/>
    <w:rPr>
      <w:sz w:val="24"/>
      <w:szCs w:val="24"/>
    </w:rPr>
  </w:style>
  <w:style w:type="paragraph" w:styleId="707">
    <w:name w:val="Quote"/>
    <w:basedOn w:val="666"/>
    <w:next w:val="666"/>
    <w:link w:val="708"/>
    <w:uiPriority w:val="29"/>
    <w:qFormat/>
    <w:pPr>
      <w:ind w:left="720" w:right="720"/>
    </w:pPr>
    <w:rPr>
      <w:i/>
    </w:rPr>
  </w:style>
  <w:style w:type="character" w:styleId="708" w:customStyle="1">
    <w:name w:val="Цитата 2 Знак"/>
    <w:link w:val="707"/>
    <w:uiPriority w:val="29"/>
    <w:rPr>
      <w:i/>
    </w:rPr>
  </w:style>
  <w:style w:type="paragraph" w:styleId="709">
    <w:name w:val="Intense Quote"/>
    <w:basedOn w:val="666"/>
    <w:next w:val="666"/>
    <w:link w:val="71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 w:customStyle="1">
    <w:name w:val="Выделенная цитата Знак"/>
    <w:link w:val="709"/>
    <w:uiPriority w:val="30"/>
    <w:rPr>
      <w:i/>
    </w:rPr>
  </w:style>
  <w:style w:type="character" w:styleId="711" w:customStyle="1">
    <w:name w:val="Header Char"/>
    <w:basedOn w:val="676"/>
    <w:uiPriority w:val="99"/>
  </w:style>
  <w:style w:type="character" w:styleId="712" w:customStyle="1">
    <w:name w:val="Footer Char"/>
    <w:basedOn w:val="676"/>
    <w:uiPriority w:val="99"/>
  </w:style>
  <w:style w:type="character" w:styleId="713" w:customStyle="1">
    <w:name w:val="Название объекта Знак"/>
    <w:link w:val="867"/>
    <w:uiPriority w:val="99"/>
  </w:style>
  <w:style w:type="table" w:styleId="714" w:customStyle="1">
    <w:name w:val="Table Grid Light"/>
    <w:basedOn w:val="67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5">
    <w:name w:val="Plain Table 1"/>
    <w:basedOn w:val="67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6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3" w:customStyle="1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4" w:customStyle="1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5" w:customStyle="1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6" w:customStyle="1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7" w:customStyle="1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8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7" w:customStyle="1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8" w:customStyle="1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9" w:customStyle="1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0" w:customStyle="1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1" w:customStyle="1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6" w:customStyle="1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8" w:customStyle="1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0" w:customStyle="1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1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ned - Accent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Lined - Accent 1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0" w:customStyle="1">
    <w:name w:val="Lined - Accent 2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1" w:customStyle="1">
    <w:name w:val="Lined - Accent 3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2" w:customStyle="1">
    <w:name w:val="Lined - Accent 4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3" w:customStyle="1">
    <w:name w:val="Lined - Accent 5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4" w:customStyle="1">
    <w:name w:val="Lined - Accent 6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5" w:customStyle="1">
    <w:name w:val="Bordered &amp; Lined - Accent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Bordered &amp; Lined - Accent 1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Bordered &amp; Lined - Accent 2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Bordered &amp; Lined - Accent 3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Bordered &amp; Lined - Accent 4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Bordered &amp; Lined - Accent 5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Bordered &amp; Lined - Accent 6"/>
    <w:basedOn w:val="67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4" w:customStyle="1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5" w:customStyle="1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6" w:customStyle="1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7" w:customStyle="1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8" w:customStyle="1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666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76"/>
    <w:uiPriority w:val="99"/>
    <w:unhideWhenUsed/>
    <w:rPr>
      <w:vertAlign w:val="superscript"/>
    </w:rPr>
  </w:style>
  <w:style w:type="paragraph" w:styleId="843">
    <w:name w:val="endnote text"/>
    <w:basedOn w:val="666"/>
    <w:link w:val="844"/>
    <w:semiHidden/>
    <w:unhideWhenUsed/>
    <w:pPr>
      <w:spacing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rPr>
      <w:sz w:val="20"/>
    </w:rPr>
  </w:style>
  <w:style w:type="character" w:styleId="845">
    <w:name w:val="endnote reference"/>
    <w:basedOn w:val="676"/>
    <w:semiHidden/>
    <w:unhideWhenUsed/>
    <w:rPr>
      <w:vertAlign w:val="superscript"/>
    </w:rPr>
  </w:style>
  <w:style w:type="paragraph" w:styleId="846">
    <w:name w:val="toc 1"/>
    <w:basedOn w:val="666"/>
    <w:next w:val="666"/>
    <w:uiPriority w:val="39"/>
    <w:unhideWhenUsed/>
    <w:pPr>
      <w:ind w:firstLine="0"/>
      <w:spacing w:after="57"/>
    </w:pPr>
  </w:style>
  <w:style w:type="paragraph" w:styleId="847">
    <w:name w:val="toc 2"/>
    <w:basedOn w:val="666"/>
    <w:next w:val="666"/>
    <w:uiPriority w:val="39"/>
    <w:unhideWhenUsed/>
    <w:pPr>
      <w:ind w:left="283" w:firstLine="0"/>
      <w:spacing w:after="57"/>
    </w:pPr>
  </w:style>
  <w:style w:type="paragraph" w:styleId="848">
    <w:name w:val="toc 3"/>
    <w:basedOn w:val="666"/>
    <w:next w:val="666"/>
    <w:uiPriority w:val="39"/>
    <w:unhideWhenUsed/>
    <w:pPr>
      <w:ind w:left="567" w:firstLine="0"/>
      <w:spacing w:after="57"/>
    </w:pPr>
  </w:style>
  <w:style w:type="paragraph" w:styleId="849">
    <w:name w:val="toc 4"/>
    <w:basedOn w:val="666"/>
    <w:next w:val="666"/>
    <w:uiPriority w:val="39"/>
    <w:unhideWhenUsed/>
    <w:pPr>
      <w:ind w:left="850" w:firstLine="0"/>
      <w:spacing w:after="57"/>
    </w:pPr>
  </w:style>
  <w:style w:type="paragraph" w:styleId="850">
    <w:name w:val="toc 5"/>
    <w:basedOn w:val="666"/>
    <w:next w:val="666"/>
    <w:uiPriority w:val="39"/>
    <w:unhideWhenUsed/>
    <w:pPr>
      <w:ind w:left="1134" w:firstLine="0"/>
      <w:spacing w:after="57"/>
    </w:pPr>
  </w:style>
  <w:style w:type="paragraph" w:styleId="851">
    <w:name w:val="toc 6"/>
    <w:basedOn w:val="666"/>
    <w:next w:val="666"/>
    <w:uiPriority w:val="39"/>
    <w:unhideWhenUsed/>
    <w:pPr>
      <w:ind w:left="1417" w:firstLine="0"/>
      <w:spacing w:after="57"/>
    </w:pPr>
  </w:style>
  <w:style w:type="paragraph" w:styleId="852">
    <w:name w:val="toc 7"/>
    <w:basedOn w:val="666"/>
    <w:next w:val="666"/>
    <w:uiPriority w:val="39"/>
    <w:unhideWhenUsed/>
    <w:pPr>
      <w:ind w:left="1701" w:firstLine="0"/>
      <w:spacing w:after="57"/>
    </w:pPr>
  </w:style>
  <w:style w:type="paragraph" w:styleId="853">
    <w:name w:val="toc 8"/>
    <w:basedOn w:val="666"/>
    <w:next w:val="666"/>
    <w:uiPriority w:val="39"/>
    <w:unhideWhenUsed/>
    <w:pPr>
      <w:ind w:left="1984" w:firstLine="0"/>
      <w:spacing w:after="57"/>
    </w:pPr>
  </w:style>
  <w:style w:type="paragraph" w:styleId="854">
    <w:name w:val="toc 9"/>
    <w:basedOn w:val="666"/>
    <w:next w:val="666"/>
    <w:uiPriority w:val="39"/>
    <w:unhideWhenUsed/>
    <w:pPr>
      <w:ind w:left="2268" w:firstLine="0"/>
      <w:spacing w:after="57"/>
    </w:pPr>
  </w:style>
  <w:style w:type="paragraph" w:styleId="855">
    <w:name w:val="TOC Heading"/>
    <w:uiPriority w:val="39"/>
    <w:unhideWhenUsed/>
    <w:qFormat/>
  </w:style>
  <w:style w:type="paragraph" w:styleId="856">
    <w:name w:val="table of figures"/>
    <w:basedOn w:val="666"/>
    <w:next w:val="666"/>
    <w:uiPriority w:val="99"/>
    <w:unhideWhenUsed/>
  </w:style>
  <w:style w:type="paragraph" w:styleId="857">
    <w:name w:val="Plain Text"/>
    <w:basedOn w:val="666"/>
    <w:link w:val="858"/>
    <w:pPr>
      <w:ind w:firstLine="0"/>
      <w:jc w:val="left"/>
      <w:spacing w:line="240" w:lineRule="auto"/>
    </w:pPr>
    <w:rPr>
      <w:rFonts w:ascii="Courier New" w:hAnsi="Courier New"/>
      <w:sz w:val="20"/>
    </w:rPr>
  </w:style>
  <w:style w:type="character" w:styleId="858" w:customStyle="1">
    <w:name w:val="Текст Знак"/>
    <w:basedOn w:val="676"/>
    <w:link w:val="857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59">
    <w:name w:val="List Paragraph"/>
    <w:basedOn w:val="666"/>
    <w:link w:val="870"/>
    <w:uiPriority w:val="99"/>
    <w:qFormat/>
    <w:pPr>
      <w:contextualSpacing/>
      <w:ind w:left="720"/>
    </w:pPr>
  </w:style>
  <w:style w:type="paragraph" w:styleId="860">
    <w:name w:val="Balloon Text"/>
    <w:basedOn w:val="666"/>
    <w:link w:val="861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861" w:customStyle="1">
    <w:name w:val="Текст выноски Знак"/>
    <w:basedOn w:val="676"/>
    <w:link w:val="86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62">
    <w:name w:val="Header"/>
    <w:basedOn w:val="666"/>
    <w:link w:val="863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Верхний колонтитул Знак"/>
    <w:basedOn w:val="676"/>
    <w:link w:val="862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64">
    <w:name w:val="Footer"/>
    <w:basedOn w:val="666"/>
    <w:link w:val="865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Нижний колонтитул Знак"/>
    <w:basedOn w:val="676"/>
    <w:link w:val="864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866">
    <w:name w:val="Table Grid"/>
    <w:basedOn w:val="67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7">
    <w:name w:val="Caption"/>
    <w:basedOn w:val="666"/>
    <w:next w:val="666"/>
    <w:link w:val="713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868" w:customStyle="1">
    <w:name w:val="Заголовок 1 Знак"/>
    <w:basedOn w:val="676"/>
    <w:link w:val="667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table" w:styleId="869" w:customStyle="1">
    <w:name w:val="Сетка таблицы1"/>
    <w:basedOn w:val="677"/>
    <w:next w:val="866"/>
    <w:uiPriority w:val="59"/>
    <w:pPr>
      <w:spacing w:after="0" w:line="240" w:lineRule="auto"/>
    </w:pPr>
    <w:rPr>
      <w:rFonts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0" w:customStyle="1">
    <w:name w:val="Абзац списка Знак"/>
    <w:link w:val="859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71">
    <w:name w:val="page number"/>
    <w:basedOn w:val="676"/>
  </w:style>
  <w:style w:type="paragraph" w:styleId="872">
    <w:name w:val="Normal (Web)"/>
    <w:basedOn w:val="666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character" w:styleId="873">
    <w:name w:val="Strong"/>
    <w:uiPriority w:val="22"/>
    <w:qFormat/>
    <w:rPr>
      <w:b/>
      <w:bCs/>
    </w:rPr>
  </w:style>
  <w:style w:type="character" w:styleId="874" w:customStyle="1">
    <w:name w:val="apple-converted-space"/>
    <w:basedOn w:val="676"/>
  </w:style>
  <w:style w:type="character" w:styleId="875" w:customStyle="1">
    <w:name w:val="tooltip"/>
    <w:basedOn w:val="676"/>
  </w:style>
  <w:style w:type="character" w:styleId="876">
    <w:name w:val="FollowedHyperlink"/>
    <w:basedOn w:val="676"/>
    <w:uiPriority w:val="99"/>
    <w:semiHidden/>
    <w:unhideWhenUsed/>
    <w:rPr>
      <w:color w:val="954f72"/>
      <w:u w:val="single"/>
    </w:rPr>
  </w:style>
  <w:style w:type="paragraph" w:styleId="877" w:customStyle="1">
    <w:name w:val="xl64"/>
    <w:basedOn w:val="666"/>
    <w:pPr>
      <w:ind w:firstLine="0"/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8" w:customStyle="1">
    <w:name w:val="xl65"/>
    <w:basedOn w:val="666"/>
    <w:pPr>
      <w:ind w:firstLine="0"/>
      <w:jc w:val="left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9" w:customStyle="1">
    <w:name w:val="xl66"/>
    <w:basedOn w:val="666"/>
    <w:pPr>
      <w:ind w:firstLine="0"/>
      <w:jc w:val="left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80" w:customStyle="1">
    <w:name w:val="xl67"/>
    <w:basedOn w:val="666"/>
    <w:pPr>
      <w:ind w:firstLine="0"/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81" w:customStyle="1">
    <w:name w:val="xl68"/>
    <w:basedOn w:val="666"/>
    <w:pPr>
      <w:ind w:firstLine="0"/>
      <w:jc w:val="center"/>
      <w:spacing w:before="100" w:beforeAutospacing="1" w:after="100" w:afterAutospacing="1" w:line="240" w:lineRule="auto"/>
    </w:pPr>
    <w:rPr>
      <w:sz w:val="24"/>
      <w:szCs w:val="24"/>
    </w:rPr>
  </w:style>
  <w:style w:type="paragraph" w:styleId="882" w:customStyle="1">
    <w:name w:val="xl69"/>
    <w:basedOn w:val="666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paragraph" w:styleId="883" w:customStyle="1">
    <w:name w:val="xl70"/>
    <w:basedOn w:val="666"/>
    <w:pPr>
      <w:ind w:firstLine="0"/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Georgia" w:hAnsi="Georgia"/>
      <w:b/>
      <w:bCs/>
      <w:color w:val="000000"/>
      <w:sz w:val="20"/>
    </w:rPr>
  </w:style>
  <w:style w:type="paragraph" w:styleId="884" w:customStyle="1">
    <w:name w:val="xl71"/>
    <w:basedOn w:val="666"/>
    <w:pPr>
      <w:ind w:firstLine="0"/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85" w:customStyle="1">
    <w:name w:val="xl72"/>
    <w:basedOn w:val="666"/>
    <w:pPr>
      <w:ind w:firstLine="0"/>
      <w:jc w:val="left"/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styleId="886" w:customStyle="1">
    <w:name w:val="xl73"/>
    <w:basedOn w:val="666"/>
    <w:pPr>
      <w:ind w:firstLine="0"/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</w:pBdr>
    </w:pPr>
    <w:rPr>
      <w:rFonts w:ascii="Georgia" w:hAnsi="Georgia"/>
      <w:b/>
      <w:bCs/>
      <w:color w:val="000000"/>
      <w:sz w:val="20"/>
    </w:rPr>
  </w:style>
  <w:style w:type="paragraph" w:styleId="887" w:customStyle="1">
    <w:name w:val="xl74"/>
    <w:basedOn w:val="666"/>
    <w:pPr>
      <w:ind w:firstLine="0"/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right w:val="single" w:color="000000" w:sz="4" w:space="0"/>
      </w:pBdr>
    </w:pPr>
    <w:rPr>
      <w:rFonts w:ascii="Georgia" w:hAnsi="Georgia"/>
      <w:b/>
      <w:bCs/>
      <w:color w:val="000000"/>
      <w:sz w:val="20"/>
    </w:rPr>
  </w:style>
  <w:style w:type="paragraph" w:styleId="888" w:customStyle="1">
    <w:name w:val="Цитаты"/>
    <w:basedOn w:val="666"/>
    <w:uiPriority w:val="99"/>
    <w:pPr>
      <w:ind w:left="360" w:right="360" w:firstLine="0"/>
      <w:jc w:val="left"/>
      <w:spacing w:before="100" w:after="100" w:line="240" w:lineRule="auto"/>
    </w:pPr>
    <w:rPr>
      <w:rFonts w:eastAsia="Calibri"/>
      <w:sz w:val="24"/>
    </w:rPr>
  </w:style>
  <w:style w:type="paragraph" w:styleId="889" w:customStyle="1">
    <w:name w:val="msonormal"/>
    <w:basedOn w:val="666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paragraph" w:styleId="890">
    <w:name w:val="annotation text"/>
    <w:basedOn w:val="666"/>
    <w:link w:val="891"/>
    <w:uiPriority w:val="99"/>
    <w:semiHidden/>
    <w:unhideWhenUsed/>
    <w:pPr>
      <w:ind w:firstLine="0"/>
      <w:jc w:val="left"/>
      <w:spacing w:line="240" w:lineRule="auto"/>
    </w:pPr>
    <w:rPr>
      <w:sz w:val="20"/>
    </w:rPr>
  </w:style>
  <w:style w:type="character" w:styleId="891" w:customStyle="1">
    <w:name w:val="Текст примечания Знак"/>
    <w:basedOn w:val="676"/>
    <w:link w:val="890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2" w:customStyle="1">
    <w:name w:val="Верхний колонтитул Знак1"/>
    <w:basedOn w:val="67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3" w:customStyle="1">
    <w:name w:val="Нижний колонтитул Знак1"/>
    <w:basedOn w:val="67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>
    <w:name w:val="List Bullet"/>
    <w:basedOn w:val="666"/>
    <w:semiHidden/>
    <w:unhideWhenUsed/>
    <w:pPr>
      <w:numPr>
        <w:ilvl w:val="0"/>
        <w:numId w:val="2"/>
      </w:numPr>
      <w:ind w:left="0" w:firstLine="709"/>
      <w:spacing w:line="240" w:lineRule="auto"/>
      <w:widowControl w:val="off"/>
      <w:tabs>
        <w:tab w:val="clear" w:pos="360" w:leader="none"/>
      </w:tabs>
    </w:pPr>
    <w:rPr>
      <w:bCs/>
      <w:iCs/>
      <w:color w:val="000000"/>
      <w:szCs w:val="28"/>
    </w:rPr>
  </w:style>
  <w:style w:type="paragraph" w:styleId="895">
    <w:name w:val="Body Text"/>
    <w:basedOn w:val="666"/>
    <w:link w:val="896"/>
    <w:semiHidden/>
    <w:unhideWhenUsed/>
    <w:pPr>
      <w:ind w:firstLine="0"/>
      <w:jc w:val="left"/>
      <w:spacing w:after="120" w:line="240" w:lineRule="auto"/>
    </w:pPr>
    <w:rPr>
      <w:sz w:val="24"/>
      <w:szCs w:val="24"/>
    </w:rPr>
  </w:style>
  <w:style w:type="character" w:styleId="896" w:customStyle="1">
    <w:name w:val="Основной текст Знак"/>
    <w:basedOn w:val="676"/>
    <w:link w:val="895"/>
    <w:semiHidden/>
    <w:rPr>
      <w:rFonts w:ascii="Times New Roman" w:hAnsi="Times New Roman" w:eastAsia="Times New Roman" w:cs="Times New Roman"/>
      <w:sz w:val="24"/>
      <w:szCs w:val="24"/>
    </w:rPr>
  </w:style>
  <w:style w:type="character" w:styleId="897" w:customStyle="1">
    <w:name w:val="Основной текст с отступом Знак"/>
    <w:basedOn w:val="676"/>
    <w:link w:val="898"/>
    <w:semiHidden/>
    <w:rPr>
      <w:sz w:val="24"/>
      <w:szCs w:val="24"/>
    </w:rPr>
  </w:style>
  <w:style w:type="paragraph" w:styleId="898">
    <w:name w:val="Body Text Indent"/>
    <w:basedOn w:val="666"/>
    <w:link w:val="897"/>
    <w:semiHidden/>
    <w:unhideWhenUsed/>
    <w:pPr>
      <w:ind w:left="283" w:firstLine="0"/>
      <w:jc w:val="left"/>
      <w:spacing w:after="120" w:line="240" w:lineRule="auto"/>
    </w:pPr>
    <w:rPr>
      <w:rFonts w:asciiTheme="minorHAnsi" w:hAnsiTheme="minorHAnsi" w:eastAsiaTheme="minorHAnsi" w:cstheme="minorBidi"/>
      <w:sz w:val="24"/>
      <w:szCs w:val="24"/>
    </w:rPr>
  </w:style>
  <w:style w:type="character" w:styleId="899" w:customStyle="1">
    <w:name w:val="Основной текст с отступом Знак1"/>
    <w:basedOn w:val="676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00">
    <w:name w:val="Body Text 2"/>
    <w:basedOn w:val="666"/>
    <w:link w:val="901"/>
    <w:semiHidden/>
    <w:unhideWhenUsed/>
    <w:pPr>
      <w:ind w:firstLine="0"/>
      <w:jc w:val="left"/>
      <w:spacing w:after="120" w:line="480" w:lineRule="auto"/>
    </w:pPr>
    <w:rPr>
      <w:sz w:val="24"/>
      <w:szCs w:val="24"/>
    </w:rPr>
  </w:style>
  <w:style w:type="character" w:styleId="901" w:customStyle="1">
    <w:name w:val="Основной текст 2 Знак"/>
    <w:basedOn w:val="676"/>
    <w:link w:val="900"/>
    <w:semiHidden/>
    <w:rPr>
      <w:rFonts w:ascii="Times New Roman" w:hAnsi="Times New Roman" w:eastAsia="Times New Roman" w:cs="Times New Roman"/>
      <w:sz w:val="24"/>
      <w:szCs w:val="24"/>
    </w:rPr>
  </w:style>
  <w:style w:type="character" w:styleId="902" w:customStyle="1">
    <w:name w:val="Основной текст 3 Знак"/>
    <w:basedOn w:val="676"/>
    <w:link w:val="903"/>
    <w:semiHidden/>
    <w:rPr>
      <w:sz w:val="16"/>
      <w:szCs w:val="16"/>
    </w:rPr>
  </w:style>
  <w:style w:type="paragraph" w:styleId="903">
    <w:name w:val="Body Text 3"/>
    <w:basedOn w:val="666"/>
    <w:link w:val="902"/>
    <w:semiHidden/>
    <w:unhideWhenUsed/>
    <w:pPr>
      <w:ind w:firstLine="0"/>
      <w:jc w:val="left"/>
      <w:spacing w:after="120" w:line="240" w:lineRule="auto"/>
    </w:pPr>
    <w:rPr>
      <w:rFonts w:asciiTheme="minorHAnsi" w:hAnsiTheme="minorHAnsi" w:eastAsiaTheme="minorHAnsi" w:cstheme="minorBidi"/>
      <w:sz w:val="16"/>
      <w:szCs w:val="16"/>
    </w:rPr>
  </w:style>
  <w:style w:type="character" w:styleId="904" w:customStyle="1">
    <w:name w:val="Основной текст 3 Знак1"/>
    <w:basedOn w:val="676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5">
    <w:name w:val="Body Text Indent 2"/>
    <w:basedOn w:val="666"/>
    <w:link w:val="906"/>
    <w:semiHidden/>
    <w:unhideWhenUsed/>
    <w:pPr>
      <w:ind w:left="283" w:firstLine="0"/>
      <w:jc w:val="left"/>
      <w:spacing w:after="120" w:line="480" w:lineRule="auto"/>
    </w:pPr>
    <w:rPr>
      <w:sz w:val="24"/>
      <w:szCs w:val="24"/>
    </w:rPr>
  </w:style>
  <w:style w:type="character" w:styleId="906" w:customStyle="1">
    <w:name w:val="Основной текст с отступом 2 Знак"/>
    <w:basedOn w:val="676"/>
    <w:link w:val="905"/>
    <w:semiHidden/>
    <w:rPr>
      <w:rFonts w:ascii="Times New Roman" w:hAnsi="Times New Roman" w:eastAsia="Times New Roman" w:cs="Times New Roman"/>
      <w:sz w:val="24"/>
      <w:szCs w:val="24"/>
    </w:rPr>
  </w:style>
  <w:style w:type="paragraph" w:styleId="907">
    <w:name w:val="Body Text Indent 3"/>
    <w:basedOn w:val="666"/>
    <w:link w:val="908"/>
    <w:semiHidden/>
    <w:unhideWhenUsed/>
    <w:pPr>
      <w:ind w:left="3600" w:firstLine="0"/>
      <w:jc w:val="left"/>
      <w:spacing w:line="240" w:lineRule="auto"/>
    </w:pPr>
    <w:rPr>
      <w:rFonts w:ascii="Arial" w:hAnsi="Arial" w:cs="Arial"/>
      <w:sz w:val="24"/>
      <w:szCs w:val="24"/>
    </w:rPr>
  </w:style>
  <w:style w:type="character" w:styleId="908" w:customStyle="1">
    <w:name w:val="Основной текст с отступом 3 Знак"/>
    <w:basedOn w:val="676"/>
    <w:link w:val="907"/>
    <w:semiHidden/>
    <w:rPr>
      <w:rFonts w:ascii="Arial" w:hAnsi="Arial" w:eastAsia="Times New Roman" w:cs="Arial"/>
      <w:sz w:val="24"/>
      <w:szCs w:val="24"/>
      <w:lang w:eastAsia="ru-RU"/>
    </w:rPr>
  </w:style>
  <w:style w:type="paragraph" w:styleId="909">
    <w:name w:val="Block Text"/>
    <w:basedOn w:val="666"/>
    <w:semiHidden/>
    <w:unhideWhenUsed/>
    <w:pPr>
      <w:ind w:left="725" w:right="2650" w:firstLine="485"/>
      <w:jc w:val="center"/>
      <w:spacing w:before="5" w:line="278" w:lineRule="exact"/>
      <w:shd w:val="clear" w:color="auto" w:fill="ffffff"/>
      <w:widowControl w:val="off"/>
      <w:tabs>
        <w:tab w:val="left" w:pos="2635" w:leader="none"/>
      </w:tabs>
    </w:pPr>
    <w:rPr>
      <w:b/>
      <w:bCs/>
      <w:color w:val="000000"/>
      <w:spacing w:val="-8"/>
      <w:szCs w:val="24"/>
      <w:u w:val="single"/>
    </w:rPr>
  </w:style>
  <w:style w:type="paragraph" w:styleId="910">
    <w:name w:val="Document Map"/>
    <w:basedOn w:val="666"/>
    <w:link w:val="911"/>
    <w:semiHidden/>
    <w:unhideWhenUsed/>
    <w:pPr>
      <w:ind w:firstLine="0"/>
      <w:jc w:val="left"/>
      <w:spacing w:line="240" w:lineRule="auto"/>
      <w:shd w:val="clear" w:color="auto" w:fill="000080"/>
    </w:pPr>
    <w:rPr>
      <w:rFonts w:ascii="Tahoma" w:hAnsi="Tahoma" w:eastAsia="Batang"/>
      <w:sz w:val="20"/>
      <w:lang w:eastAsia="ko-KR"/>
    </w:rPr>
  </w:style>
  <w:style w:type="character" w:styleId="911" w:customStyle="1">
    <w:name w:val="Схема документа Знак"/>
    <w:basedOn w:val="676"/>
    <w:link w:val="910"/>
    <w:semiHidden/>
    <w:rPr>
      <w:rFonts w:ascii="Tahoma" w:hAnsi="Tahoma" w:eastAsia="Batang" w:cs="Times New Roman"/>
      <w:sz w:val="20"/>
      <w:szCs w:val="20"/>
      <w:shd w:val="clear" w:color="auto" w:fill="000080"/>
      <w:lang w:eastAsia="ko-KR"/>
    </w:rPr>
  </w:style>
  <w:style w:type="paragraph" w:styleId="912">
    <w:name w:val="annotation subject"/>
    <w:basedOn w:val="890"/>
    <w:next w:val="890"/>
    <w:link w:val="913"/>
    <w:uiPriority w:val="99"/>
    <w:semiHidden/>
    <w:unhideWhenUsed/>
    <w:pPr>
      <w:spacing w:after="200" w:line="276" w:lineRule="auto"/>
    </w:pPr>
    <w:rPr>
      <w:rFonts w:ascii="Calibri" w:hAnsi="Calibri"/>
      <w:b/>
      <w:bCs/>
    </w:rPr>
  </w:style>
  <w:style w:type="character" w:styleId="913" w:customStyle="1">
    <w:name w:val="Тема примечания Знак"/>
    <w:basedOn w:val="891"/>
    <w:link w:val="912"/>
    <w:uiPriority w:val="99"/>
    <w:semiHidden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914" w:customStyle="1">
    <w:name w:val="Знак Знак Знак Знак"/>
    <w:basedOn w:val="666"/>
    <w:pPr>
      <w:ind w:firstLine="0"/>
      <w:jc w:val="left"/>
      <w:spacing w:after="160" w:line="240" w:lineRule="exact"/>
    </w:pPr>
    <w:rPr>
      <w:rFonts w:ascii="Verdana" w:hAnsi="Verdana" w:cs="Verdana"/>
      <w:sz w:val="20"/>
      <w:lang w:eastAsia="en-US"/>
    </w:rPr>
  </w:style>
  <w:style w:type="paragraph" w:styleId="915" w:customStyle="1">
    <w:name w:val="Heading"/>
    <w:pPr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916" w:customStyle="1">
    <w:name w:val="formattext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917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18" w:customStyle="1">
    <w:name w:val="Основной текст1"/>
    <w:basedOn w:val="666"/>
    <w:pPr>
      <w:ind w:hanging="1120"/>
      <w:jc w:val="left"/>
      <w:spacing w:after="60" w:line="863" w:lineRule="exact"/>
      <w:shd w:val="clear" w:color="auto" w:fill="ffffff"/>
    </w:pPr>
    <w:rPr>
      <w:color w:val="000000"/>
      <w:sz w:val="75"/>
      <w:szCs w:val="75"/>
    </w:rPr>
  </w:style>
  <w:style w:type="paragraph" w:styleId="919" w:customStyle="1">
    <w:name w:val=".HEADERTEXT"/>
    <w:uiPriority w:val="99"/>
    <w:pPr>
      <w:spacing w:after="0" w:line="240" w:lineRule="auto"/>
      <w:widowControl w:val="off"/>
    </w:pPr>
    <w:rPr>
      <w:rFonts w:ascii="Arial" w:hAnsi="Arial" w:eastAsia="Times New Roman" w:cs="Arial"/>
      <w:color w:val="2b4279"/>
      <w:lang w:eastAsia="ru-RU"/>
    </w:rPr>
  </w:style>
  <w:style w:type="paragraph" w:styleId="920" w:customStyle="1">
    <w:name w:val=".FORMATTEXT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1" w:customStyle="1">
    <w:name w:val="Body Text Indent 33"/>
    <w:basedOn w:val="666"/>
    <w:pPr>
      <w:ind w:left="576" w:firstLine="0"/>
      <w:spacing w:line="240" w:lineRule="auto"/>
    </w:pPr>
    <w:rPr>
      <w:rFonts w:eastAsia="Batang"/>
      <w:sz w:val="24"/>
      <w:szCs w:val="24"/>
      <w:lang w:eastAsia="ko-KR"/>
    </w:rPr>
  </w:style>
  <w:style w:type="paragraph" w:styleId="922" w:customStyle="1">
    <w:name w:val="Стиль начало"/>
    <w:basedOn w:val="666"/>
    <w:pPr>
      <w:ind w:firstLine="0"/>
      <w:jc w:val="left"/>
      <w:spacing w:line="264" w:lineRule="auto"/>
    </w:pPr>
  </w:style>
  <w:style w:type="paragraph" w:styleId="923" w:customStyle="1">
    <w:name w:val="Название этапа style of отчет"/>
    <w:basedOn w:val="666"/>
    <w:pPr>
      <w:ind w:firstLine="0"/>
      <w:jc w:val="center"/>
      <w:spacing w:line="240" w:lineRule="auto"/>
      <w:widowControl w:val="off"/>
    </w:pPr>
    <w:rPr>
      <w:b/>
      <w:i/>
      <w:sz w:val="24"/>
      <w:lang w:eastAsia="ar-SA"/>
    </w:rPr>
  </w:style>
  <w:style w:type="paragraph" w:styleId="924" w:customStyle="1">
    <w:name w:val="Номер этапа style of отчет"/>
    <w:basedOn w:val="666"/>
    <w:qFormat/>
    <w:pPr>
      <w:ind w:firstLine="0"/>
      <w:jc w:val="center"/>
      <w:spacing w:line="240" w:lineRule="auto"/>
    </w:pPr>
    <w:rPr>
      <w:b/>
      <w:bCs/>
      <w:i/>
      <w:lang w:eastAsia="ar-SA"/>
    </w:rPr>
  </w:style>
  <w:style w:type="paragraph" w:styleId="925" w:customStyle="1">
    <w:name w:val="основной-А"/>
    <w:pPr>
      <w:ind w:firstLine="709"/>
      <w:spacing w:after="0" w:line="240" w:lineRule="auto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926" w:customStyle="1">
    <w:name w:val="headertext"/>
    <w:pPr>
      <w:spacing w:after="0" w:line="240" w:lineRule="auto"/>
      <w:widowControl w:val="off"/>
    </w:pPr>
    <w:rPr>
      <w:rFonts w:ascii="Arial" w:hAnsi="Arial" w:eastAsia="Times New Roman" w:cs="Arial"/>
      <w:b/>
      <w:bCs/>
      <w:lang w:eastAsia="ru-RU"/>
    </w:rPr>
  </w:style>
  <w:style w:type="paragraph" w:styleId="927" w:customStyle="1">
    <w:name w:val="Стиль14"/>
    <w:basedOn w:val="666"/>
    <w:pPr>
      <w:ind w:firstLine="720"/>
      <w:spacing w:line="264" w:lineRule="auto"/>
    </w:pPr>
  </w:style>
  <w:style w:type="paragraph" w:styleId="928" w:customStyle="1">
    <w:name w:val="FR2"/>
    <w:pPr>
      <w:ind w:left="40" w:firstLine="820"/>
      <w:jc w:val="both"/>
      <w:spacing w:after="0" w:line="36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29" w:customStyle="1">
    <w:name w:val="Стиль3 Знак"/>
    <w:link w:val="930"/>
    <w:rPr>
      <w:rFonts w:ascii="Calibri" w:hAnsi="Calibri" w:eastAsia="Calibri" w:cs="Calibri"/>
      <w:spacing w:val="1"/>
    </w:rPr>
  </w:style>
  <w:style w:type="paragraph" w:styleId="930" w:customStyle="1">
    <w:name w:val="Стиль3"/>
    <w:basedOn w:val="666"/>
    <w:link w:val="929"/>
    <w:pPr>
      <w:ind w:firstLine="0"/>
      <w:spacing w:line="240" w:lineRule="auto"/>
    </w:pPr>
    <w:rPr>
      <w:rFonts w:ascii="Calibri" w:hAnsi="Calibri" w:eastAsia="Calibri" w:cs="Calibri"/>
      <w:spacing w:val="1"/>
      <w:sz w:val="22"/>
      <w:szCs w:val="22"/>
      <w:lang w:eastAsia="en-US"/>
    </w:rPr>
  </w:style>
  <w:style w:type="paragraph" w:styleId="931" w:customStyle="1">
    <w:name w:val="CM1"/>
    <w:basedOn w:val="917"/>
    <w:next w:val="917"/>
    <w:uiPriority w:val="99"/>
    <w:pPr>
      <w:spacing w:line="420" w:lineRule="atLeast"/>
    </w:pPr>
    <w:rPr>
      <w:rFonts w:ascii="Arial" w:hAnsi="Arial" w:eastAsia="Calibri" w:cs="Arial"/>
      <w:color w:val="auto"/>
    </w:rPr>
  </w:style>
  <w:style w:type="paragraph" w:styleId="932" w:customStyle="1">
    <w:name w:val="CM1+1"/>
    <w:basedOn w:val="917"/>
    <w:next w:val="917"/>
    <w:uiPriority w:val="99"/>
    <w:pPr>
      <w:spacing w:line="413" w:lineRule="atLeast"/>
    </w:pPr>
    <w:rPr>
      <w:rFonts w:ascii="Arial" w:hAnsi="Arial" w:eastAsia="Calibri" w:cs="Arial"/>
      <w:color w:val="auto"/>
    </w:rPr>
  </w:style>
  <w:style w:type="paragraph" w:styleId="933" w:customStyle="1">
    <w:name w:val="Абзац списка1"/>
    <w:basedOn w:val="666"/>
    <w:pPr>
      <w:ind w:left="720" w:firstLine="0"/>
      <w:jc w:val="left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934">
    <w:name w:val="annotation reference"/>
    <w:uiPriority w:val="99"/>
    <w:semiHidden/>
    <w:unhideWhenUsed/>
    <w:rPr>
      <w:sz w:val="16"/>
      <w:szCs w:val="16"/>
    </w:rPr>
  </w:style>
  <w:style w:type="character" w:styleId="935" w:customStyle="1">
    <w:name w:val="Название Знак"/>
    <w:rPr>
      <w:b/>
      <w:bCs/>
      <w:sz w:val="28"/>
      <w:szCs w:val="24"/>
      <w:lang w:val="ru-RU" w:eastAsia="ru-RU" w:bidi="ar-SA"/>
    </w:rPr>
  </w:style>
  <w:style w:type="character" w:styleId="936" w:customStyle="1">
    <w:name w:val="Заголовок 2 Знак Знак Знак Знак Знак Знак Знак Знак Знак"/>
    <w:rPr>
      <w:rFonts w:hint="default"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937" w:customStyle="1">
    <w:name w:val="Знак Знак Знак"/>
    <w:rPr>
      <w:sz w:val="24"/>
      <w:szCs w:val="24"/>
      <w:lang w:val="ru-RU" w:eastAsia="ru-RU" w:bidi="ar-SA"/>
    </w:rPr>
  </w:style>
  <w:style w:type="character" w:styleId="938" w:customStyle="1">
    <w:name w:val="context"/>
    <w:basedOn w:val="676"/>
  </w:style>
  <w:style w:type="character" w:styleId="939" w:customStyle="1">
    <w:name w:val="Основной текст с отступом 3 Знак1"/>
    <w:basedOn w:val="676"/>
    <w:rPr>
      <w:sz w:val="16"/>
      <w:szCs w:val="16"/>
    </w:rPr>
  </w:style>
  <w:style w:type="character" w:styleId="940" w:customStyle="1">
    <w:name w:val="Font Style25"/>
    <w:uiPriority w:val="99"/>
    <w:rPr>
      <w:rFonts w:hint="default" w:ascii="Times New Roman" w:hAnsi="Times New Roman" w:cs="Times New Roman"/>
      <w:sz w:val="24"/>
    </w:rPr>
  </w:style>
  <w:style w:type="character" w:styleId="941" w:customStyle="1">
    <w:name w:val="Тема примечания Знак1"/>
    <w:basedOn w:val="891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ww.rosseti.ru/suppliers/technical-policy/" TargetMode="External"/><Relationship Id="rId11" Type="http://schemas.openxmlformats.org/officeDocument/2006/relationships/hyperlink" Target="https://rosseti.ru/suppliers/technical-policy/equipment-quality-control/" TargetMode="External"/><Relationship Id="rId12" Type="http://schemas.openxmlformats.org/officeDocument/2006/relationships/hyperlink" Target="https://rosseti.ru/suppliers/technical-policy/organization-standards/" TargetMode="External"/><Relationship Id="rId13" Type="http://schemas.openxmlformats.org/officeDocument/2006/relationships/hyperlink" Target="https://rosseti.ru/suppliers/technical-policy/equipment-quality-control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181FCE-EE67-4883-A5EE-7359EC56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Карих Дмитрий Борисович</dc:creator>
  <cp:lastModifiedBy>eryginev</cp:lastModifiedBy>
  <cp:revision>106</cp:revision>
  <dcterms:created xsi:type="dcterms:W3CDTF">2018-09-12T06:02:00Z</dcterms:created>
  <dcterms:modified xsi:type="dcterms:W3CDTF">2026-09-15T04:49:54Z</dcterms:modified>
</cp:coreProperties>
</file>