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header1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header15.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13.xml" ContentType="application/vnd.openxmlformats-officedocument.wordprocessingml.footer+xml"/>
  <Override PartName="/word/footer5.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8"/>
        <w:keepNext w:val="true"/>
        <w:widowControl/>
        <w:bidi w:val="0"/>
        <w:spacing w:before="120" w:after="0"/>
        <w:ind w:hanging="0" w:left="5386" w:right="0"/>
        <w:jc w:val="both"/>
        <w:rPr/>
      </w:pPr>
      <w:r>
        <w:rPr/>
        <w:t>«УТВЕРЖДАЮ»</w:t>
      </w:r>
    </w:p>
    <w:p>
      <w:pPr>
        <w:pStyle w:val="Style28"/>
        <w:keepNext w:val="true"/>
        <w:widowControl/>
        <w:bidi w:val="0"/>
        <w:spacing w:before="120" w:after="0"/>
        <w:ind w:hanging="0" w:left="5386" w:right="0"/>
        <w:jc w:val="both"/>
        <w:rPr/>
      </w:pPr>
      <w:r>
        <w:rPr/>
        <w:t>Председатель закупочной комиссии</w:t>
      </w:r>
    </w:p>
    <w:p>
      <w:pPr>
        <w:pStyle w:val="Style28"/>
        <w:keepNext w:val="true"/>
        <w:widowControl/>
        <w:bidi w:val="0"/>
        <w:spacing w:before="120" w:after="0"/>
        <w:ind w:hanging="0" w:left="5386" w:right="0"/>
        <w:jc w:val="both"/>
        <w:rPr/>
      </w:pPr>
      <w:r>
        <w:rPr/>
      </w:r>
    </w:p>
    <w:p>
      <w:pPr>
        <w:pStyle w:val="Style28"/>
        <w:keepNext w:val="true"/>
        <w:widowControl/>
        <w:bidi w:val="0"/>
        <w:spacing w:before="120" w:after="0"/>
        <w:ind w:hanging="0" w:left="5386" w:right="0"/>
        <w:jc w:val="both"/>
        <w:rPr/>
      </w:pPr>
      <w:r>
        <w:rPr/>
        <w:t>___________________</w:t>
      </w:r>
    </w:p>
    <w:p>
      <w:pPr>
        <w:pStyle w:val="Style28"/>
        <w:keepNext w:val="true"/>
        <w:widowControl/>
        <w:bidi w:val="0"/>
        <w:spacing w:before="120" w:after="0"/>
        <w:ind w:hanging="0" w:left="5386" w:right="0"/>
        <w:jc w:val="both"/>
        <w:rPr/>
      </w:pPr>
      <w:r>
        <w:rPr/>
        <w:t>«14» сентября 2026 год</w:t>
      </w:r>
    </w:p>
    <w:p>
      <w:pPr>
        <w:pStyle w:val="Style28"/>
        <w:rPr/>
      </w:pPr>
      <w:r>
        <w:rPr/>
      </w:r>
    </w:p>
    <w:p>
      <w:pPr>
        <w:pStyle w:val="Style28"/>
        <w:rPr/>
      </w:pPr>
      <w:r>
        <w:rPr/>
      </w:r>
    </w:p>
    <w:p>
      <w:pPr>
        <w:pStyle w:val="Style28"/>
        <w:rPr/>
      </w:pPr>
      <w:r>
        <w:rPr/>
      </w:r>
    </w:p>
    <w:p>
      <w:pPr>
        <w:pStyle w:val="Style28"/>
        <w:rPr/>
      </w:pPr>
      <w:r>
        <w:rPr/>
      </w:r>
    </w:p>
    <w:p>
      <w:pPr>
        <w:pStyle w:val="Style28"/>
        <w:rPr/>
      </w:pPr>
      <w:r>
        <w:rPr/>
      </w:r>
    </w:p>
    <w:p>
      <w:pPr>
        <w:pStyle w:val="Style28"/>
        <w:keepNext w:val="true"/>
        <w:numPr>
          <w:ilvl w:val="0"/>
          <w:numId w:val="0"/>
        </w:numPr>
        <w:ind w:hanging="0" w:left="0"/>
        <w:jc w:val="center"/>
        <w:outlineLvl w:val="2"/>
        <w:rPr>
          <w:b/>
          <w:bCs/>
          <w:caps/>
        </w:rPr>
      </w:pPr>
      <w:r>
        <w:rPr>
          <w:b/>
          <w:bCs/>
          <w:caps/>
        </w:rPr>
        <w:t>Документация о закупке</w:t>
      </w:r>
    </w:p>
    <w:p>
      <w:pPr>
        <w:pStyle w:val="Style28"/>
        <w:keepNext w:val="true"/>
        <w:spacing w:before="240" w:after="0"/>
        <w:jc w:val="center"/>
        <w:rPr>
          <w:rStyle w:val="Style8"/>
        </w:rPr>
      </w:pPr>
      <w:r>
        <w:rPr/>
        <w:t>Конкурс в электронной форме,</w:t>
        <w:br/>
        <w:t>участниками которого могут быть только субъекты МСП,</w:t>
        <w:br/>
        <w:t>на право заключения договора на </w:t>
      </w:r>
      <w:r>
        <w:rPr>
          <w:rStyle w:val="Style8"/>
          <w:i w:val="false"/>
          <w:iCs w:val="false"/>
          <w:shd w:fill="FFFFFF" w:val="clear"/>
        </w:rPr>
        <w:t>ОКПД2 26.20.40.190 Поставка оборудования рабочих мест для нужд филиалов АО "ДРСК" "Амурские электрические сети", "Приморские электрические сети", "Хабаровские электрические сети", "Электрические сети ЕАО", "Южно-Якутские электрические сети"</w:t>
      </w:r>
    </w:p>
    <w:p>
      <w:pPr>
        <w:sectPr>
          <w:type w:val="nextPage"/>
          <w:pgSz w:w="11906" w:h="16838"/>
          <w:pgMar w:left="1134" w:right="850" w:gutter="0" w:header="0" w:top="851" w:footer="0" w:bottom="851"/>
          <w:pgNumType w:fmt="decimal"/>
          <w:formProt w:val="false"/>
          <w:textDirection w:val="lrTb"/>
          <w:docGrid w:type="default" w:linePitch="360" w:charSpace="0"/>
        </w:sectPr>
        <w:pStyle w:val="Style28"/>
        <w:keepNext w:val="true"/>
        <w:spacing w:before="240" w:after="0"/>
        <w:jc w:val="center"/>
        <w:rPr/>
      </w:pPr>
      <w:r>
        <w:rPr/>
        <w:t>(Лот № </w:t>
      </w:r>
      <w:r>
        <w:rPr>
          <w:rStyle w:val="Style8"/>
          <w:i w:val="false"/>
          <w:iCs w:val="false"/>
          <w:shd w:fill="FFFFFF" w:val="clear"/>
        </w:rPr>
        <w:t>116401-ЭКСП ДИТ-2026-ДРСК</w:t>
      </w:r>
      <w:r>
        <w:rPr/>
        <w:t>)</w:t>
      </w:r>
    </w:p>
    <w:p>
      <w:pPr>
        <w:pStyle w:val="Style27"/>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Подраздел,2,[РГ] Подраздел,2,[РГ] Подраздел,2,[РГ] Подраздел,2,[РГ] Подраздел,2,[РГ] Подраздел,2,[РГ] Пункт,3,[РГ] Пункт,3,[РГ] Пункт,3,[РГ] Пункт,3,[РГ] Пункт,3,[РГ] Подпункт,4,[РГ] Подпункт,4,[РГ] Подпункт,4,[РГ] Подпункт,4,[РГ] Подпункт,4,[РГ] Перечисление,5,[РГ] Перечисление,5,[РГ] Перечисление,5,[РГ] Перечисление,5,[РГ] Перечисление,5" \h</w:instrText>
          </w:r>
          <w:r>
            <w:rPr>
              <w:webHidden/>
              <w:rStyle w:val="Style17"/>
              <w:vanish w:val="false"/>
            </w:rPr>
            <w:fldChar w:fldCharType="separate"/>
          </w:r>
          <w:hyperlink w:anchor="_Toc228876833">
            <w:r>
              <w:rPr>
                <w:webHidden/>
              </w:rPr>
              <w:fldChar w:fldCharType="begin"/>
            </w:r>
            <w:r>
              <w:rPr>
                <w:webHidden/>
              </w:rPr>
              <w:instrText xml:space="preserve">PAGEREF _Toc228876833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34">
            <w:r>
              <w:rPr>
                <w:webHidden/>
              </w:rPr>
              <w:fldChar w:fldCharType="begin"/>
            </w:r>
            <w:r>
              <w:rPr>
                <w:webHidden/>
              </w:rPr>
              <w:instrText xml:space="preserve">PAGEREF _Toc228876834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35">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_Toc228876835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36">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_Toc228876836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37">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_Toc228876837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38">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_Toc228876838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39">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_Toc228876839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0">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_Toc228876840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1">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_Toc228876841 \h</w:instrText>
            </w:r>
            <w:r>
              <w:rPr>
                <w:webHidden/>
              </w:rPr>
              <w:fldChar w:fldCharType="separate"/>
            </w:r>
            <w:r>
              <w:rPr>
                <w:rStyle w:val="Style17"/>
                <w:vanish w:val="false"/>
              </w:rPr>
              <w:tab/>
              <w:t>27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2">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_Toc228876842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3">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_Toc228876843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44">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_Toc228876844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5">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_Toc228876845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6">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_Toc228876846 \h</w:instrText>
            </w:r>
            <w:r>
              <w:rPr>
                <w:webHidden/>
              </w:rPr>
              <w:fldChar w:fldCharType="separate"/>
            </w:r>
            <w:r>
              <w:rPr>
                <w:rStyle w:val="Style17"/>
                <w:vanish w:val="false"/>
              </w:rPr>
              <w:tab/>
              <w:t>30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47">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_Toc228876847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8">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_Toc228876848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9">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_Toc228876849 \h</w:instrText>
            </w:r>
            <w:r>
              <w:rPr>
                <w:webHidden/>
              </w:rPr>
              <w:fldChar w:fldCharType="separate"/>
            </w:r>
            <w:r>
              <w:rPr>
                <w:rStyle w:val="Style17"/>
                <w:vanish w:val="false"/>
              </w:rPr>
              <w:tab/>
              <w:t>35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0">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Предзаявочное обсуждение</w:t>
            </w:r>
            <w:r>
              <w:rPr>
                <w:webHidden/>
              </w:rPr>
              <w:fldChar w:fldCharType="begin"/>
            </w:r>
            <w:r>
              <w:rPr>
                <w:webHidden/>
              </w:rPr>
              <w:instrText xml:space="preserve">PAGEREF _Toc228876850 \h</w:instrText>
            </w:r>
            <w:r>
              <w:rPr>
                <w:webHidden/>
              </w:rPr>
              <w:fldChar w:fldCharType="separate"/>
            </w:r>
            <w:r>
              <w:rPr>
                <w:rStyle w:val="Style17"/>
                <w:vanish w:val="false"/>
              </w:rPr>
              <w:tab/>
              <w:t>35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1">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_Toc228876851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2">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_Toc228876852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3">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_Toc228876853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4">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_Toc228876854 \h</w:instrText>
            </w:r>
            <w:r>
              <w:rPr>
                <w:webHidden/>
              </w:rPr>
              <w:fldChar w:fldCharType="separate"/>
            </w:r>
            <w:r>
              <w:rPr>
                <w:rStyle w:val="Style17"/>
                <w:vanish w:val="false"/>
              </w:rPr>
              <w:tab/>
              <w:t>42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5">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_Toc228876855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6">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_Toc228876856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7">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Обсуждение заявок</w:t>
            </w:r>
            <w:r>
              <w:rPr>
                <w:webHidden/>
              </w:rPr>
              <w:fldChar w:fldCharType="begin"/>
            </w:r>
            <w:r>
              <w:rPr>
                <w:webHidden/>
              </w:rPr>
              <w:instrText xml:space="preserve">PAGEREF _Toc228876857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8">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окончательных предложений</w:t>
            </w:r>
            <w:r>
              <w:rPr>
                <w:webHidden/>
              </w:rPr>
              <w:fldChar w:fldCharType="begin"/>
            </w:r>
            <w:r>
              <w:rPr>
                <w:webHidden/>
              </w:rPr>
              <w:instrText xml:space="preserve">PAGEREF _Toc228876858 \h</w:instrText>
            </w:r>
            <w:r>
              <w:rPr>
                <w:webHidden/>
              </w:rPr>
              <w:fldChar w:fldCharType="separate"/>
            </w:r>
            <w:r>
              <w:rPr>
                <w:rStyle w:val="Style17"/>
                <w:vanish w:val="false"/>
              </w:rPr>
              <w:tab/>
              <w:t>45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9">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окончательным предложениям</w:t>
            </w:r>
            <w:r>
              <w:rPr>
                <w:webHidden/>
              </w:rPr>
              <w:fldChar w:fldCharType="begin"/>
            </w:r>
            <w:r>
              <w:rPr>
                <w:webHidden/>
              </w:rPr>
              <w:instrText xml:space="preserve">PAGEREF _Toc228876859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0">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 окончательных предложений (отборочная стадия)</w:t>
            </w:r>
            <w:r>
              <w:rPr>
                <w:webHidden/>
              </w:rPr>
              <w:fldChar w:fldCharType="begin"/>
            </w:r>
            <w:r>
              <w:rPr>
                <w:webHidden/>
              </w:rPr>
              <w:instrText xml:space="preserve">PAGEREF _Toc228876860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1">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_Toc228876861 \h</w:instrText>
            </w:r>
            <w:r>
              <w:rPr>
                <w:webHidden/>
              </w:rPr>
              <w:fldChar w:fldCharType="separate"/>
            </w:r>
            <w:r>
              <w:rPr>
                <w:rStyle w:val="Style17"/>
                <w:vanish w:val="false"/>
              </w:rPr>
              <w:tab/>
              <w:t>47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2">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_Toc228876862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3">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_Toc228876863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4">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Переторжка (подача дополнительных ценовых предложений)</w:t>
            </w:r>
            <w:r>
              <w:rPr>
                <w:webHidden/>
              </w:rPr>
              <w:fldChar w:fldCharType="begin"/>
            </w:r>
            <w:r>
              <w:rPr>
                <w:webHidden/>
              </w:rPr>
              <w:instrText xml:space="preserve">PAGEREF _Toc228876864 \h</w:instrText>
            </w:r>
            <w:r>
              <w:rPr>
                <w:webHidden/>
              </w:rPr>
              <w:fldChar w:fldCharType="separate"/>
            </w:r>
            <w:r>
              <w:rPr>
                <w:rStyle w:val="Style17"/>
                <w:vanish w:val="false"/>
              </w:rPr>
              <w:tab/>
              <w:t>51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5">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дополнительных ценовых предложений</w:t>
            </w:r>
            <w:r>
              <w:rPr>
                <w:webHidden/>
              </w:rPr>
              <w:fldChar w:fldCharType="begin"/>
            </w:r>
            <w:r>
              <w:rPr>
                <w:webHidden/>
              </w:rPr>
              <w:instrText xml:space="preserve">PAGEREF _Toc228876865 \h</w:instrText>
            </w:r>
            <w:r>
              <w:rPr>
                <w:webHidden/>
              </w:rPr>
              <w:fldChar w:fldCharType="separate"/>
            </w:r>
            <w:r>
              <w:rPr>
                <w:rStyle w:val="Style17"/>
                <w:vanish w:val="false"/>
              </w:rPr>
              <w:tab/>
              <w:t>52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6">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_Toc228876866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7">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_Toc228876867 \h</w:instrText>
            </w:r>
            <w:r>
              <w:rPr>
                <w:webHidden/>
              </w:rPr>
              <w:fldChar w:fldCharType="separate"/>
            </w:r>
            <w:r>
              <w:rPr>
                <w:rStyle w:val="Style17"/>
                <w:vanish w:val="false"/>
              </w:rPr>
              <w:tab/>
              <w:t>54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8">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_Toc228876868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9">
            <w:r>
              <w:rPr>
                <w:webHidden/>
                <w:rStyle w:val="Style17"/>
                <w:vanish w:val="false"/>
              </w:rPr>
              <w:t>4.22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_Toc228876869 \h</w:instrText>
            </w:r>
            <w:r>
              <w:rPr>
                <w:webHidden/>
              </w:rPr>
              <w:fldChar w:fldCharType="separate"/>
            </w:r>
            <w:r>
              <w:rPr>
                <w:rStyle w:val="Style17"/>
                <w:vanish w:val="false"/>
              </w:rPr>
              <w:tab/>
              <w:t>57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0">
            <w:r>
              <w:rPr>
                <w:webHidden/>
                <w:rStyle w:val="Style17"/>
                <w:vanish w:val="false"/>
              </w:rPr>
              <w:t>4.23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_Toc228876870 \h</w:instrText>
            </w:r>
            <w:r>
              <w:rPr>
                <w:webHidden/>
              </w:rPr>
              <w:fldChar w:fldCharType="separate"/>
            </w:r>
            <w:r>
              <w:rPr>
                <w:rStyle w:val="Style17"/>
                <w:vanish w:val="false"/>
              </w:rPr>
              <w:tab/>
              <w:t>58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1">
            <w:r>
              <w:rPr>
                <w:webHidden/>
                <w:rStyle w:val="Style17"/>
                <w:vanish w:val="false"/>
              </w:rPr>
              <w:t>4.24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_Toc228876871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2">
            <w:r>
              <w:rPr>
                <w:webHidden/>
                <w:rStyle w:val="Style17"/>
                <w:vanish w:val="false"/>
              </w:rPr>
              <w:t>4.25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_Toc228876872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3">
            <w:r>
              <w:rPr>
                <w:webHidden/>
                <w:rStyle w:val="Style17"/>
                <w:vanish w:val="false"/>
              </w:rPr>
              <w:t>4.26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_Toc228876873 \h</w:instrText>
            </w:r>
            <w:r>
              <w:rPr>
                <w:webHidden/>
              </w:rPr>
              <w:fldChar w:fldCharType="separate"/>
            </w:r>
            <w:r>
              <w:rPr>
                <w:rStyle w:val="Style17"/>
                <w:vanish w:val="false"/>
              </w:rPr>
              <w:tab/>
              <w:t>64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4">
            <w:r>
              <w:rPr>
                <w:webHidden/>
                <w:rStyle w:val="Style17"/>
                <w:vanish w:val="false"/>
              </w:rPr>
              <w:t>4.27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_Toc228876874 \h</w:instrText>
            </w:r>
            <w:r>
              <w:rPr>
                <w:webHidden/>
              </w:rPr>
              <w:fldChar w:fldCharType="separate"/>
            </w:r>
            <w:r>
              <w:rPr>
                <w:rStyle w:val="Style17"/>
                <w:vanish w:val="false"/>
              </w:rPr>
              <w:tab/>
              <w:t>65</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75">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_Toc228876875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6">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_Toc228876876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7">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_Toc228876877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8">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_Toc228876878 \h</w:instrText>
            </w:r>
            <w:r>
              <w:rPr>
                <w:webHidden/>
              </w:rPr>
              <w:fldChar w:fldCharType="separate"/>
            </w:r>
            <w:r>
              <w:rPr>
                <w:rStyle w:val="Style17"/>
                <w:vanish w:val="false"/>
              </w:rPr>
              <w:tab/>
              <w:t>68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79">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_Toc228876879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0">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_Toc228876880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81">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_Toc228876881 \h</w:instrText>
            </w:r>
            <w:r>
              <w:rPr>
                <w:webHidden/>
              </w:rPr>
              <w:fldChar w:fldCharType="separate"/>
            </w:r>
            <w:r>
              <w:rPr>
                <w:rStyle w:val="Style17"/>
                <w:vanish w:val="false"/>
              </w:rPr>
              <w:tab/>
              <w:t>71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2">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_Toc228876882 \h</w:instrText>
            </w:r>
            <w:r>
              <w:rPr>
                <w:webHidden/>
              </w:rPr>
              <w:fldChar w:fldCharType="separate"/>
            </w:r>
            <w:r>
              <w:rPr>
                <w:rStyle w:val="Style17"/>
                <w:vanish w:val="false"/>
              </w:rPr>
              <w:tab/>
              <w:t>71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83">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_Toc228876883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4">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_Toc228876884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5">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_Toc228876885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6">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_Toc228876886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7">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_Toc228876887 \h</w:instrText>
            </w:r>
            <w:r>
              <w:rPr>
                <w:webHidden/>
              </w:rPr>
              <w:fldChar w:fldCharType="separate"/>
            </w:r>
            <w:r>
              <w:rPr>
                <w:rStyle w:val="Style17"/>
                <w:vanish w:val="false"/>
              </w:rPr>
              <w:tab/>
              <w:t>77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88">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_Toc228876888 \h</w:instrText>
            </w:r>
            <w:r>
              <w:rPr>
                <w:webHidden/>
              </w:rPr>
              <w:fldChar w:fldCharType="separate"/>
            </w:r>
            <w:r>
              <w:rPr>
                <w:rStyle w:val="Style17"/>
                <w:vanish w:val="false"/>
              </w:rPr>
              <w:tab/>
              <w:t>79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9">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_Toc228876889 \h</w:instrText>
            </w:r>
            <w:r>
              <w:rPr>
                <w:webHidden/>
              </w:rPr>
              <w:fldChar w:fldCharType="separate"/>
            </w:r>
            <w:r>
              <w:rPr>
                <w:rStyle w:val="Style17"/>
                <w:vanish w:val="false"/>
              </w:rPr>
              <w:tab/>
              <w:t>79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90">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_Toc228876890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1">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_Toc228876891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2">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_Toc228876892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3">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_Toc228876893 \h</w:instrText>
            </w:r>
            <w:r>
              <w:rPr>
                <w:webHidden/>
              </w:rPr>
              <w:fldChar w:fldCharType="separate"/>
            </w:r>
            <w:r>
              <w:rPr>
                <w:rStyle w:val="Style17"/>
                <w:vanish w:val="false"/>
              </w:rPr>
              <w:tab/>
              <w:t>80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94">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_Toc228876894 \h</w:instrText>
            </w:r>
            <w:r>
              <w:rPr>
                <w:webHidden/>
              </w:rPr>
              <w:fldChar w:fldCharType="separate"/>
            </w:r>
            <w:r>
              <w:rPr>
                <w:rStyle w:val="Style17"/>
                <w:vanish w:val="false"/>
              </w:rPr>
              <w:tab/>
              <w:t>82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5">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_Toc228876895 \h</w:instrText>
            </w:r>
            <w:r>
              <w:rPr>
                <w:webHidden/>
              </w:rPr>
              <w:fldChar w:fldCharType="separate"/>
            </w:r>
            <w:r>
              <w:rPr>
                <w:rStyle w:val="Style17"/>
                <w:vanish w:val="false"/>
              </w:rPr>
              <w:tab/>
              <w:t>82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96">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_Toc228876896 \h</w:instrText>
            </w:r>
            <w:r>
              <w:rPr>
                <w:webHidden/>
              </w:rPr>
              <w:fldChar w:fldCharType="separate"/>
            </w:r>
            <w:r>
              <w:rPr>
                <w:rStyle w:val="Style17"/>
                <w:vanish w:val="false"/>
              </w:rPr>
              <w:tab/>
              <w:t>85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7">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 (первых частей заявок, содержащихся в окончательных предложениях)</w:t>
            </w:r>
            <w:r>
              <w:rPr>
                <w:webHidden/>
              </w:rPr>
              <w:fldChar w:fldCharType="begin"/>
            </w:r>
            <w:r>
              <w:rPr>
                <w:webHidden/>
              </w:rPr>
              <w:instrText xml:space="preserve">PAGEREF _Toc228876897 \h</w:instrText>
            </w:r>
            <w:r>
              <w:rPr>
                <w:webHidden/>
              </w:rPr>
              <w:fldChar w:fldCharType="separate"/>
            </w:r>
            <w:r>
              <w:rPr>
                <w:rStyle w:val="Style17"/>
                <w:vanish w:val="false"/>
              </w:rPr>
              <w:tab/>
              <w:t>85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8">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_Toc228876898 \h</w:instrText>
            </w:r>
            <w:r>
              <w:rPr>
                <w:webHidden/>
              </w:rPr>
              <w:fldChar w:fldCharType="separate"/>
            </w:r>
            <w:r>
              <w:rPr>
                <w:rStyle w:val="Style17"/>
                <w:vanish w:val="false"/>
              </w:rPr>
              <w:tab/>
              <w:t>86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9">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_Toc228876899 \h</w:instrText>
            </w:r>
            <w:r>
              <w:rPr>
                <w:webHidden/>
              </w:rPr>
              <w:fldChar w:fldCharType="separate"/>
            </w:r>
            <w:r>
              <w:rPr>
                <w:rStyle w:val="Style17"/>
                <w:vanish w:val="false"/>
              </w:rPr>
              <w:tab/>
              <w:t>87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900">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 (дополнительных ценовых предложений)</w:t>
            </w:r>
            <w:r>
              <w:rPr>
                <w:webHidden/>
              </w:rPr>
              <w:fldChar w:fldCharType="begin"/>
            </w:r>
            <w:r>
              <w:rPr>
                <w:webHidden/>
              </w:rPr>
              <w:instrText xml:space="preserve">PAGEREF _Toc228876900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901">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_Toc228876901 \h</w:instrText>
            </w:r>
            <w:r>
              <w:rPr>
                <w:webHidden/>
              </w:rPr>
              <w:fldChar w:fldCharType="separate"/>
            </w:r>
            <w:r>
              <w:rPr>
                <w:rStyle w:val="Style17"/>
                <w:vanish w:val="false"/>
              </w:rPr>
              <w:tab/>
              <w:t>91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902">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_Toc228876902 \h</w:instrText>
            </w:r>
            <w:r>
              <w:rPr>
                <w:webHidden/>
              </w:rPr>
              <w:fldChar w:fldCharType="separate"/>
            </w:r>
            <w:r>
              <w:rPr>
                <w:rStyle w:val="Style17"/>
                <w:vanish w:val="false"/>
              </w:rPr>
              <w:tab/>
              <w:t>94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903">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_Toc228876903 \h</w:instrText>
            </w:r>
            <w:r>
              <w:rPr>
                <w:webHidden/>
              </w:rPr>
              <w:fldChar w:fldCharType="separate"/>
            </w:r>
            <w:r>
              <w:rPr>
                <w:rStyle w:val="Style17"/>
                <w:vanish w:val="false"/>
              </w:rPr>
              <w:tab/>
              <w:t>94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904">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_Toc228876904 \h</w:instrText>
            </w:r>
            <w:r>
              <w:rPr>
                <w:webHidden/>
              </w:rPr>
              <w:fldChar w:fldCharType="separate"/>
            </w:r>
            <w:r>
              <w:rPr>
                <w:rStyle w:val="Style17"/>
                <w:vanish w:val="false"/>
              </w:rPr>
              <w:tab/>
              <w:t>100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905">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_Toc228876905 \h</w:instrText>
            </w:r>
            <w:r>
              <w:rPr>
                <w:webHidden/>
              </w:rPr>
              <w:fldChar w:fldCharType="separate"/>
            </w:r>
            <w:r>
              <w:rPr>
                <w:rStyle w:val="Style17"/>
                <w:vanish w:val="false"/>
              </w:rPr>
              <w:tab/>
              <w:t>100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906">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_Toc228876906 \h</w:instrText>
            </w:r>
            <w:r>
              <w:rPr>
                <w:webHidden/>
              </w:rPr>
              <w:fldChar w:fldCharType="separate"/>
            </w:r>
            <w:r>
              <w:rPr>
                <w:rStyle w:val="Style17"/>
                <w:vanish w:val="false"/>
              </w:rPr>
              <w:tab/>
              <w:t>101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907">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_Toc228876907 \h</w:instrText>
            </w:r>
            <w:r>
              <w:rPr>
                <w:webHidden/>
              </w:rPr>
              <w:fldChar w:fldCharType="separate"/>
            </w:r>
            <w:r>
              <w:rPr>
                <w:rStyle w:val="Style17"/>
                <w:vanish w:val="false"/>
              </w:rPr>
              <w:tab/>
              <w:t>101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908">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_Toc228876908 \h</w:instrText>
            </w:r>
            <w:r>
              <w:rPr>
                <w:webHidden/>
              </w:rPr>
              <w:fldChar w:fldCharType="separate"/>
            </w:r>
            <w:r>
              <w:rPr>
                <w:rStyle w:val="Style17"/>
                <w:vanish w:val="false"/>
              </w:rPr>
              <w:tab/>
              <w:t>102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909">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_Toc228876909 \h</w:instrText>
            </w:r>
            <w:r>
              <w:rPr>
                <w:webHidden/>
              </w:rPr>
              <w:fldChar w:fldCharType="separate"/>
            </w:r>
            <w:r>
              <w:rPr>
                <w:rStyle w:val="Style17"/>
                <w:vanish w:val="false"/>
              </w:rPr>
              <w:tab/>
              <w:t>102</w:t>
            </w:r>
            <w:r>
              <w:rPr>
                <w:webHidden/>
              </w:rPr>
              <w:fldChar w:fldCharType="end"/>
            </w:r>
          </w:hyperlink>
          <w:r>
            <w:rPr>
              <w:rStyle w:val="Style17"/>
              <w:vanish w:val="false"/>
            </w:rPr>
            <w:fldChar w:fldCharType="end"/>
          </w:r>
        </w:p>
      </w:sdtContent>
    </w:sdt>
    <w:p>
      <w:pPr>
        <w:pStyle w:val="Style28"/>
        <w:jc w:val="both"/>
        <w:rPr/>
      </w:pPr>
      <w:r>
        <w:rPr/>
      </w:r>
    </w:p>
    <w:p>
      <w:pPr>
        <w:pStyle w:val="Style28"/>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28"/>
        <w:numPr>
          <w:ilvl w:val="0"/>
          <w:numId w:val="8"/>
        </w:numPr>
        <w:spacing w:before="60" w:after="0"/>
        <w:ind w:hanging="284" w:left="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28"/>
        <w:numPr>
          <w:ilvl w:val="0"/>
          <w:numId w:val="8"/>
        </w:numPr>
        <w:spacing w:before="60" w:after="0"/>
        <w:ind w:hanging="284" w:left="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28"/>
        <w:numPr>
          <w:ilvl w:val="0"/>
          <w:numId w:val="8"/>
        </w:numPr>
        <w:spacing w:before="60" w:after="0"/>
        <w:ind w:hanging="284" w:left="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28"/>
        <w:numPr>
          <w:ilvl w:val="0"/>
          <w:numId w:val="8"/>
        </w:numPr>
        <w:spacing w:before="60" w:after="0"/>
        <w:ind w:hanging="284" w:left="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7"/>
        <w:numPr>
          <w:ilvl w:val="0"/>
          <w:numId w:val="0"/>
        </w:numPr>
        <w:ind w:hanging="0" w:left="0"/>
        <w:outlineLvl w:val="0"/>
        <w:rPr/>
      </w:pPr>
      <w:bookmarkStart w:id="0" w:name="_Toc228876833"/>
      <w:r>
        <w:rPr/>
        <w:t>Сокращения</w:t>
      </w:r>
      <w:bookmarkEnd w:id="0"/>
    </w:p>
    <w:p>
      <w:pPr>
        <w:pStyle w:val="Style28"/>
        <w:ind w:firstLine="567"/>
        <w:rPr/>
      </w:pPr>
      <w:r>
        <w:rPr>
          <w:b/>
          <w:bCs/>
        </w:rPr>
        <w:t>ГК РФ</w:t>
      </w:r>
      <w:r>
        <w:rPr/>
        <w:t xml:space="preserve"> – Гражданской кодекс Российской Федерации.</w:t>
      </w:r>
    </w:p>
    <w:p>
      <w:pPr>
        <w:pStyle w:val="Style28"/>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8"/>
        <w:ind w:firstLine="567"/>
        <w:rPr/>
      </w:pPr>
      <w:r>
        <w:rPr>
          <w:b/>
          <w:bCs/>
        </w:rPr>
        <w:t>ЕАЭС</w:t>
      </w:r>
      <w:r>
        <w:rPr/>
        <w:t xml:space="preserve"> – Евразийский экономический союз.</w:t>
      </w:r>
    </w:p>
    <w:p>
      <w:pPr>
        <w:pStyle w:val="Style28"/>
        <w:ind w:firstLine="567"/>
        <w:rPr/>
      </w:pPr>
      <w:r>
        <w:rPr>
          <w:b/>
          <w:bCs/>
        </w:rPr>
        <w:t>ЕГРИП</w:t>
      </w:r>
      <w:r>
        <w:rPr/>
        <w:t xml:space="preserve"> – Единый государственный реестр индивидуальных предпринимателей.</w:t>
      </w:r>
    </w:p>
    <w:p>
      <w:pPr>
        <w:pStyle w:val="Style28"/>
        <w:ind w:firstLine="567"/>
        <w:rPr/>
      </w:pPr>
      <w:r>
        <w:rPr>
          <w:b/>
          <w:bCs/>
        </w:rPr>
        <w:t>ЕГРЮЛ</w:t>
      </w:r>
      <w:r>
        <w:rPr/>
        <w:t xml:space="preserve"> – Единый государственный реестр юридических лиц.</w:t>
      </w:r>
    </w:p>
    <w:p>
      <w:pPr>
        <w:pStyle w:val="Style28"/>
        <w:ind w:firstLine="567"/>
        <w:rPr/>
      </w:pPr>
      <w:r>
        <w:rPr>
          <w:b/>
          <w:bCs/>
        </w:rPr>
        <w:t>ЕИС</w:t>
      </w:r>
      <w:r>
        <w:rPr/>
        <w:t xml:space="preserve"> – Единая информационная система в сфере закупок.</w:t>
      </w:r>
    </w:p>
    <w:p>
      <w:pPr>
        <w:pStyle w:val="Style28"/>
        <w:ind w:firstLine="567"/>
        <w:rPr/>
      </w:pPr>
      <w:r>
        <w:rPr>
          <w:b/>
          <w:bCs/>
        </w:rPr>
        <w:t>Закон 44-ФЗ</w:t>
      </w:r>
      <w:r>
        <w:rPr/>
        <w:t xml:space="preserve"> – Федеральный закон от 05.04.2013 № 44-ФЗ «О контрактной системе в сфере закупок товаров, работ, услуг для обеспечения государственных и муниципальных нужд».</w:t>
      </w:r>
    </w:p>
    <w:p>
      <w:pPr>
        <w:pStyle w:val="Style28"/>
        <w:ind w:firstLine="567"/>
        <w:rPr/>
      </w:pPr>
      <w:r>
        <w:rPr>
          <w:b/>
          <w:bCs/>
        </w:rPr>
        <w:t>Закон 98-ФЗ</w:t>
      </w:r>
      <w:r>
        <w:rPr/>
        <w:t xml:space="preserve"> – Федеральный закон от 29 июля 2004 года № 98-ФЗ «О коммерческой тайне».</w:t>
      </w:r>
    </w:p>
    <w:p>
      <w:pPr>
        <w:pStyle w:val="Style28"/>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8"/>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8"/>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8"/>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8"/>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8"/>
        <w:ind w:firstLine="567"/>
        <w:rPr/>
      </w:pPr>
      <w:r>
        <w:rPr>
          <w:b/>
          <w:bCs/>
        </w:rPr>
        <w:t>Извещение</w:t>
      </w:r>
      <w:r>
        <w:rPr/>
        <w:t xml:space="preserve"> – извещение о проведении настоящей закупки.</w:t>
      </w:r>
    </w:p>
    <w:p>
      <w:pPr>
        <w:pStyle w:val="Style28"/>
        <w:ind w:firstLine="567"/>
        <w:rPr/>
      </w:pPr>
      <w:r>
        <w:rPr>
          <w:b/>
          <w:bCs/>
        </w:rPr>
        <w:t>ИНН</w:t>
      </w:r>
      <w:r>
        <w:rPr/>
        <w:t xml:space="preserve"> – идентификационный номер налогоплательщика.</w:t>
      </w:r>
    </w:p>
    <w:p>
      <w:pPr>
        <w:pStyle w:val="Style28"/>
        <w:ind w:firstLine="567"/>
        <w:rPr/>
      </w:pPr>
      <w:r>
        <w:rPr>
          <w:b/>
          <w:bCs/>
        </w:rPr>
        <w:t>ИФНС</w:t>
      </w:r>
      <w:r>
        <w:rPr/>
        <w:t xml:space="preserve"> – инспекция Федеральной налоговой службы Российской Федерации.</w:t>
      </w:r>
    </w:p>
    <w:p>
      <w:pPr>
        <w:pStyle w:val="Style28"/>
        <w:ind w:firstLine="567"/>
        <w:rPr/>
      </w:pPr>
      <w:r>
        <w:rPr>
          <w:b/>
          <w:bCs/>
        </w:rPr>
        <w:t>МТР</w:t>
      </w:r>
      <w:r>
        <w:rPr/>
        <w:t xml:space="preserve"> – материально-технические ресурсы.</w:t>
      </w:r>
    </w:p>
    <w:p>
      <w:pPr>
        <w:pStyle w:val="Style28"/>
        <w:ind w:firstLine="567"/>
        <w:rPr/>
      </w:pPr>
      <w:r>
        <w:rPr>
          <w:b/>
          <w:bCs/>
        </w:rPr>
        <w:t>НДС</w:t>
      </w:r>
      <w:r>
        <w:rPr/>
        <w:t xml:space="preserve"> – налог на добавленную стоимость.</w:t>
      </w:r>
    </w:p>
    <w:p>
      <w:pPr>
        <w:pStyle w:val="Style28"/>
        <w:ind w:firstLine="567"/>
        <w:rPr/>
      </w:pPr>
      <w:r>
        <w:rPr>
          <w:b/>
          <w:bCs/>
        </w:rPr>
        <w:t>НМЦ</w:t>
      </w:r>
      <w:r>
        <w:rPr/>
        <w:t xml:space="preserve"> – начальная (максимальная) цена договора.</w:t>
      </w:r>
    </w:p>
    <w:p>
      <w:pPr>
        <w:pStyle w:val="Style28"/>
        <w:ind w:firstLine="567"/>
        <w:rPr/>
      </w:pPr>
      <w:r>
        <w:rPr>
          <w:b/>
          <w:bCs/>
        </w:rPr>
        <w:t>Оператор ЭП</w:t>
      </w:r>
      <w:r>
        <w:rPr/>
        <w:t xml:space="preserve"> – оператор электронной площадки.</w:t>
      </w:r>
    </w:p>
    <w:p>
      <w:pPr>
        <w:pStyle w:val="Style28"/>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8"/>
        <w:ind w:firstLine="567"/>
        <w:rPr/>
      </w:pPr>
      <w:r>
        <w:rPr>
          <w:b/>
          <w:bCs/>
        </w:rPr>
        <w:t>Положение о закупке</w:t>
      </w:r>
      <w:r>
        <w:rPr/>
        <w:t xml:space="preserve"> – Единое Положение о закупке продукции для нужд Группы РусГидро.</w:t>
      </w:r>
    </w:p>
    <w:p>
      <w:pPr>
        <w:pStyle w:val="Style28"/>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8"/>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8"/>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8"/>
        <w:ind w:firstLine="567"/>
        <w:rPr/>
      </w:pPr>
      <w:r>
        <w:rPr/>
      </w:r>
    </w:p>
    <w:p>
      <w:pPr>
        <w:pStyle w:val="Style28"/>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8"/>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8"/>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8"/>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8"/>
        <w:ind w:firstLine="567"/>
        <w:rPr/>
      </w:pPr>
      <w:r>
        <w:rPr>
          <w:b/>
          <w:bCs/>
        </w:rPr>
        <w:t>Субъект МСП</w:t>
      </w:r>
      <w:r>
        <w:rPr/>
        <w:t xml:space="preserve"> – субъект малого и среднего предпринимательства.</w:t>
      </w:r>
    </w:p>
    <w:p>
      <w:pPr>
        <w:pStyle w:val="Style28"/>
        <w:ind w:firstLine="567"/>
        <w:rPr/>
      </w:pPr>
      <w:r>
        <w:rPr>
          <w:b/>
          <w:bCs/>
        </w:rPr>
        <w:t>ЭП</w:t>
      </w:r>
      <w:r>
        <w:rPr/>
        <w:t xml:space="preserve"> – электронная площадка.</w:t>
      </w:r>
    </w:p>
    <w:p>
      <w:pPr>
        <w:pStyle w:val="Style27"/>
        <w:numPr>
          <w:ilvl w:val="0"/>
          <w:numId w:val="0"/>
        </w:numPr>
        <w:ind w:hanging="0" w:left="0"/>
        <w:outlineLvl w:val="0"/>
        <w:rPr/>
      </w:pPr>
      <w:bookmarkStart w:id="1" w:name="_Toc228876834"/>
      <w:r>
        <w:rPr/>
        <w:t>Термины и определения</w:t>
      </w:r>
      <w:bookmarkEnd w:id="1"/>
    </w:p>
    <w:p>
      <w:pPr>
        <w:pStyle w:val="Style28"/>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8"/>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8"/>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8"/>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8"/>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8"/>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8"/>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8"/>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8"/>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8"/>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8"/>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8"/>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8"/>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8"/>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8"/>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8"/>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8"/>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8"/>
        <w:ind w:firstLine="567"/>
        <w:rPr/>
      </w:pPr>
      <w:r>
        <w:rPr>
          <w:b/>
          <w:bCs/>
        </w:rPr>
        <w:t>Окончательное предложение</w:t>
      </w:r>
      <w:r>
        <w:rPr/>
        <w:t xml:space="preserve"> – комплект документов, входящих в состав первой части заявки и содержащих предложение Участника о функциональных характеристиках (потребительских свойствах) предлагаемой к поставке продукции и об иных условиях исполнения договора, с учетом уточненных Извещения и Документации о закупке по результатам проведенных обсуждений (в случае проведения таковых и выявления необходимости внесения изменений в Извещение и Документацию о закупке).</w:t>
      </w:r>
    </w:p>
    <w:p>
      <w:pPr>
        <w:pStyle w:val="Style28"/>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8"/>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8"/>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8"/>
        <w:ind w:firstLine="567"/>
        <w:rPr/>
      </w:pPr>
      <w:r>
        <w:rPr>
          <w:b/>
          <w:bCs/>
        </w:rPr>
        <w:t>Переторжка</w:t>
      </w:r>
      <w:r>
        <w:rPr/>
        <w:t xml:space="preserve"> – опциональный этап закупки, представляющий собой процедуру подачи Участниками дополнительных ценовых предложений с целью повысить их предпочтительность для Заказчика.</w:t>
      </w:r>
    </w:p>
    <w:p>
      <w:pPr>
        <w:pStyle w:val="Style31"/>
        <w:rPr/>
      </w:pPr>
      <w:r>
        <w:rPr/>
      </w:r>
    </w:p>
    <w:p>
      <w:pPr>
        <w:pStyle w:val="Style28"/>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об окончательном предложении Участника по результатам проведения обсуждений (в случае проведения таковых),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8"/>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8"/>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8"/>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8"/>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8"/>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8"/>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8"/>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8"/>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8"/>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8"/>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8"/>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8"/>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2"/>
        <w:rPr/>
      </w:pPr>
      <w:bookmarkStart w:id="3" w:name="_Toc228876835"/>
      <w:bookmarkStart w:id="4" w:name="_Ref125359988"/>
      <w:r>
        <w:rPr/>
        <w:t>Основные сведения о закупке</w:t>
      </w:r>
      <w:bookmarkEnd w:id="3"/>
      <w:bookmarkEnd w:id="4"/>
    </w:p>
    <w:p>
      <w:pPr>
        <w:pStyle w:val="Style23"/>
        <w:rPr/>
      </w:pPr>
      <w:bookmarkStart w:id="5" w:name="_Toc228876836"/>
      <w:r>
        <w:rPr/>
        <w:t>Статус настоящего раздела</w:t>
      </w:r>
      <w:bookmarkEnd w:id="5"/>
    </w:p>
    <w:p>
      <w:pPr>
        <w:pStyle w:val="Style24"/>
        <w:rPr/>
      </w:pPr>
      <w:r>
        <w:rPr/>
        <w:t>В настоящем разделе содержатся основные сведения о предмете, способе и иных ключевых условиях проводимой закупки.</w:t>
      </w:r>
    </w:p>
    <w:p>
      <w:pPr>
        <w:pStyle w:val="Style24"/>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4"/>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23"/>
        <w:spacing w:before="360" w:after="120"/>
        <w:rPr/>
      </w:pPr>
      <w:bookmarkStart w:id="6" w:name="_Toc228876837"/>
      <w:bookmarkStart w:id="7" w:name="_Ref132876309"/>
      <w:bookmarkStart w:id="8" w:name="_Ref127270076"/>
      <w:bookmarkStart w:id="9" w:name="_Ref125359973"/>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6"/>
        <w:gridCol w:w="2973"/>
        <w:gridCol w:w="5813"/>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973"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пункта</w:t>
            </w:r>
          </w:p>
        </w:tc>
        <w:tc>
          <w:tcPr>
            <w:tcW w:w="5813"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Содержание пункта</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Способ закупки:</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Конкурс в электронной форме, участниками которого могут быть только субъекты МСП.</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Предмет Договора</w:t>
              <w:br/>
              <w:t>(в том числе номер лота):</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Лот № 116401-ЭКСП ДИТ-2026-ДРСК: ОКПД2 26.20.40.190 Поставка оборудования рабочих мест для нужд филиалов АО "ДРСК" "Амурские электрические сети", "Приморские электрические сети", "Хабаровские электрические сети", "Электрические сети ЕАО", "Южно-Якутские электрические сети"</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Описание</w:t>
              <w:br/>
              <w:t>предмета закупки:</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6"/>
                  <w:szCs w:val="22"/>
                  <w:lang w:val="ru-RU" w:eastAsia="en-US" w:bidi="ar-SA"/>
                </w:rPr>
                <w:t>Технических требованиях (Приложении № 1)</w:t>
              </w:r>
            </w:hyperlink>
            <w:r>
              <w:rPr>
                <w:rFonts w:eastAsia="Calibri" w:c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Многолотовая закупка:</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Нет.</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Наименование и адрес ЭП, на которой проводится закупка:</w:t>
            </w:r>
          </w:p>
        </w:tc>
        <w:tc>
          <w:tcPr>
            <w:tcW w:w="5813" w:type="dxa"/>
            <w:tcBorders/>
          </w:tcPr>
          <w:p>
            <w:pPr>
              <w:pStyle w:val="Normal"/>
              <w:widowControl w:val="false"/>
              <w:suppressAutoHyphens w:val="true"/>
              <w:spacing w:before="0" w:after="0"/>
              <w:rPr/>
            </w:pPr>
            <w:r>
              <w:rPr/>
              <w:t xml:space="preserve">Электронная (торговая) площадка: </w:t>
            </w:r>
            <w:hyperlink r:id="rId2">
              <w:r>
                <w:rPr/>
                <w:t>https://tender.lot-online.ru</w:t>
              </w:r>
            </w:hyperlink>
            <w:r>
              <w:rPr/>
              <w:t>.</w:t>
            </w:r>
          </w:p>
          <w:p>
            <w:pPr>
              <w:pStyle w:val="Normal"/>
              <w:widowControl w:val="false"/>
              <w:suppressAutoHyphens w:val="true"/>
              <w:spacing w:before="0" w:after="0"/>
              <w:ind w:hanging="0" w:left="38"/>
              <w:rPr/>
            </w:pPr>
            <w:r>
              <w:rPr>
                <w:rStyle w:val="Style8"/>
                <w:rFonts w:eastAsia="Calibri" w:cs=""/>
                <w:i w:val="false"/>
                <w:iCs w:val="false"/>
                <w:kern w:val="0"/>
                <w:sz w:val="26"/>
                <w:szCs w:val="22"/>
                <w:shd w:fill="auto" w:val="clear"/>
                <w:lang w:val="ru-RU" w:eastAsia="en-US" w:bidi="ar-SA"/>
              </w:rPr>
              <w:t xml:space="preserve">Регламент ЭТП, в соответствии с которым проводится закупка, размещен по адресу: </w:t>
            </w:r>
            <w:hyperlink r:id="rId3" w:tgtFrame="https://tender.lot-online.ru/app/EtpDocList/page">
              <w:r>
                <w:rPr>
                  <w:rFonts w:eastAsia="Calibri" w:cs=""/>
                  <w:i w:val="false"/>
                  <w:iCs w:val="false"/>
                  <w:kern w:val="0"/>
                  <w:sz w:val="26"/>
                  <w:szCs w:val="22"/>
                  <w:shd w:fill="auto" w:val="clear"/>
                  <w:lang w:val="ru-RU" w:eastAsia="en-US" w:bidi="ar-SA"/>
                </w:rPr>
                <w:t>https://tender.lot-online.ru/app/EtpDocList/page</w:t>
              </w:r>
            </w:hyperlink>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Участники:</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8"/>
              <w:widowControl/>
              <w:suppressAutoHyphens w:val="true"/>
              <w:spacing w:before="60" w:after="60"/>
              <w:rPr/>
            </w:pPr>
            <w:r>
              <w:rPr>
                <w:rFonts w:eastAsia="Calibri" w:c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6"/>
                  <w:szCs w:val="22"/>
                  <w:lang w:val="ru-RU" w:eastAsia="en-US" w:bidi="ar-SA"/>
                </w:rPr>
                <w:t>Проекта Договора (Приложение № 2)</w:t>
              </w:r>
            </w:hyperlink>
            <w:r>
              <w:rPr>
                <w:rFonts w:eastAsia="Calibri" w:c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Заказчик:</w:t>
            </w:r>
          </w:p>
        </w:tc>
        <w:tc>
          <w:tcPr>
            <w:tcW w:w="5813" w:type="dxa"/>
            <w:tcBorders/>
          </w:tcPr>
          <w:p>
            <w:pPr>
              <w:pStyle w:val="Tableheader"/>
              <w:widowControl w:val="false"/>
              <w:suppressAutoHyphens w:val="true"/>
              <w:snapToGrid w:val="false"/>
              <w:spacing w:before="0" w:after="0"/>
              <w:rPr>
                <w:b w:val="false"/>
                <w:sz w:val="26"/>
                <w:szCs w:val="26"/>
              </w:rPr>
            </w:pPr>
            <w:r>
              <w:rPr>
                <w:b w:val="false"/>
                <w:sz w:val="26"/>
                <w:szCs w:val="26"/>
              </w:rPr>
              <w:t xml:space="preserve">Наименование (полное и сокращенное): </w:t>
            </w:r>
            <w:r>
              <w:rPr>
                <w:i/>
                <w:sz w:val="26"/>
                <w:szCs w:val="26"/>
              </w:rPr>
              <w:t>АО «Дальневосточная распределительная сетевая компания»</w:t>
            </w:r>
            <w:r>
              <w:rPr>
                <w:sz w:val="26"/>
                <w:szCs w:val="26"/>
              </w:rPr>
              <w:t xml:space="preserve"> </w:t>
            </w:r>
            <w:r>
              <w:rPr>
                <w:b w:val="false"/>
                <w:sz w:val="26"/>
                <w:szCs w:val="26"/>
              </w:rPr>
              <w:t>(далее – АО «ДРСК»)</w:t>
            </w:r>
          </w:p>
          <w:p>
            <w:pPr>
              <w:pStyle w:val="Tableheader"/>
              <w:widowControl w:val="false"/>
              <w:suppressAutoHyphens w:val="true"/>
              <w:snapToGrid w:val="false"/>
              <w:spacing w:before="0" w:after="0"/>
              <w:rPr>
                <w:b w:val="false"/>
                <w:sz w:val="26"/>
                <w:szCs w:val="26"/>
              </w:rPr>
            </w:pPr>
            <w:r>
              <w:rPr>
                <w:b w:val="false"/>
                <w:sz w:val="26"/>
                <w:szCs w:val="26"/>
              </w:rPr>
              <w:t>Почтовый адрес/Место нахождения: 675004, Амурская обл., г. Благовещенск, ул. Шевченко, 32</w:t>
            </w:r>
          </w:p>
          <w:p>
            <w:pPr>
              <w:pStyle w:val="Tableheader"/>
              <w:widowControl w:val="false"/>
              <w:suppressAutoHyphens w:val="true"/>
              <w:snapToGrid w:val="false"/>
              <w:spacing w:before="0" w:after="0"/>
              <w:rPr>
                <w:b w:val="false"/>
                <w:sz w:val="26"/>
                <w:szCs w:val="26"/>
              </w:rPr>
            </w:pPr>
            <w:r>
              <w:rPr>
                <w:b w:val="false"/>
                <w:sz w:val="26"/>
                <w:szCs w:val="26"/>
              </w:rPr>
              <w:t>Адрес электронной почты:</w:t>
            </w:r>
            <w:r>
              <w:rPr>
                <w:b w:val="false"/>
                <w:sz w:val="24"/>
                <w:szCs w:val="24"/>
                <w:u w:val="single"/>
              </w:rPr>
              <w:t xml:space="preserve"> </w:t>
            </w:r>
            <w:hyperlink r:id="rId4">
              <w:r>
                <w:rPr>
                  <w:rStyle w:val="Hyperlink"/>
                  <w:b w:val="false"/>
                  <w:i w:val="false"/>
                  <w:caps w:val="false"/>
                  <w:smallCaps w:val="false"/>
                  <w:strike w:val="false"/>
                  <w:dstrike w:val="false"/>
                  <w:color w:val="005497"/>
                  <w:spacing w:val="0"/>
                  <w:sz w:val="26"/>
                  <w:szCs w:val="26"/>
                  <w:u w:val="single"/>
                  <w:effect w:val="none"/>
                  <w:shd w:fill="FFFFFF" w:val="clear"/>
                </w:rPr>
                <w:t>zayarnaya-gs@drsk.ru</w:t>
              </w:r>
            </w:hyperlink>
          </w:p>
          <w:p>
            <w:pPr>
              <w:pStyle w:val="Tableheader"/>
              <w:widowControl w:val="false"/>
              <w:suppressAutoHyphens w:val="true"/>
              <w:spacing w:before="0" w:after="0"/>
              <w:rPr/>
            </w:pPr>
            <w:r>
              <w:rPr>
                <w:rStyle w:val="Style8"/>
                <w:rFonts w:eastAsia="Calibri" w:cs=""/>
                <w:b w:val="false"/>
                <w:kern w:val="0"/>
                <w:sz w:val="26"/>
                <w:szCs w:val="26"/>
                <w:shd w:fill="FFFFFF" w:val="clear"/>
                <w:lang w:val="ru-RU" w:eastAsia="en-US" w:bidi="ar-SA"/>
              </w:rPr>
              <w:t>Контактный телефон: 8 (4162) 397-242</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w:t>
            </w:r>
          </w:p>
        </w:tc>
        <w:tc>
          <w:tcPr>
            <w:tcW w:w="5813" w:type="dxa"/>
            <w:tcBorders/>
          </w:tcPr>
          <w:p>
            <w:pPr>
              <w:pStyle w:val="Tableheader"/>
              <w:widowControl w:val="false"/>
              <w:suppressAutoHyphens w:val="true"/>
              <w:snapToGrid w:val="false"/>
              <w:spacing w:before="0" w:after="0"/>
              <w:rPr>
                <w:b w:val="false"/>
                <w:sz w:val="26"/>
                <w:szCs w:val="26"/>
              </w:rPr>
            </w:pPr>
            <w:r>
              <w:rPr>
                <w:b w:val="false"/>
                <w:sz w:val="26"/>
                <w:szCs w:val="26"/>
              </w:rPr>
              <w:t xml:space="preserve">Наименование (полное и сокращенное): </w:t>
            </w:r>
            <w:r>
              <w:rPr>
                <w:i/>
                <w:sz w:val="26"/>
                <w:szCs w:val="26"/>
              </w:rPr>
              <w:t>АО «Дальневосточная распределительная сетевая компания»</w:t>
            </w:r>
            <w:r>
              <w:rPr>
                <w:sz w:val="26"/>
                <w:szCs w:val="26"/>
              </w:rPr>
              <w:t xml:space="preserve"> </w:t>
            </w:r>
            <w:r>
              <w:rPr>
                <w:b w:val="false"/>
                <w:sz w:val="26"/>
                <w:szCs w:val="26"/>
              </w:rPr>
              <w:t>(далее – АО «ДРСК»)</w:t>
            </w:r>
          </w:p>
          <w:p>
            <w:pPr>
              <w:pStyle w:val="Tableheader"/>
              <w:widowControl w:val="false"/>
              <w:suppressAutoHyphens w:val="true"/>
              <w:snapToGrid w:val="false"/>
              <w:spacing w:before="0" w:after="0"/>
              <w:rPr>
                <w:b w:val="false"/>
                <w:sz w:val="26"/>
                <w:szCs w:val="26"/>
              </w:rPr>
            </w:pPr>
            <w:r>
              <w:rPr>
                <w:b w:val="false"/>
                <w:sz w:val="26"/>
                <w:szCs w:val="26"/>
              </w:rPr>
              <w:t>Почтовый адрес/Место нахождения: 675004, Амурская обл., г. Благовещенск, ул. Шевченко, 32</w:t>
            </w:r>
          </w:p>
          <w:p>
            <w:pPr>
              <w:pStyle w:val="Tableheader"/>
              <w:widowControl w:val="false"/>
              <w:suppressAutoHyphens w:val="true"/>
              <w:snapToGrid w:val="false"/>
              <w:spacing w:before="0" w:after="0"/>
              <w:rPr>
                <w:b w:val="false"/>
                <w:sz w:val="26"/>
                <w:szCs w:val="26"/>
              </w:rPr>
            </w:pPr>
            <w:r>
              <w:rPr>
                <w:b w:val="false"/>
                <w:sz w:val="26"/>
                <w:szCs w:val="26"/>
              </w:rPr>
              <w:t>Адрес электронной почты:</w:t>
            </w:r>
            <w:r>
              <w:rPr>
                <w:b w:val="false"/>
                <w:sz w:val="24"/>
                <w:szCs w:val="24"/>
                <w:u w:val="single"/>
              </w:rPr>
              <w:t xml:space="preserve"> </w:t>
            </w:r>
            <w:hyperlink r:id="rId5">
              <w:r>
                <w:rPr>
                  <w:rStyle w:val="Hyperlink"/>
                  <w:b w:val="false"/>
                  <w:i w:val="false"/>
                  <w:caps w:val="false"/>
                  <w:smallCaps w:val="false"/>
                  <w:strike w:val="false"/>
                  <w:dstrike w:val="false"/>
                  <w:color w:val="005497"/>
                  <w:spacing w:val="0"/>
                  <w:sz w:val="26"/>
                  <w:szCs w:val="26"/>
                  <w:u w:val="single"/>
                  <w:effect w:val="none"/>
                  <w:shd w:fill="FFFFFF" w:val="clear"/>
                </w:rPr>
                <w:t>zayarnaya-gs@drsk.ru</w:t>
              </w:r>
            </w:hyperlink>
          </w:p>
          <w:p>
            <w:pPr>
              <w:pStyle w:val="Tableheader"/>
              <w:widowControl w:val="false"/>
              <w:suppressAutoHyphens w:val="true"/>
              <w:spacing w:before="0" w:after="0"/>
              <w:rPr>
                <w:rFonts w:ascii="Times New Roman" w:hAnsi="Times New Roman" w:eastAsia="Calibri" w:cs=""/>
                <w:kern w:val="0"/>
                <w:sz w:val="26"/>
                <w:szCs w:val="22"/>
                <w:lang w:val="ru-RU" w:eastAsia="en-US" w:bidi="ar-SA"/>
              </w:rPr>
            </w:pPr>
            <w:r>
              <w:rPr>
                <w:rStyle w:val="Style8"/>
                <w:b w:val="false"/>
                <w:szCs w:val="26"/>
                <w:shd w:fill="FFFFFF" w:val="clear"/>
                <w:lang w:val="ru-RU"/>
              </w:rPr>
              <w:t>Контактный телефон: 8 (4162) 397-242</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Представитель Организатора:</w:t>
            </w:r>
          </w:p>
        </w:tc>
        <w:tc>
          <w:tcPr>
            <w:tcW w:w="5813" w:type="dxa"/>
            <w:tcBorders/>
          </w:tcPr>
          <w:p>
            <w:pPr>
              <w:pStyle w:val="Tableheader"/>
              <w:widowControl w:val="false"/>
              <w:suppressAutoHyphens w:val="true"/>
              <w:snapToGrid w:val="false"/>
              <w:spacing w:before="0" w:after="0"/>
              <w:rPr>
                <w:b w:val="false"/>
                <w:sz w:val="26"/>
                <w:szCs w:val="26"/>
              </w:rPr>
            </w:pPr>
            <w:r>
              <w:rPr>
                <w:b w:val="false"/>
                <w:sz w:val="26"/>
                <w:szCs w:val="26"/>
              </w:rPr>
              <w:t>Контактное лицо (Ф.И.О.): Заярная Галина Сергеевна, специалист 2 кат. отдела организации и проведения закупочных процедур</w:t>
            </w:r>
          </w:p>
          <w:p>
            <w:pPr>
              <w:pStyle w:val="Tableheader"/>
              <w:widowControl w:val="false"/>
              <w:suppressAutoHyphens w:val="true"/>
              <w:snapToGrid w:val="false"/>
              <w:spacing w:before="0" w:after="0"/>
              <w:rPr>
                <w:b w:val="false"/>
                <w:sz w:val="26"/>
                <w:szCs w:val="26"/>
              </w:rPr>
            </w:pPr>
            <w:r>
              <w:rPr>
                <w:b w:val="false"/>
                <w:sz w:val="26"/>
                <w:szCs w:val="26"/>
              </w:rPr>
              <w:t xml:space="preserve">Контактный телефон: 8 (4162) </w:t>
            </w:r>
            <w:r>
              <w:rPr>
                <w:rStyle w:val="Style8"/>
                <w:rFonts w:eastAsia="Calibri" w:cs=""/>
                <w:b w:val="false"/>
                <w:kern w:val="0"/>
                <w:sz w:val="26"/>
                <w:szCs w:val="26"/>
                <w:shd w:fill="FFFFFF" w:val="clear"/>
                <w:lang w:val="ru-RU" w:eastAsia="en-US" w:bidi="ar-SA"/>
              </w:rPr>
              <w:t>397-242</w:t>
            </w:r>
          </w:p>
          <w:p>
            <w:pPr>
              <w:pStyle w:val="Tableheader"/>
              <w:widowControl w:val="false"/>
              <w:suppressAutoHyphens w:val="true"/>
              <w:spacing w:before="0" w:after="0"/>
              <w:rPr>
                <w:rStyle w:val="Style19"/>
                <w:i w:val="false"/>
                <w:i w:val="false"/>
                <w:sz w:val="24"/>
                <w:szCs w:val="26"/>
                <w:shd w:fill="auto" w:val="clear"/>
              </w:rPr>
            </w:pPr>
            <w:r>
              <w:rPr>
                <w:rStyle w:val="Hyperlink"/>
                <w:b w:val="false"/>
                <w:color w:val="000000"/>
                <w:szCs w:val="26"/>
                <w:u w:val="none"/>
              </w:rPr>
              <w:t>Адрес электронной почты:</w:t>
            </w:r>
            <w:r>
              <w:rPr>
                <w:rStyle w:val="Hyperlink"/>
                <w:b w:val="false"/>
                <w:szCs w:val="26"/>
              </w:rPr>
              <w:t xml:space="preserve"> </w:t>
            </w:r>
            <w:hyperlink r:id="rId6">
              <w:r>
                <w:rPr>
                  <w:rStyle w:val="Hyperlink"/>
                  <w:b w:val="false"/>
                  <w:i w:val="false"/>
                  <w:caps w:val="false"/>
                  <w:smallCaps w:val="false"/>
                  <w:strike w:val="false"/>
                  <w:dstrike w:val="false"/>
                  <w:color w:val="005497"/>
                  <w:spacing w:val="0"/>
                  <w:szCs w:val="26"/>
                  <w:u w:val="single"/>
                  <w:effect w:val="none"/>
                  <w:shd w:fill="FFFFFF" w:val="clear"/>
                </w:rPr>
                <w:t>zayarnaya-gs@drsk.ru</w:t>
              </w:r>
            </w:hyperlink>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размещения Извещения о проведении закупки:</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«14» сентября 2026 г.</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Начальная (максимальная) цена договора (цена лота):</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 xml:space="preserve">НМЦ составляет </w:t>
            </w:r>
            <w:r>
              <w:rPr/>
              <w:t>17 943 623,33</w:t>
            </w:r>
            <w:r>
              <w:rPr>
                <w:rFonts w:eastAsia="Calibri" w:cs=""/>
                <w:kern w:val="0"/>
                <w:sz w:val="26"/>
                <w:szCs w:val="22"/>
                <w:lang w:val="ru-RU" w:eastAsia="en-US" w:bidi="ar-SA"/>
              </w:rPr>
              <w:t> руб., без учета НДС.</w:t>
            </w:r>
          </w:p>
          <w:p>
            <w:pPr>
              <w:pStyle w:val="Style28"/>
              <w:widowControl/>
              <w:suppressAutoHyphens w:val="true"/>
              <w:spacing w:before="60" w:after="60"/>
              <w:rPr/>
            </w:pPr>
            <w:r>
              <w:rPr>
                <w:rFonts w:eastAsia="Calibri" w:cs=""/>
                <w:kern w:val="0"/>
                <w:sz w:val="26"/>
                <w:szCs w:val="22"/>
                <w:lang w:val="ru-RU" w:eastAsia="en-US" w:bidi="ar-SA"/>
              </w:rPr>
              <w:t xml:space="preserve">Обоснование НМЦ представлено в </w:t>
            </w:r>
            <w:hyperlink w:anchor="Прил09_ОбоснованиеНМЦ">
              <w:r>
                <w:rPr>
                  <w:rStyle w:val="Style11"/>
                  <w:rFonts w:eastAsia="Calibri" w:cs=""/>
                  <w:kern w:val="0"/>
                  <w:sz w:val="26"/>
                  <w:szCs w:val="22"/>
                  <w:lang w:val="ru-RU" w:eastAsia="en-US" w:bidi="ar-SA"/>
                </w:rPr>
                <w:t>Приложении № 9</w:t>
              </w:r>
            </w:hyperlink>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 заявки на участие в закупке:</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8"/>
              <w:widowControl/>
              <w:suppressAutoHyphens w:val="true"/>
              <w:spacing w:before="60" w:after="60"/>
              <w:rPr/>
            </w:pPr>
            <w:r>
              <w:rPr>
                <w:rStyle w:val="Style8"/>
                <w:rFonts w:eastAsia="Calibri" w:cs=""/>
                <w:i/>
                <w:iCs/>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Требования</w:t>
              <w:br/>
              <w:t>к описанию продукции:</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Подробное предложение Участника в отношении поставляемой продукции, включая функциональные характеристики (потребительские свойства), количественные и качественные характеристики продукции по параметрам эквивалентности,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 по установленной форме Технического предложения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Применение законодательства о национальном режиме:</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Установлен режим ограничения закупки иностранной продукции (или ее части).</w:t>
            </w:r>
          </w:p>
          <w:p>
            <w:pPr>
              <w:pStyle w:val="Style28"/>
              <w:widowControl/>
              <w:suppressAutoHyphens w:val="true"/>
              <w:spacing w:before="60" w:after="60"/>
              <w:rPr/>
            </w:pPr>
            <w:r>
              <w:rPr>
                <w:rFonts w:eastAsia="Calibri" w:cs=""/>
                <w:kern w:val="0"/>
                <w:sz w:val="26"/>
                <w:szCs w:val="22"/>
                <w:lang w:val="ru-RU" w:eastAsia="en-US" w:bidi="ar-SA"/>
              </w:rPr>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533737"/>
            <w:bookmarkStart w:id="37" w:name="_Ref125533737"/>
            <w:bookmarkEnd w:id="37"/>
          </w:p>
        </w:tc>
        <w:tc>
          <w:tcPr>
            <w:tcW w:w="2973" w:type="dxa"/>
            <w:tcBorders/>
          </w:tcPr>
          <w:p>
            <w:pPr>
              <w:pStyle w:val="Normal"/>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Дополнительный этап закупки – Предзаявочное обсуждение:</w:t>
            </w:r>
          </w:p>
          <w:p>
            <w:pPr>
              <w:pStyle w:val="Normal"/>
              <w:widowControl/>
              <w:suppressAutoHyphens w:val="true"/>
              <w:spacing w:before="60" w:after="60"/>
              <w:jc w:val="left"/>
              <w:rPr>
                <w:i/>
                <w:i/>
                <w:iCs/>
                <w:sz w:val="22"/>
              </w:rPr>
            </w:pPr>
            <w:r>
              <w:rPr>
                <w:rFonts w:eastAsia="Calibri" w:cs=""/>
                <w:i/>
                <w:iCs/>
                <w:kern w:val="0"/>
                <w:sz w:val="22"/>
                <w:szCs w:val="22"/>
                <w:lang w:val="ru-RU" w:eastAsia="en-US" w:bidi="ar-SA"/>
              </w:rPr>
              <w:t>(проведение в срок до окончания срока подачи заявок Заказчиком обсуждения с Участниками функциональных характеристик (потребительских свойств) продукции и иных условий исполнения договора в целях уточнения в Извещении, Документации о закупке, проекте договора требуемых характеристик (потребительских свойств) закупаемой продукции)</w:t>
            </w:r>
          </w:p>
        </w:tc>
        <w:tc>
          <w:tcPr>
            <w:tcW w:w="5813" w:type="dxa"/>
            <w:tcBorders/>
          </w:tcPr>
          <w:p>
            <w:pPr>
              <w:pStyle w:val="Style28"/>
              <w:widowControl/>
              <w:suppressAutoHyphens w:val="true"/>
              <w:spacing w:before="60" w:after="60"/>
              <w:rPr>
                <w:szCs w:val="26"/>
              </w:rPr>
            </w:pPr>
            <w:r>
              <w:rPr>
                <w:rFonts w:eastAsia="Calibri" w:cs=""/>
                <w:kern w:val="0"/>
                <w:sz w:val="26"/>
                <w:szCs w:val="26"/>
                <w:lang w:val="ru-RU" w:eastAsia="en-US" w:bidi="ar-SA"/>
              </w:rPr>
              <w:t>Не предусмотрен.</w:t>
            </w:r>
          </w:p>
          <w:p>
            <w:pPr>
              <w:pStyle w:val="Style31"/>
              <w:widowControl/>
              <w:suppressAutoHyphens w:val="true"/>
              <w:spacing w:before="60" w:after="60"/>
              <w:rPr>
                <w:szCs w:val="26"/>
              </w:rPr>
            </w:pPr>
            <w:r>
              <w:rPr>
                <w:szCs w:val="26"/>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32896648"/>
            <w:bookmarkStart w:id="39" w:name="_Ref132896648"/>
            <w:bookmarkEnd w:id="39"/>
          </w:p>
        </w:tc>
        <w:tc>
          <w:tcPr>
            <w:tcW w:w="2973" w:type="dxa"/>
            <w:tcBorders/>
          </w:tcPr>
          <w:p>
            <w:pPr>
              <w:pStyle w:val="Normal"/>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Дополнительный этап закупки – Обсуждение заявок:</w:t>
            </w:r>
          </w:p>
          <w:p>
            <w:pPr>
              <w:pStyle w:val="Normal"/>
              <w:widowControl/>
              <w:suppressAutoHyphens w:val="true"/>
              <w:spacing w:before="60" w:after="60"/>
              <w:jc w:val="left"/>
              <w:rPr>
                <w:i/>
                <w:i/>
                <w:iCs/>
                <w:sz w:val="22"/>
              </w:rPr>
            </w:pPr>
            <w:r>
              <w:rPr>
                <w:rFonts w:eastAsia="Calibri" w:cs=""/>
                <w:i/>
                <w:iCs/>
                <w:kern w:val="0"/>
                <w:sz w:val="22"/>
                <w:szCs w:val="22"/>
                <w:lang w:val="ru-RU" w:eastAsia="en-US" w:bidi="ar-SA"/>
              </w:rPr>
              <w:t>(обсуждение Заказчиком предложений о функциональных характеристиках (потребительских свойствах) продукции и об иных условиях исполнения договора, содержащихся в заявках Участников, в целях уточнения в Извещении, Документации о закупке, проекте договора требуемых характеристик (потребительских свойств) закупаемой продукции)</w:t>
            </w:r>
          </w:p>
        </w:tc>
        <w:tc>
          <w:tcPr>
            <w:tcW w:w="5813" w:type="dxa"/>
            <w:tcBorders/>
          </w:tcPr>
          <w:p>
            <w:pPr>
              <w:pStyle w:val="Style28"/>
              <w:widowControl/>
              <w:suppressAutoHyphens w:val="true"/>
              <w:spacing w:before="60" w:after="60"/>
              <w:rPr>
                <w:szCs w:val="26"/>
              </w:rPr>
            </w:pPr>
            <w:r>
              <w:rPr>
                <w:rFonts w:eastAsia="Calibri" w:cs=""/>
                <w:kern w:val="0"/>
                <w:sz w:val="26"/>
                <w:szCs w:val="26"/>
                <w:lang w:val="ru-RU" w:eastAsia="en-US" w:bidi="ar-SA"/>
              </w:rPr>
              <w:t>Не предусмотрен.</w:t>
            </w:r>
          </w:p>
          <w:p>
            <w:pPr>
              <w:pStyle w:val="Style31"/>
              <w:widowControl/>
              <w:suppressAutoHyphens w:val="true"/>
              <w:spacing w:before="60" w:after="60"/>
              <w:rPr>
                <w:szCs w:val="26"/>
              </w:rPr>
            </w:pPr>
            <w:r>
              <w:rPr>
                <w:szCs w:val="26"/>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5086"/>
            <w:bookmarkStart w:id="41" w:name="_Ref125475086"/>
            <w:bookmarkEnd w:id="41"/>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и порядок</w:t>
              <w:br/>
              <w:t>подачи заявок:</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Заявки подаются посредством функционала ЭП, по адресу ЭП, указанному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должна состоять из двух частей и ценового предложения.</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0779"/>
            <w:bookmarkStart w:id="43" w:name="_Ref125360779"/>
            <w:bookmarkEnd w:id="43"/>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дата и время окончания срока подачи заявок (окончательных предложений):</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подачи заявок:</w:t>
            </w:r>
          </w:p>
          <w:p>
            <w:pPr>
              <w:pStyle w:val="Style28"/>
              <w:widowControl/>
              <w:suppressAutoHyphens w:val="true"/>
              <w:spacing w:before="60" w:after="60"/>
              <w:rPr/>
            </w:pPr>
            <w:r>
              <w:rPr>
                <w:rFonts w:eastAsia="Calibri" w:cs=""/>
                <w:kern w:val="0"/>
                <w:sz w:val="26"/>
                <w:szCs w:val="22"/>
                <w:lang w:val="ru-RU" w:eastAsia="en-US" w:bidi="ar-SA"/>
              </w:rPr>
              <w:t>«14» сентября 2026 г.</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подачи заявок (окончательных предложений):</w:t>
            </w:r>
          </w:p>
          <w:p>
            <w:pPr>
              <w:pStyle w:val="Style28"/>
              <w:widowControl/>
              <w:suppressAutoHyphens w:val="true"/>
              <w:spacing w:before="60" w:after="60"/>
              <w:rPr/>
            </w:pPr>
            <w:r>
              <w:rPr>
                <w:rFonts w:eastAsia="Calibri" w:cs=""/>
                <w:kern w:val="0"/>
                <w:sz w:val="26"/>
                <w:szCs w:val="22"/>
                <w:lang w:val="ru-RU" w:eastAsia="en-US" w:bidi="ar-SA"/>
              </w:rPr>
              <w:t>«22» сентября 2026 г. в 15 ч. 00 мин.(по местному времени Организатора).</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Если в пункте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_Ref125533737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1.2.16</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xml:space="preserve"> или в пункте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_Ref132896648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1.2.17</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xml:space="preserve"> предусмотрено соответственно проведение Предзаявочного обсуждения или Обсуждения заявок, и по результатам проведения соответствующего обсуждения Заказчиком будет принято решение о необходимости уточнения функциональных характеристик (потребительских свойств) закупаемой продукции, иных условий исполнения договора, Организатор вправе, при необходимости, изменить данный срок для подачи окончательных предложений Участников</w:t>
            </w:r>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предоставления Участникам разъяснений Документации о закупке:</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предоставления разъяснений:</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«22» сентября 2026 г. в 15 ч. 00 мин.(по местному времени Организатора).</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8"/>
              <w:widowControl/>
              <w:suppressAutoHyphens w:val="true"/>
              <w:spacing w:before="60" w:after="60"/>
              <w:rPr>
                <w:rFonts w:ascii="Times New Roman" w:hAnsi="Times New Roman" w:eastAsia="Calibri" w:cs=""/>
                <w:i/>
                <w:i/>
                <w:iCs/>
                <w:kern w:val="0"/>
                <w:sz w:val="26"/>
                <w:szCs w:val="22"/>
                <w:lang w:val="ru-RU" w:eastAsia="en-US" w:bidi="ar-SA"/>
              </w:rPr>
            </w:pPr>
            <w:r>
              <w:rPr>
                <w:rFonts w:eastAsia="Calibri" w:cs=""/>
                <w:i/>
                <w:iC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_Ref125360779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1.2.19</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25476197"/>
            <w:bookmarkStart w:id="45" w:name="_Ref125476197"/>
            <w:bookmarkEnd w:id="45"/>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открытия</w:t>
              <w:br/>
              <w:t>доступа к заявкам:</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33"/>
            <w:bookmarkStart w:id="47" w:name="_Ref125362733"/>
            <w:bookmarkEnd w:id="47"/>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первых частей заявок (первых частей заявок, содержащихся в окончательных предложениях):</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«29» сентября 2026 г.</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 (первых частей заявок, содержащихся в окончательных предложениях).</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32898515"/>
            <w:bookmarkStart w:id="49" w:name="_Ref132898515"/>
            <w:bookmarkEnd w:id="49"/>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вторых частей заявок и ценовых предложений:</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«12» октября 2026 г.</w:t>
            </w:r>
          </w:p>
          <w:p>
            <w:pPr>
              <w:pStyle w:val="Style28"/>
              <w:widowControl/>
              <w:suppressAutoHyphens w:val="true"/>
              <w:spacing w:before="60" w:after="60"/>
              <w:rPr>
                <w:rStyle w:val="Style8"/>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Дополнительный этап закупки – Переторжка (подача дополнительных ценовых предложений):</w:t>
            </w:r>
          </w:p>
        </w:tc>
        <w:tc>
          <w:tcPr>
            <w:tcW w:w="5813" w:type="dxa"/>
            <w:tcBorders/>
          </w:tcPr>
          <w:p>
            <w:pPr>
              <w:pStyle w:val="Style28"/>
              <w:widowControl/>
              <w:suppressAutoHyphens w:val="true"/>
              <w:spacing w:before="60" w:after="60"/>
              <w:rPr>
                <w:szCs w:val="26"/>
              </w:rPr>
            </w:pPr>
            <w:r>
              <w:rPr>
                <w:rFonts w:eastAsia="Calibri" w:cs=""/>
                <w:kern w:val="0"/>
                <w:sz w:val="26"/>
                <w:szCs w:val="26"/>
                <w:lang w:val="ru-RU" w:eastAsia="en-US" w:bidi="ar-SA"/>
              </w:rPr>
              <w:t>Не предусмотрен.</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2757"/>
            <w:bookmarkStart w:id="51" w:name="_Ref125362757"/>
            <w:bookmarkEnd w:id="51"/>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подведения</w:t>
              <w:br/>
              <w:t>итогов закупки:</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«13» октября 2026 г.</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047"/>
            <w:bookmarkStart w:id="53" w:name="_Ref125366047"/>
            <w:bookmarkEnd w:id="53"/>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предоставляется.</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1769"/>
            <w:bookmarkStart w:id="55" w:name="_Ref125361769"/>
            <w:bookmarkEnd w:id="55"/>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предусмотрено.</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Порядок подведения итогов закупки:</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6606"/>
            <w:bookmarkStart w:id="57" w:name="_Ref125366606"/>
            <w:bookmarkEnd w:id="57"/>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Количество победителей закупки (в рамках одного лота):</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Один победитель.</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8" w:name="_Ref125366813"/>
            <w:bookmarkStart w:id="59" w:name="_Ref125366813"/>
            <w:bookmarkEnd w:id="59"/>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3" w:type="dxa"/>
            <w:tcBorders/>
          </w:tcPr>
          <w:p>
            <w:pPr>
              <w:pStyle w:val="Tableheader"/>
              <w:widowControl w:val="false"/>
              <w:suppressAutoHyphens w:val="true"/>
              <w:snapToGrid w:val="false"/>
              <w:spacing w:before="0" w:after="0"/>
              <w:rPr>
                <w:sz w:val="26"/>
                <w:szCs w:val="26"/>
              </w:rPr>
            </w:pPr>
            <w:r>
              <w:rPr>
                <w:b w:val="false"/>
                <w:sz w:val="26"/>
                <w:szCs w:val="26"/>
              </w:rPr>
              <w:t xml:space="preserve">Почтовый адрес: 675004, г. Благовещенск, ул. Шевченко, 32. </w:t>
            </w:r>
          </w:p>
          <w:p>
            <w:pPr>
              <w:pStyle w:val="Tableheader"/>
              <w:widowControl w:val="false"/>
              <w:suppressAutoHyphens w:val="true"/>
              <w:spacing w:before="0" w:after="0"/>
              <w:rPr/>
            </w:pPr>
            <w:r>
              <w:rPr>
                <w:rStyle w:val="Style8"/>
                <w:rFonts w:eastAsia="Calibri" w:cs=""/>
                <w:b w:val="false"/>
                <w:i w:val="false"/>
                <w:iCs w:val="false"/>
                <w:kern w:val="0"/>
                <w:sz w:val="26"/>
                <w:szCs w:val="26"/>
                <w:shd w:fill="FFFFFF" w:val="clear"/>
                <w:lang w:eastAsia="en-US" w:bidi="ar-SA"/>
              </w:rPr>
              <w:t>Контактное лицо для приема документов (Ф.И.О.): Ярый В.С. - ведущий специалист СЭБ АО «ДРСК»;</w:t>
            </w:r>
          </w:p>
          <w:p>
            <w:pPr>
              <w:pStyle w:val="Tableheader"/>
              <w:widowControl w:val="false"/>
              <w:suppressAutoHyphens w:val="true"/>
              <w:spacing w:before="0" w:after="0"/>
              <w:rPr/>
            </w:pPr>
            <w:r>
              <w:rPr>
                <w:rStyle w:val="Style8"/>
                <w:b w:val="false"/>
                <w:i w:val="false"/>
                <w:iCs w:val="false"/>
                <w:szCs w:val="26"/>
                <w:shd w:fill="FFFFFF" w:val="clear"/>
              </w:rPr>
              <w:t>Телефон: (4162) 397-325</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60" w:name="_Ref125368490"/>
            <w:bookmarkStart w:id="61" w:name="_Ref125368490"/>
            <w:bookmarkEnd w:id="61"/>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Некритичные пункты Проекта договора:</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Отсутствуют.</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w:t>
              <w:br/>
              <w:t>исполнения Договора:</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8"/>
              <w:widowControl/>
              <w:suppressAutoHyphens w:val="true"/>
              <w:spacing w:before="60" w:after="60"/>
              <w:rPr/>
            </w:pPr>
            <w:r>
              <w:rPr>
                <w:rFonts w:eastAsia="Calibri" w:cs=""/>
                <w:kern w:val="0"/>
                <w:sz w:val="26"/>
                <w:szCs w:val="22"/>
                <w:lang w:val="ru-RU" w:eastAsia="en-US" w:bidi="ar-SA"/>
              </w:rPr>
              <w:t xml:space="preserve">Иные требования к обеспечению исполнения Договора приведены в </w:t>
            </w:r>
            <w:hyperlink w:anchor="Прил02_ПроектДоговора">
              <w:r>
                <w:rPr>
                  <w:rStyle w:val="Style11"/>
                  <w:rFonts w:eastAsia="Calibri" w:cs=""/>
                  <w:kern w:val="0"/>
                  <w:sz w:val="26"/>
                  <w:szCs w:val="22"/>
                  <w:lang w:val="ru-RU" w:eastAsia="en-US" w:bidi="ar-SA"/>
                </w:rPr>
                <w:t>Приложении № 2</w:t>
              </w:r>
            </w:hyperlink>
            <w:r>
              <w:rPr>
                <w:rFonts w:eastAsia="Calibri" w:cs=""/>
                <w:kern w:val="0"/>
                <w:sz w:val="26"/>
                <w:szCs w:val="22"/>
                <w:lang w:val="ru-RU" w:eastAsia="en-US" w:bidi="ar-SA"/>
              </w:rPr>
              <w:t>.</w:t>
            </w:r>
          </w:p>
        </w:tc>
      </w:tr>
    </w:tbl>
    <w:p>
      <w:pPr>
        <w:pStyle w:val="Style22"/>
        <w:rPr/>
      </w:pPr>
      <w:bookmarkStart w:id="62" w:name="_Toc228876838"/>
      <w:bookmarkStart w:id="63" w:name="_Ref125360337"/>
      <w:bookmarkStart w:id="64" w:name="_Ref125360073"/>
      <w:r>
        <w:rPr/>
        <w:t>Общие положения</w:t>
      </w:r>
      <w:bookmarkEnd w:id="62"/>
      <w:bookmarkEnd w:id="63"/>
      <w:bookmarkEnd w:id="64"/>
    </w:p>
    <w:p>
      <w:pPr>
        <w:pStyle w:val="Style23"/>
        <w:rPr/>
      </w:pPr>
      <w:bookmarkStart w:id="65" w:name="_Toc228876839"/>
      <w:r>
        <w:rPr/>
        <w:t>Общие сведения о закупке</w:t>
      </w:r>
      <w:bookmarkEnd w:id="65"/>
    </w:p>
    <w:p>
      <w:pPr>
        <w:pStyle w:val="Style24"/>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4"/>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4"/>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4"/>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3"/>
        <w:rPr/>
      </w:pPr>
      <w:bookmarkStart w:id="66" w:name="_Toc228876840"/>
      <w:r>
        <w:rPr/>
        <w:t>Правовой статус документов</w:t>
      </w:r>
      <w:bookmarkEnd w:id="66"/>
    </w:p>
    <w:p>
      <w:pPr>
        <w:pStyle w:val="Style24"/>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4"/>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4"/>
        <w:keepNext w:val="true"/>
        <w:rPr/>
      </w:pPr>
      <w:bookmarkStart w:id="67"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7"/>
      <w:r>
        <w:rPr/>
        <w:t>.</w:t>
      </w:r>
    </w:p>
    <w:p>
      <w:pPr>
        <w:pStyle w:val="Style24"/>
        <w:rPr/>
      </w:pPr>
      <w:r>
        <w:rPr/>
        <w:t>Заключенный по результатам закупки Договор, в том числе, фиксирует все достигнутые сторонами договоренности.</w:t>
      </w:r>
    </w:p>
    <w:p>
      <w:pPr>
        <w:pStyle w:val="Style24"/>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4"/>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4"/>
        <w:rPr/>
      </w:pPr>
      <w:r>
        <w:rPr/>
        <w:t>Иные документы Организатора и Участников не определяют права и обязанности сторон в связи с данной закупкой.</w:t>
      </w:r>
    </w:p>
    <w:p>
      <w:pPr>
        <w:pStyle w:val="Style24"/>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3"/>
        <w:rPr/>
      </w:pPr>
      <w:bookmarkStart w:id="68" w:name="_Toc228876841"/>
      <w:bookmarkStart w:id="69" w:name="_Ref125363536"/>
      <w:r>
        <w:rPr/>
        <w:t>Обжалование</w:t>
      </w:r>
      <w:bookmarkEnd w:id="68"/>
      <w:bookmarkEnd w:id="69"/>
    </w:p>
    <w:p>
      <w:pPr>
        <w:pStyle w:val="Style24"/>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4"/>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4"/>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5"/>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5"/>
        <w:rPr/>
      </w:pPr>
      <w:r>
        <w:rPr/>
        <w:t>признать заявление Участника необоснованным.</w:t>
      </w:r>
    </w:p>
    <w:p>
      <w:pPr>
        <w:pStyle w:val="Style24"/>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4"/>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5"/>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5"/>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0" w:name="_Hlk219301278"/>
      <w:bookmarkStart w:id="71" w:name="_Hlk219296876"/>
      <w:r>
        <w:rPr/>
        <w:t>Красноярского края</w:t>
      </w:r>
      <w:bookmarkEnd w:id="70"/>
      <w:bookmarkEnd w:id="71"/>
      <w:r>
        <w:rPr/>
        <w:t>.</w:t>
      </w:r>
    </w:p>
    <w:p>
      <w:pPr>
        <w:pStyle w:val="Style28"/>
        <w:ind w:left="1134"/>
        <w:rPr/>
      </w:pPr>
      <w:r>
        <w:rPr/>
        <w:t>Закупочная комиссия определяется в соответствии с Положением о закупке.</w:t>
      </w:r>
    </w:p>
    <w:p>
      <w:pPr>
        <w:pStyle w:val="Style23"/>
        <w:rPr/>
      </w:pPr>
      <w:bookmarkStart w:id="72" w:name="_Toc228876842"/>
      <w:r>
        <w:rPr/>
        <w:t>Особые положения при проведении закупки с использованием ЭП</w:t>
      </w:r>
      <w:bookmarkEnd w:id="72"/>
    </w:p>
    <w:p>
      <w:pPr>
        <w:pStyle w:val="Style24"/>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4"/>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4"/>
        <w:rPr/>
      </w:pPr>
      <w:r>
        <w:rPr/>
        <w:t>Правила проведения закупки в том числе определяются Регламентом ЭП.</w:t>
      </w:r>
    </w:p>
    <w:p>
      <w:pPr>
        <w:pStyle w:val="Style24"/>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4"/>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3"/>
        <w:rPr/>
      </w:pPr>
      <w:bookmarkStart w:id="73" w:name="_Toc228876843"/>
      <w:r>
        <w:rPr/>
        <w:t>Прочие положения</w:t>
      </w:r>
      <w:bookmarkEnd w:id="73"/>
    </w:p>
    <w:p>
      <w:pPr>
        <w:pStyle w:val="Style24"/>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4"/>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4"/>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2"/>
        <w:rPr/>
      </w:pPr>
      <w:bookmarkStart w:id="74" w:name="_Toc228876844"/>
      <w:bookmarkStart w:id="75" w:name="_Ref125361210"/>
      <w:r>
        <w:rPr/>
        <w:t>Требования к Участникам</w:t>
      </w:r>
      <w:bookmarkEnd w:id="74"/>
      <w:bookmarkEnd w:id="75"/>
    </w:p>
    <w:p>
      <w:pPr>
        <w:pStyle w:val="Style23"/>
        <w:rPr/>
      </w:pPr>
      <w:bookmarkStart w:id="76" w:name="_Toc228876845"/>
      <w:bookmarkStart w:id="77" w:name="_Ref127524530"/>
      <w:r>
        <w:rPr/>
        <w:t>Общие требования к Участникам</w:t>
      </w:r>
      <w:bookmarkEnd w:id="76"/>
      <w:bookmarkEnd w:id="77"/>
    </w:p>
    <w:p>
      <w:pPr>
        <w:pStyle w:val="Style24"/>
        <w:rPr/>
      </w:pPr>
      <w:bookmarkStart w:id="78"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8"/>
    </w:p>
    <w:p>
      <w:pPr>
        <w:pStyle w:val="Style24"/>
        <w:rPr/>
      </w:pPr>
      <w:r>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24"/>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4"/>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5"/>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5"/>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4"/>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4"/>
        <w:rPr/>
      </w:pPr>
      <w:bookmarkStart w:id="79" w:name="_Ref125361976"/>
      <w:bookmarkStart w:id="80" w:name="_Ref125361969"/>
      <w:bookmarkEnd w:id="79"/>
      <w:bookmarkEnd w:id="80"/>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81" w:name="_Hlk132706049"/>
      <w:r>
        <w:rPr/>
        <w:t>если иное не установлено в Документации о закупке</w:t>
      </w:r>
      <w:bookmarkEnd w:id="81"/>
      <w:r>
        <w:rPr/>
        <w:t>.</w:t>
      </w:r>
    </w:p>
    <w:p>
      <w:pPr>
        <w:pStyle w:val="Style23"/>
        <w:rPr/>
      </w:pPr>
      <w:bookmarkStart w:id="82" w:name="_Toc228876846"/>
      <w:bookmarkStart w:id="83" w:name="_Ref125361702"/>
      <w:bookmarkStart w:id="84" w:name="_Ref125361976_Копия_1"/>
      <w:bookmarkStart w:id="85" w:name="_Ref125361969_Копия_1"/>
      <w:bookmarkEnd w:id="84"/>
      <w:bookmarkEnd w:id="85"/>
      <w:r>
        <w:rPr/>
        <w:t>Генеральные подрядчики</w:t>
      </w:r>
      <w:bookmarkEnd w:id="82"/>
      <w:bookmarkEnd w:id="83"/>
    </w:p>
    <w:p>
      <w:pPr>
        <w:pStyle w:val="Style24"/>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24"/>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4"/>
        <w:keepNext w:val="true"/>
        <w:rPr/>
      </w:pPr>
      <w:r>
        <w:rPr/>
        <w:t>Генеральный подрядчик:</w:t>
      </w:r>
    </w:p>
    <w:p>
      <w:pPr>
        <w:pStyle w:val="Style25"/>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5"/>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5"/>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4"/>
        <w:keepNext w:val="true"/>
        <w:rPr/>
      </w:pPr>
      <w:r>
        <w:rPr/>
        <w:t>Каждый субподрядчик из привлекаемых Генеральным подрядчиком должен отвечать:</w:t>
      </w:r>
    </w:p>
    <w:p>
      <w:pPr>
        <w:pStyle w:val="Style25"/>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5"/>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8"/>
        <w:ind w:left="1134"/>
        <w:rPr/>
      </w:pPr>
      <w:bookmarkStart w:id="86"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6"/>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4"/>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4"/>
        <w:rPr/>
      </w:pPr>
      <w:bookmarkStart w:id="87"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7"/>
    </w:p>
    <w:p>
      <w:pPr>
        <w:sectPr>
          <w:headerReference w:type="default" r:id="rId7"/>
          <w:footerReference w:type="defaul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4"/>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2"/>
        <w:rPr/>
      </w:pPr>
      <w:bookmarkStart w:id="88" w:name="_Toc228876847"/>
      <w:bookmarkStart w:id="89" w:name="_Ref125367974"/>
      <w:bookmarkStart w:id="90" w:name="_Ref125367107"/>
      <w:bookmarkStart w:id="91" w:name="_Ref125367098"/>
      <w:bookmarkStart w:id="92" w:name="_Ref125361211"/>
      <w:r>
        <w:rPr/>
        <w:t>Порядок проведения закупки</w:t>
      </w:r>
      <w:bookmarkEnd w:id="88"/>
      <w:bookmarkEnd w:id="89"/>
      <w:bookmarkEnd w:id="90"/>
      <w:bookmarkEnd w:id="91"/>
      <w:bookmarkEnd w:id="92"/>
    </w:p>
    <w:p>
      <w:pPr>
        <w:pStyle w:val="Style23"/>
        <w:rPr/>
      </w:pPr>
      <w:bookmarkStart w:id="93" w:name="_Toc228876848"/>
      <w:bookmarkStart w:id="94" w:name="_Ref126141932"/>
      <w:r>
        <w:rPr/>
        <w:t>Общий порядок проведения закупки</w:t>
      </w:r>
      <w:bookmarkEnd w:id="93"/>
      <w:bookmarkEnd w:id="94"/>
    </w:p>
    <w:p>
      <w:pPr>
        <w:pStyle w:val="Style24"/>
        <w:keepNext w:val="true"/>
        <w:spacing w:before="120" w:after="12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372"/>
        <w:gridCol w:w="2042"/>
        <w:gridCol w:w="1177"/>
        <w:gridCol w:w="3217"/>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28"/>
              <w:keepNext w:val="true"/>
              <w:keepLines w:val="false"/>
              <w:widowControl/>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28"/>
              <w:keepNext w:val="true"/>
              <w:keepLines w:val="false"/>
              <w:widowControl/>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 окончательных предложений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28"/>
              <w:widowControl/>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19" w:type="dxa"/>
            <w:gridSpan w:val="2"/>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17" w:type="dxa"/>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28"/>
              <w:widowControl/>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3"/>
        <w:rPr/>
      </w:pPr>
      <w:bookmarkStart w:id="95" w:name="_Toc228876849"/>
      <w:bookmarkStart w:id="96" w:name="_Ref130286532"/>
      <w:r>
        <w:rPr/>
        <w:t>Официальное размещение Извещения и Документации о закупке</w:t>
      </w:r>
      <w:bookmarkEnd w:id="95"/>
      <w:bookmarkEnd w:id="96"/>
    </w:p>
    <w:p>
      <w:pPr>
        <w:pStyle w:val="Style24"/>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4"/>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4"/>
        <w:rPr/>
      </w:pPr>
      <w:bookmarkStart w:id="97"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7"/>
    </w:p>
    <w:p>
      <w:pPr>
        <w:pStyle w:val="Style24"/>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3"/>
        <w:rPr/>
      </w:pPr>
      <w:bookmarkStart w:id="98" w:name="_Toc228876851"/>
      <w:bookmarkStart w:id="99" w:name="_Ref130394681"/>
      <w:bookmarkStart w:id="100" w:name="_Ref130281199"/>
      <w:r>
        <w:rPr/>
        <w:t>Подготовка заявки</w:t>
      </w:r>
      <w:bookmarkEnd w:id="98"/>
      <w:bookmarkEnd w:id="99"/>
      <w:bookmarkEnd w:id="100"/>
    </w:p>
    <w:p>
      <w:pPr>
        <w:pStyle w:val="Style24"/>
        <w:rPr/>
      </w:pPr>
      <w:r>
        <w:rPr/>
        <w:t>Участник должен подготовить заявку с учетом требований Документации о закупке.</w:t>
      </w:r>
    </w:p>
    <w:p>
      <w:pPr>
        <w:pStyle w:val="Style24"/>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4"/>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4"/>
        <w:rPr/>
      </w:pPr>
      <w:r>
        <w:rPr/>
        <w:t xml:space="preserve">Непосредственно перед подачей заявки Участник должен разделить подготовленные документы на отдельные части: </w:t>
      </w:r>
      <w:bookmarkStart w:id="101" w:name="_Hlk132886098"/>
      <w:r>
        <w:rPr/>
        <w:t>первую часть, вторую часть и ценовое предложение</w:t>
      </w:r>
      <w:bookmarkEnd w:id="101"/>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4"/>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по результатам проведения предзаявочного обсуждения или обсуждения заявок (в случае проведения),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4"/>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4"/>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4"/>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4"/>
        <w:rPr/>
      </w:pPr>
      <w:bookmarkStart w:id="102" w:name="_Ref125365866"/>
      <w:bookmarkStart w:id="103"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02"/>
      <w:bookmarkEnd w:id="103"/>
    </w:p>
    <w:p>
      <w:pPr>
        <w:pStyle w:val="Style24"/>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4"/>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4"/>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4"/>
        <w:rPr/>
      </w:pPr>
      <w:bookmarkStart w:id="104" w:name="_Ref125370708"/>
      <w:bookmarkStart w:id="105"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4"/>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4"/>
      <w:bookmarkEnd w:id="105"/>
    </w:p>
    <w:p>
      <w:pPr>
        <w:pStyle w:val="Style24"/>
        <w:rPr/>
      </w:pPr>
      <w:bookmarkStart w:id="106" w:name="_Ref130379863"/>
      <w:r>
        <w:rPr/>
        <w:t xml:space="preserve">Участник в составе заявки предоставляет по установленной форме Технического предложения (форма 4; </w:t>
      </w:r>
      <w:hyperlink w:anchor="Прил04_ФормыЗаявки">
        <w:r>
          <w:rPr>
            <w:rStyle w:val="Style11"/>
          </w:rPr>
          <w:t>Приложение № 4</w:t>
        </w:r>
      </w:hyperlink>
      <w:r>
        <w:rPr/>
        <w:t xml:space="preserve">) подробное предложение в отношении поставляемой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w:t>
      </w:r>
      <w:bookmarkEnd w:id="106"/>
    </w:p>
    <w:p>
      <w:pPr>
        <w:pStyle w:val="Style24"/>
        <w:rPr/>
      </w:pPr>
      <w:r>
        <w:rP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r>
          <w:rPr>
            <w:rStyle w:val="Style11"/>
          </w:rPr>
          <w:t>Технических требованиях (Приложение № 1)</w:t>
        </w:r>
      </w:hyperlink>
      <w:r>
        <w:rP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p>
    <w:p>
      <w:pPr>
        <w:pStyle w:val="Style24"/>
        <w:rPr/>
      </w:pPr>
      <w:r>
        <w:rPr/>
        <w:t xml:space="preserve">Если в </w:t>
      </w:r>
      <w:hyperlink w:anchor="Прил01_ТехТребования">
        <w:r>
          <w:rPr>
            <w:rStyle w:val="Style11"/>
          </w:rPr>
          <w:t>Технических требованиях (Приложение № 1)</w:t>
        </w:r>
      </w:hyperlink>
      <w:r>
        <w:rPr/>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w:t>
      </w:r>
      <w:hyperlink w:anchor="Прил01_ТехТребования">
        <w:r>
          <w:rPr>
            <w:rStyle w:val="Style11"/>
          </w:rPr>
          <w:t>Технических требованиях (Приложение № 1)</w:t>
        </w:r>
      </w:hyperlink>
      <w:r>
        <w:rPr/>
        <w:t>.</w:t>
      </w:r>
    </w:p>
    <w:p>
      <w:pPr>
        <w:pStyle w:val="Style24"/>
        <w:rPr/>
      </w:pPr>
      <w:bookmarkStart w:id="107" w:name="_Ref130379876"/>
      <w:r>
        <w:rP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r>
          <w:rPr>
            <w:rStyle w:val="Style11"/>
          </w:rPr>
          <w:t>Техническими требованиями (Приложение № 1)</w:t>
        </w:r>
      </w:hyperlink>
      <w:r>
        <w:rPr/>
        <w:t>.</w:t>
      </w:r>
      <w:bookmarkEnd w:id="107"/>
    </w:p>
    <w:p>
      <w:pPr>
        <w:pStyle w:val="Style24"/>
        <w:rPr/>
      </w:pPr>
      <w:bookmarkStart w:id="108" w:name="_Ref130455500"/>
      <w:r>
        <w:rPr/>
        <w:t>В случае нарушения Участником требований к описанию продукции (пункты </w:t>
      </w:r>
      <w:r>
        <w:rPr/>
        <w:fldChar w:fldCharType="begin"/>
      </w:r>
      <w:r>
        <w:rPr/>
        <w:instrText xml:space="preserve"> REF _Ref130379863 \r \h </w:instrText>
      </w:r>
      <w:r>
        <w:rPr/>
        <w:fldChar w:fldCharType="separate"/>
      </w:r>
      <w:r>
        <w:rPr/>
        <w:t>4.3.15</w:t>
      </w:r>
      <w:r>
        <w:rPr/>
        <w:fldChar w:fldCharType="end"/>
      </w:r>
      <w:r>
        <w:rPr/>
        <w:t xml:space="preserve"> – </w:t>
      </w:r>
      <w:r>
        <w:rPr/>
        <w:fldChar w:fldCharType="begin"/>
      </w:r>
      <w:r>
        <w:rPr/>
        <w:instrText xml:space="preserve"> REF _Ref130379876 \r \h </w:instrText>
      </w:r>
      <w:r>
        <w:rPr/>
        <w:fldChar w:fldCharType="separate"/>
      </w:r>
      <w:r>
        <w:rPr/>
        <w:t>4.3.18</w:t>
      </w:r>
      <w:r>
        <w:rPr/>
        <w:fldChar w:fldCharType="end"/>
      </w:r>
      <w:r>
        <w:rPr/>
        <w:t>) Организатор вправе отклонить заявку такого Участника от дальнейшего участия в закупке.</w:t>
      </w:r>
      <w:bookmarkEnd w:id="108"/>
    </w:p>
    <w:p>
      <w:pPr>
        <w:pStyle w:val="Style24"/>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4"/>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5"/>
        <w:rPr/>
      </w:pPr>
      <w:r>
        <w:rPr/>
        <w:t>внутренние противоречия между различными частями и (или) документами заявки, в том числе по тексту внутри одного документа;</w:t>
      </w:r>
    </w:p>
    <w:p>
      <w:pPr>
        <w:pStyle w:val="Style25"/>
        <w:rPr/>
      </w:pPr>
      <w:bookmarkStart w:id="109" w:name="_Ref125714384"/>
      <w:bookmarkStart w:id="110" w:name="_Ref125370398"/>
      <w:r>
        <w:rPr/>
        <w:t>противоречия между документами заявки и сведениями, указанными Участником в структурированных формах на ЭП.</w:t>
      </w:r>
      <w:bookmarkEnd w:id="109"/>
      <w:bookmarkEnd w:id="110"/>
    </w:p>
    <w:p>
      <w:pPr>
        <w:pStyle w:val="Style24"/>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5"/>
        <w:rPr/>
      </w:pPr>
      <w:r>
        <w:rPr/>
        <w:t>полномочий таких органов / лиц на оформление этих документов;</w:t>
      </w:r>
    </w:p>
    <w:p>
      <w:pPr>
        <w:pStyle w:val="Style25"/>
        <w:rPr/>
      </w:pPr>
      <w:r>
        <w:rPr/>
        <w:t>формы, объема и содержания этих документов.</w:t>
      </w:r>
    </w:p>
    <w:p>
      <w:pPr>
        <w:pStyle w:val="Style24"/>
        <w:keepNext w:val="true"/>
        <w:rPr/>
      </w:pPr>
      <w:r>
        <w:rPr/>
        <w:t>Участник должен подготовить заявку с соблюдением следующих условий:</w:t>
      </w:r>
    </w:p>
    <w:p>
      <w:pPr>
        <w:pStyle w:val="Style25"/>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5"/>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5"/>
        <w:rPr/>
      </w:pPr>
      <w:r>
        <w:rPr/>
        <w:t>все файлы не должны иметь защиты от их открытия, изменения, копирования их содержимого или их печати;</w:t>
      </w:r>
    </w:p>
    <w:p>
      <w:pPr>
        <w:pStyle w:val="Style25"/>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5"/>
        <w:rPr/>
      </w:pPr>
      <w:r>
        <w:rPr/>
        <w:t>если какой-либо документ представлен в нечитаемом виде, данный документ считается непредставленным.</w:t>
      </w:r>
    </w:p>
    <w:p>
      <w:pPr>
        <w:pStyle w:val="Style24"/>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3"/>
        <w:rPr/>
      </w:pPr>
      <w:bookmarkStart w:id="111" w:name="_Ref125366672"/>
      <w:bookmarkStart w:id="112" w:name="_Ref125362071"/>
      <w:bookmarkStart w:id="113" w:name="_Ref125361260"/>
      <w:bookmarkStart w:id="114" w:name="_Toc228876852"/>
      <w:bookmarkStart w:id="115" w:name="_Ref130394802"/>
      <w:bookmarkStart w:id="116" w:name="_Ref130394785"/>
      <w:bookmarkStart w:id="117" w:name="_Ref130394205"/>
      <w:r>
        <w:rPr/>
        <w:t>Разъяснение Документации о закупке</w:t>
      </w:r>
      <w:bookmarkEnd w:id="111"/>
      <w:bookmarkEnd w:id="112"/>
      <w:bookmarkEnd w:id="113"/>
      <w:bookmarkEnd w:id="114"/>
      <w:bookmarkEnd w:id="115"/>
      <w:bookmarkEnd w:id="116"/>
      <w:bookmarkEnd w:id="117"/>
    </w:p>
    <w:p>
      <w:pPr>
        <w:pStyle w:val="Style24"/>
        <w:rPr/>
      </w:pPr>
      <w:r>
        <w:rPr/>
        <w:t>Участники вправе обратиться к Организатору за разъяснениями Документации о закупке.</w:t>
      </w:r>
    </w:p>
    <w:p>
      <w:pPr>
        <w:pStyle w:val="Style24"/>
        <w:rPr/>
      </w:pPr>
      <w:r>
        <w:rPr/>
        <w:t>Запросы подаются в соответствии с Регламентами и инструкциями Оператора ЭП, опубликованными на сайте соответствующей ЭП.</w:t>
      </w:r>
    </w:p>
    <w:p>
      <w:pPr>
        <w:pStyle w:val="Style24"/>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4"/>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4"/>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4"/>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4"/>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3"/>
        <w:rPr/>
      </w:pPr>
      <w:bookmarkStart w:id="118" w:name="_Toc228876853"/>
      <w:bookmarkStart w:id="119" w:name="_Ref125364404"/>
      <w:bookmarkStart w:id="120" w:name="_Ref125363891"/>
      <w:bookmarkStart w:id="121" w:name="_Ref125362076"/>
      <w:r>
        <w:rPr/>
        <w:t>Изменения Извещения и (или) Документации о закупке</w:t>
      </w:r>
      <w:bookmarkEnd w:id="118"/>
      <w:bookmarkEnd w:id="119"/>
      <w:bookmarkEnd w:id="120"/>
      <w:bookmarkEnd w:id="121"/>
    </w:p>
    <w:p>
      <w:pPr>
        <w:pStyle w:val="Style24"/>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4"/>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5"/>
        <w:rPr/>
      </w:pPr>
      <w:r>
        <w:rPr/>
        <w:t>рассмотрения первых частей заявок / окончательных предложений;</w:t>
      </w:r>
    </w:p>
    <w:p>
      <w:pPr>
        <w:pStyle w:val="Style25"/>
        <w:rPr/>
      </w:pPr>
      <w:r>
        <w:rPr/>
        <w:t>рассмотрения вторых частей заявок и ценовых предложений;</w:t>
      </w:r>
    </w:p>
    <w:p>
      <w:pPr>
        <w:pStyle w:val="Style25"/>
        <w:rPr/>
      </w:pPr>
      <w:r>
        <w:rPr/>
        <w:t>проведения переторжки, если предусмотрен данный этап;</w:t>
      </w:r>
    </w:p>
    <w:p>
      <w:pPr>
        <w:pStyle w:val="Style25"/>
        <w:rPr/>
      </w:pPr>
      <w:r>
        <w:rPr/>
        <w:t>подведения итогов закупки;</w:t>
      </w:r>
    </w:p>
    <w:p>
      <w:pPr>
        <w:pStyle w:val="Style28"/>
        <w:ind w:left="1134"/>
        <w:rPr/>
      </w:pPr>
      <w:bookmarkStart w:id="122" w:name="_Ref125550844"/>
      <w:r>
        <w:rPr/>
        <w:t>в пределах срока действия заявок и с уведомлением Участников, подавших заявки.</w:t>
      </w:r>
      <w:bookmarkEnd w:id="122"/>
    </w:p>
    <w:p>
      <w:pPr>
        <w:pStyle w:val="Style24"/>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4"/>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w:t>
      </w:r>
    </w:p>
    <w:p>
      <w:pPr>
        <w:pStyle w:val="Style25"/>
        <w:rPr/>
      </w:pPr>
      <w:r>
        <w:rPr/>
        <w:t>4 (четырех)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не превышает 30 000 000 (тридцать миллионов) рублей без НДС;</w:t>
      </w:r>
    </w:p>
    <w:p>
      <w:pPr>
        <w:pStyle w:val="Style25"/>
        <w:rPr/>
      </w:pPr>
      <w:r>
        <w:rPr/>
        <w:t>8 (восьми)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превышает 30 000 000 (тридцать миллионов) рублей без НДС.</w:t>
      </w:r>
    </w:p>
    <w:p>
      <w:pPr>
        <w:pStyle w:val="Style24"/>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3"/>
        <w:rPr/>
      </w:pPr>
      <w:bookmarkStart w:id="123" w:name="_Toc228876854"/>
      <w:bookmarkStart w:id="124" w:name="_Ref125362119"/>
      <w:r>
        <w:rPr/>
        <w:t>Подача заявок и их прием</w:t>
      </w:r>
      <w:bookmarkEnd w:id="123"/>
      <w:bookmarkEnd w:id="124"/>
    </w:p>
    <w:p>
      <w:pPr>
        <w:pStyle w:val="Style24"/>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4"/>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4"/>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4"/>
        <w:rPr/>
      </w:pPr>
      <w:r>
        <w:rPr/>
        <w:t xml:space="preserve">Заявка должна быть подписана </w:t>
      </w:r>
      <w:bookmarkStart w:id="125" w:name="_Hlk219296949"/>
      <w:r>
        <w:rPr/>
        <w:t xml:space="preserve">усиленной квалифицированной </w:t>
      </w:r>
      <w:bookmarkEnd w:id="125"/>
      <w:r>
        <w:rPr/>
        <w:t>электронной подписью лица, которое является уполномоченным представителем Участника.</w:t>
      </w:r>
    </w:p>
    <w:p>
      <w:pPr>
        <w:pStyle w:val="Style24"/>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4"/>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4"/>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3"/>
        <w:rPr/>
      </w:pPr>
      <w:bookmarkStart w:id="126" w:name="_Toc228876855"/>
      <w:bookmarkStart w:id="127" w:name="_Ref125365136"/>
      <w:bookmarkStart w:id="128" w:name="_Ref125363819"/>
      <w:bookmarkStart w:id="129" w:name="_Ref125362192"/>
      <w:bookmarkStart w:id="130" w:name="_Ref125362130"/>
      <w:r>
        <w:rPr/>
        <w:t>Изменение и отзыв заявок</w:t>
      </w:r>
      <w:bookmarkEnd w:id="126"/>
      <w:bookmarkEnd w:id="127"/>
      <w:bookmarkEnd w:id="128"/>
      <w:bookmarkEnd w:id="129"/>
      <w:bookmarkEnd w:id="130"/>
    </w:p>
    <w:p>
      <w:pPr>
        <w:pStyle w:val="Style24"/>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4"/>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4"/>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4"/>
        <w:rPr/>
      </w:pPr>
      <w:r>
        <w:rPr/>
        <w:t>Изменения и отзыв заявки осуществляется посредством функционала ЭП (подробный порядок определяется Регламентом ЭП).</w:t>
      </w:r>
    </w:p>
    <w:p>
      <w:pPr>
        <w:pStyle w:val="Style23"/>
        <w:rPr/>
      </w:pPr>
      <w:bookmarkStart w:id="131" w:name="_Toc228876856"/>
      <w:bookmarkStart w:id="132" w:name="_Ref132816188"/>
      <w:r>
        <w:rPr/>
        <w:t>Открытие доступа к первым частям заявок</w:t>
      </w:r>
      <w:bookmarkEnd w:id="131"/>
      <w:bookmarkEnd w:id="132"/>
    </w:p>
    <w:p>
      <w:pPr>
        <w:pStyle w:val="Style24"/>
        <w:rPr/>
      </w:pPr>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4"/>
        <w:rPr/>
      </w:pPr>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p>
    <w:p>
      <w:pPr>
        <w:pStyle w:val="Style23"/>
        <w:rPr/>
      </w:pPr>
      <w:bookmarkStart w:id="133" w:name="_Toc228876860"/>
      <w:bookmarkStart w:id="134" w:name="_Ref125366689"/>
      <w:bookmarkStart w:id="135" w:name="_Ref125362364"/>
      <w:r>
        <w:rPr/>
        <w:t>Рассмотрение первых частей заявок / окончательных предложений (отборочная стадия)</w:t>
      </w:r>
      <w:bookmarkEnd w:id="133"/>
      <w:bookmarkEnd w:id="134"/>
      <w:bookmarkEnd w:id="135"/>
    </w:p>
    <w:p>
      <w:pPr>
        <w:pStyle w:val="Style24"/>
        <w:rPr/>
      </w:pPr>
      <w:r>
        <w:rPr/>
        <w:t>Дата окончания срока рассмотрения первых частей заявок / окончательных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4"/>
        <w:rPr/>
      </w:pPr>
      <w:r>
        <w:rPr/>
        <w:t xml:space="preserve">В рамках рассмотрения первых частей заявок / окончательных предложений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4"/>
        <w:rPr/>
      </w:pPr>
      <w:r>
        <w:rPr/>
        <w:t>Рассмотрение первых частей заявок / окончательных предложений проводится на основании представленных в составе заявки документов и сведений.</w:t>
      </w:r>
    </w:p>
    <w:p>
      <w:pPr>
        <w:pStyle w:val="Style24"/>
        <w:keepNext w:val="true"/>
        <w:rPr/>
      </w:pPr>
      <w:bookmarkStart w:id="136" w:name="_Ref125551456"/>
      <w:r>
        <w:rPr/>
        <w:t>По результатам рассмотрения первых частей заявок / окончательных предложений (проведения отборочной стадии) Закупочная комиссия отклоняет заявки по следующим основаниям:</w:t>
      </w:r>
      <w:bookmarkEnd w:id="136"/>
    </w:p>
    <w:p>
      <w:pPr>
        <w:pStyle w:val="Style25"/>
        <w:rPr/>
      </w:pPr>
      <w:r>
        <w:rPr/>
        <w:t>несоответствие первой части заявки / окончательного предложения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6"/>
        <w:rPr/>
      </w:pPr>
      <w:r>
        <w:rPr/>
        <w:t>недостоверных сведений или намеренно искаженной информации или документов;</w:t>
      </w:r>
    </w:p>
    <w:p>
      <w:pPr>
        <w:pStyle w:val="Style26"/>
        <w:rPr/>
      </w:pPr>
      <w:r>
        <w:rPr/>
        <w:t>внутренних противоречий между различными частями и (или) документами первой части заявки / окончательного предложения, в том числе по тексту внутри одного документа;</w:t>
      </w:r>
    </w:p>
    <w:p>
      <w:pPr>
        <w:pStyle w:val="Style25"/>
        <w:rPr/>
      </w:pPr>
      <w:r>
        <w:rPr/>
        <w:t>несоответствие предлагаемой продукции требованиям Документации о закупке, в том числе порядка описания такой продукции;</w:t>
      </w:r>
    </w:p>
    <w:p>
      <w:pPr>
        <w:pStyle w:val="Style25"/>
        <w:rPr/>
      </w:pPr>
      <w:r>
        <w:rPr/>
        <w:t>несоответствие предлагаемых договорных условий требованиям Документации о закупке;</w:t>
      </w:r>
    </w:p>
    <w:p>
      <w:pPr>
        <w:pStyle w:val="Style25"/>
        <w:rPr/>
      </w:pPr>
      <w:r>
        <w:rPr/>
        <w:t>наличие в документах первой части заявки / окончательном предложении сведений об Участники и (или) о его ценовом предложении.</w:t>
      </w:r>
    </w:p>
    <w:p>
      <w:pPr>
        <w:pStyle w:val="Style24"/>
        <w:keepNext w:val="true"/>
        <w:rPr/>
      </w:pPr>
      <w:r>
        <w:rPr/>
        <w:t>Решение Закупочной комиссии по рассмотрению первых частей заявок / окончательных предложений оформляется протоколом, в котором, как минимум, указываются</w:t>
      </w:r>
      <w:r>
        <w:rPr>
          <w:rStyle w:val="FootnoteReference"/>
        </w:rPr>
        <w:footnoteReference w:id="4"/>
      </w:r>
      <w:r>
        <w:rPr/>
        <w:t>:</w:t>
      </w:r>
    </w:p>
    <w:p>
      <w:pPr>
        <w:pStyle w:val="Style25"/>
        <w:rPr/>
      </w:pPr>
      <w:r>
        <w:rPr/>
        <w:t>дата подписания протокола;</w:t>
      </w:r>
    </w:p>
    <w:p>
      <w:pPr>
        <w:pStyle w:val="Style25"/>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5"/>
        <w:rPr/>
      </w:pPr>
      <w:r>
        <w:rPr/>
        <w:t>идентификационные номера, присваиваемые Оператором ЭП;</w:t>
      </w:r>
    </w:p>
    <w:p>
      <w:pPr>
        <w:pStyle w:val="Style25"/>
        <w:keepNext w:val="true"/>
        <w:rPr/>
      </w:pPr>
      <w:r>
        <w:rPr/>
        <w:t>результаты рассмотрения первых частей заявок / окончательных предложений с указанием, в том числе:</w:t>
      </w:r>
    </w:p>
    <w:p>
      <w:pPr>
        <w:pStyle w:val="Style26"/>
        <w:rPr/>
      </w:pPr>
      <w:r>
        <w:rPr/>
        <w:t>количества заявок, которые были отклонены по результатам рассмотрения первых частей заявок / окончательных предложений;</w:t>
      </w:r>
    </w:p>
    <w:p>
      <w:pPr>
        <w:pStyle w:val="Style26"/>
        <w:rPr/>
      </w:pPr>
      <w:r>
        <w:rPr/>
        <w:t>оснований отклонения каждой заявки с указанием положений Документации о закупке, которым не соответствует первая часть такой заявка / окончательное предложение;</w:t>
      </w:r>
    </w:p>
    <w:p>
      <w:pPr>
        <w:pStyle w:val="Style25"/>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4"/>
        <w:rPr/>
      </w:pPr>
      <w:r>
        <w:rPr/>
        <w:t>Протокол рассмотрения первых частей заявок / окончательных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3"/>
        <w:rPr/>
      </w:pPr>
      <w:bookmarkStart w:id="137" w:name="_Toc228876861"/>
      <w:bookmarkStart w:id="138" w:name="_Ref132801184"/>
      <w:r>
        <w:rPr/>
        <w:t>Открытие доступа ко вторым частям заявок и ценовым предложениям</w:t>
      </w:r>
      <w:bookmarkEnd w:id="137"/>
      <w:bookmarkEnd w:id="138"/>
    </w:p>
    <w:p>
      <w:pPr>
        <w:pStyle w:val="Style24"/>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4"/>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3"/>
        <w:rPr/>
      </w:pPr>
      <w:bookmarkStart w:id="139" w:name="_Toc228876862"/>
      <w:bookmarkStart w:id="140"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39"/>
      <w:bookmarkEnd w:id="140"/>
    </w:p>
    <w:p>
      <w:pPr>
        <w:pStyle w:val="Style24"/>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4"/>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 окончательных предложений,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4"/>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4"/>
        <w:keepNext w:val="true"/>
        <w:rPr/>
      </w:pPr>
      <w:bookmarkStart w:id="141" w:name="_Ref224834720"/>
      <w:r>
        <w:rPr/>
        <w:t>При выявлении в рамках рассмотрения ценовых предложений наличия арифметических ошибок, в том числе:</w:t>
      </w:r>
      <w:bookmarkEnd w:id="141"/>
    </w:p>
    <w:p>
      <w:pPr>
        <w:pStyle w:val="Style25"/>
        <w:rPr/>
      </w:pPr>
      <w:r>
        <w:rPr/>
        <w:t>в результате суммирования единичных расценок;</w:t>
      </w:r>
    </w:p>
    <w:p>
      <w:pPr>
        <w:pStyle w:val="Style25"/>
        <w:rPr/>
      </w:pPr>
      <w:r>
        <w:rPr/>
        <w:t>в итогах умножения единичных расценок на объем продукции;</w:t>
      </w:r>
    </w:p>
    <w:p>
      <w:pPr>
        <w:pStyle w:val="Style25"/>
        <w:rPr/>
      </w:pPr>
      <w:r>
        <w:rPr/>
        <w:t>в вычислении суммы НДС и итоговой стоимости заявки с учетом НДС);</w:t>
      </w:r>
    </w:p>
    <w:p>
      <w:pPr>
        <w:pStyle w:val="Style25"/>
        <w:rPr/>
      </w:pPr>
      <w:r>
        <w:rPr/>
        <w:t>иных внутренних противоречий в составе заявки,</w:t>
      </w:r>
    </w:p>
    <w:p>
      <w:pPr>
        <w:pStyle w:val="Style28"/>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4"/>
        <w:keepNext w:val="true"/>
        <w:rPr/>
      </w:pPr>
      <w:bookmarkStart w:id="142"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42"/>
    </w:p>
    <w:p>
      <w:pPr>
        <w:pStyle w:val="Style25"/>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6"/>
        <w:rPr/>
      </w:pPr>
      <w:r>
        <w:rPr/>
        <w:t>недостоверных сведений или намеренно искаженной информации или документов;</w:t>
      </w:r>
    </w:p>
    <w:p>
      <w:pPr>
        <w:pStyle w:val="Style26"/>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_Ref224834720 \r \h </w:instrText>
      </w:r>
      <w:r>
        <w:rPr/>
        <w:fldChar w:fldCharType="separate"/>
      </w:r>
      <w:r>
        <w:rPr/>
        <w:t>4.11.4</w:t>
      </w:r>
      <w:r>
        <w:rPr/>
        <w:fldChar w:fldCharType="end"/>
      </w:r>
      <w:r>
        <w:rPr/>
        <w:t>);</w:t>
      </w:r>
    </w:p>
    <w:p>
      <w:pPr>
        <w:pStyle w:val="Style25"/>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5"/>
        <w:rPr/>
      </w:pPr>
      <w:r>
        <w:rPr/>
        <w:t>несоответствие Участников требованиям Документации о закупке;</w:t>
      </w:r>
    </w:p>
    <w:p>
      <w:pPr>
        <w:pStyle w:val="Style25"/>
        <w:rPr/>
      </w:pPr>
      <w:r>
        <w:rPr/>
        <w:t>несоответствие привлекаемых субподрядчиков (соисполнителей) требованиям Документации о закупке;</w:t>
      </w:r>
    </w:p>
    <w:p>
      <w:pPr>
        <w:pStyle w:val="Style25"/>
        <w:rPr/>
      </w:pPr>
      <w:r>
        <w:rPr/>
        <w:t>превышение ценового предложения над установленным размером НМЦ.</w:t>
      </w:r>
    </w:p>
    <w:p>
      <w:pPr>
        <w:pStyle w:val="Style24"/>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5"/>
        <w:rPr/>
      </w:pPr>
      <w:r>
        <w:rPr/>
        <w:t>дата подписания протокола;</w:t>
      </w:r>
    </w:p>
    <w:p>
      <w:pPr>
        <w:pStyle w:val="Style25"/>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5"/>
        <w:rPr/>
      </w:pPr>
      <w:r>
        <w:rPr/>
        <w:t>наименования Участников, заявки которых не были отклонены по результатам рассмотрения первых частей заявок / окончательных предложений, и (или) их идентификационные номера, присваиваемые Оператором ЭП;</w:t>
      </w:r>
    </w:p>
    <w:p>
      <w:pPr>
        <w:pStyle w:val="Style25"/>
        <w:keepNext w:val="true"/>
        <w:rPr/>
      </w:pPr>
      <w:r>
        <w:rPr/>
        <w:t>результаты рассмотрения вторых частей заявок и ценовых предложений с указанием, в том числе:</w:t>
      </w:r>
    </w:p>
    <w:p>
      <w:pPr>
        <w:pStyle w:val="Style26"/>
        <w:rPr/>
      </w:pPr>
      <w:r>
        <w:rPr/>
        <w:t>количества заявок, которые были отклонены по результатам рассмотрения вторых частей заявок и ценовых предложений;</w:t>
      </w:r>
    </w:p>
    <w:p>
      <w:pPr>
        <w:pStyle w:val="Style26"/>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5"/>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4"/>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3"/>
        <w:rPr/>
      </w:pPr>
      <w:bookmarkStart w:id="143" w:name="_Toc228876863"/>
      <w:bookmarkStart w:id="144" w:name="_Ref125362610"/>
      <w:bookmarkStart w:id="145" w:name="_Ref125362464"/>
      <w:bookmarkStart w:id="146" w:name="_Ref125362425"/>
      <w:bookmarkStart w:id="147" w:name="_Ref125362381"/>
      <w:r>
        <w:rPr/>
        <w:t>Дополнительные запросы разъяснений заявок</w:t>
      </w:r>
      <w:bookmarkEnd w:id="143"/>
      <w:bookmarkEnd w:id="144"/>
      <w:bookmarkEnd w:id="145"/>
      <w:bookmarkEnd w:id="146"/>
      <w:bookmarkEnd w:id="147"/>
    </w:p>
    <w:p>
      <w:pPr>
        <w:pStyle w:val="Style24"/>
        <w:rPr/>
      </w:pPr>
      <w:bookmarkStart w:id="148" w:name="_Ref125365611"/>
      <w:r>
        <w:rPr/>
        <w:t>В рамках процедуры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8"/>
    </w:p>
    <w:p>
      <w:pPr>
        <w:pStyle w:val="Style25"/>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6"/>
        <w:rPr/>
      </w:pPr>
      <w:r>
        <w:rPr/>
        <w:t>соответствия Участника требованиям Документации о закупке;</w:t>
      </w:r>
    </w:p>
    <w:p>
      <w:pPr>
        <w:pStyle w:val="Style26"/>
        <w:rPr/>
      </w:pPr>
      <w:bookmarkStart w:id="149" w:name="_Hlk132793683"/>
      <w:r>
        <w:rPr/>
        <w:t>наличия соответствующих полномочий на подписание заявки от имени Участника у лица, подписавшего заявку</w:t>
      </w:r>
      <w:bookmarkEnd w:id="149"/>
      <w:r>
        <w:rPr/>
        <w:t>;</w:t>
      </w:r>
    </w:p>
    <w:p>
      <w:pPr>
        <w:pStyle w:val="Style26"/>
        <w:rPr/>
      </w:pPr>
      <w:r>
        <w:rPr/>
        <w:t xml:space="preserve">соответствия заявки требованиям Документации о закупке в части характеристик предлагаемой продукции, </w:t>
      </w:r>
      <w:bookmarkStart w:id="150" w:name="_Hlk207817392"/>
      <w:r>
        <w:rPr/>
        <w:t xml:space="preserve">страны происхождения товара и (или) страны регистрации Участника (в целях исполнения требований законодательства о национальном режиме </w:t>
      </w:r>
      <w:bookmarkEnd w:id="150"/>
      <w:r>
        <w:rPr/>
        <w:t>(подраздел </w:t>
      </w:r>
      <w:r>
        <w:rPr/>
        <w:fldChar w:fldCharType="begin"/>
      </w:r>
      <w:r>
        <w:rPr/>
        <w:instrText xml:space="preserve"> REF _Ref186181253 \r \h </w:instrText>
      </w:r>
      <w:r>
        <w:rPr/>
        <w:fldChar w:fldCharType="separate"/>
      </w:r>
      <w:r>
        <w:rPr/>
        <w:t>4.14</w:t>
      </w:r>
      <w:r>
        <w:rPr/>
        <w:fldChar w:fldCharType="end"/>
      </w:r>
      <w:r>
        <w:rPr/>
        <w:t>)), договорных условий и расчета цены Договора;</w:t>
      </w:r>
    </w:p>
    <w:p>
      <w:pPr>
        <w:pStyle w:val="Style25"/>
        <w:rPr/>
      </w:pPr>
      <w:bookmarkStart w:id="151"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5"/>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51"/>
    </w:p>
    <w:p>
      <w:pPr>
        <w:pStyle w:val="Style24"/>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24"/>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4"/>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4"/>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w:t>
      </w:r>
      <w:r>
        <w:rPr/>
        <w:fldChar w:fldCharType="begin"/>
      </w:r>
      <w:r>
        <w:rPr/>
        <w:instrText xml:space="preserve"> REF _Ref132880719 \r \h </w:instrText>
      </w:r>
      <w:r>
        <w:rPr/>
        <w:fldChar w:fldCharType="separate"/>
      </w:r>
      <w:r>
        <w:rPr/>
        <w:t>Ошибка: источник перекрёстной ссылки не найден</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24"/>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4"/>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4"/>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bookmarkStart w:id="152" w:name="_Toc228876865"/>
      <w:bookmarkStart w:id="153" w:name="_Ref132801206"/>
      <w:bookmarkEnd w:id="152"/>
      <w:bookmarkEnd w:id="153"/>
    </w:p>
    <w:p>
      <w:pPr>
        <w:pStyle w:val="Style23"/>
        <w:rPr/>
      </w:pPr>
      <w:bookmarkStart w:id="154" w:name="_Toc228876866"/>
      <w:bookmarkStart w:id="155" w:name="_Ref125369308"/>
      <w:bookmarkStart w:id="156" w:name="_Ref125369041"/>
      <w:bookmarkStart w:id="157" w:name="_Ref125366534"/>
      <w:bookmarkStart w:id="158" w:name="_Ref125365519"/>
      <w:bookmarkStart w:id="159" w:name="_Ref125365335"/>
      <w:bookmarkStart w:id="160" w:name="_Ref125362626"/>
      <w:r>
        <w:rPr/>
        <w:t>Оценка и сопоставление заявок</w:t>
      </w:r>
      <w:bookmarkEnd w:id="154"/>
      <w:bookmarkEnd w:id="155"/>
      <w:bookmarkEnd w:id="156"/>
      <w:bookmarkEnd w:id="157"/>
      <w:bookmarkEnd w:id="158"/>
      <w:bookmarkEnd w:id="159"/>
      <w:bookmarkEnd w:id="160"/>
    </w:p>
    <w:p>
      <w:pPr>
        <w:pStyle w:val="Style24"/>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4"/>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4"/>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4"/>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24"/>
        <w:rPr/>
      </w:pPr>
      <w:r>
        <w:rPr/>
        <w:t>Результаты оценки и сопоставления заявок указываются в итоговом протоколе по результатам закупки.</w:t>
      </w:r>
    </w:p>
    <w:p>
      <w:pPr>
        <w:pStyle w:val="Style23"/>
        <w:rPr/>
      </w:pPr>
      <w:bookmarkStart w:id="161" w:name="_Ref130458671"/>
      <w:bookmarkStart w:id="162" w:name="_Ref125370507"/>
      <w:bookmarkStart w:id="163" w:name="_Ref125369991"/>
      <w:bookmarkStart w:id="164" w:name="_Ref125366064"/>
      <w:bookmarkStart w:id="165" w:name="_Ref130985951"/>
      <w:bookmarkStart w:id="166" w:name="_Toc228876867"/>
      <w:bookmarkStart w:id="167" w:name="_Ref132816300"/>
      <w:bookmarkStart w:id="168" w:name="_Ref186181253"/>
      <w:r>
        <w:rPr/>
        <w:t>Применение законодательства о национальном режиме</w:t>
      </w:r>
      <w:bookmarkEnd w:id="161"/>
      <w:bookmarkEnd w:id="162"/>
      <w:bookmarkEnd w:id="163"/>
      <w:bookmarkEnd w:id="164"/>
      <w:bookmarkEnd w:id="165"/>
      <w:bookmarkEnd w:id="166"/>
      <w:bookmarkEnd w:id="167"/>
      <w:bookmarkEnd w:id="168"/>
    </w:p>
    <w:p>
      <w:pPr>
        <w:pStyle w:val="Style24"/>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4"/>
        <w:rPr/>
      </w:pPr>
      <w:bookmarkStart w:id="169"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69"/>
    </w:p>
    <w:p>
      <w:pPr>
        <w:pStyle w:val="Style24"/>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_Ref207810730 \r \h </w:instrText>
      </w:r>
      <w:r>
        <w:rPr/>
        <w:fldChar w:fldCharType="separate"/>
      </w:r>
      <w:r>
        <w:rPr/>
        <w:t>Ошибка: источник перекрёстной ссылки не найден</w:t>
      </w:r>
      <w:r>
        <w:rPr/>
        <w:fldChar w:fldCharType="end"/>
      </w:r>
      <w:r>
        <w:rPr/>
        <w:t> – </w:t>
      </w:r>
      <w:r>
        <w:rPr/>
        <w:fldChar w:fldCharType="begin"/>
      </w:r>
      <w:r>
        <w:rPr/>
        <w:instrText xml:space="preserve"> REF _Ref207810742 \r \h </w:instrText>
      </w:r>
      <w:r>
        <w:rPr/>
        <w:fldChar w:fldCharType="separate"/>
      </w:r>
      <w:r>
        <w:rPr/>
        <w:t>Ошибка: источник перекрёстной ссылки не найден</w:t>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4"/>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5"/>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5"/>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4"/>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4"/>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4"/>
        <w:rPr/>
      </w:pPr>
      <w:bookmarkStart w:id="170" w:name="_Hlk207817767"/>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bookmarkEnd w:id="170"/>
      <w:r>
        <w:rPr/>
        <w:t>.</w:t>
      </w:r>
    </w:p>
    <w:p>
      <w:pPr>
        <w:pStyle w:val="Style23"/>
        <w:rPr/>
      </w:pPr>
      <w:bookmarkStart w:id="171" w:name="_Toc228876869"/>
      <w:bookmarkStart w:id="172" w:name="_Ref125367242"/>
      <w:bookmarkStart w:id="173" w:name="_Ref125366091"/>
      <w:bookmarkStart w:id="174" w:name="_Ref125362658"/>
      <w:r>
        <w:rPr/>
        <w:t>Подведение итогов закупки (определение Победителя)</w:t>
      </w:r>
      <w:bookmarkEnd w:id="171"/>
      <w:bookmarkEnd w:id="172"/>
      <w:bookmarkEnd w:id="173"/>
      <w:bookmarkEnd w:id="174"/>
    </w:p>
    <w:p>
      <w:pPr>
        <w:pStyle w:val="Style24"/>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4"/>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4"/>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4"/>
        <w:keepNext w:val="true"/>
        <w:rPr/>
      </w:pPr>
      <w:bookmarkStart w:id="175"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75"/>
    </w:p>
    <w:p>
      <w:pPr>
        <w:pStyle w:val="Style25"/>
        <w:rPr/>
      </w:pPr>
      <w:r>
        <w:rPr/>
        <w:t>дата подписания протокола;</w:t>
      </w:r>
    </w:p>
    <w:p>
      <w:pPr>
        <w:pStyle w:val="Style25"/>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5"/>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5"/>
        <w:keepNext w:val="true"/>
        <w:rPr/>
      </w:pPr>
      <w:r>
        <w:rPr/>
        <w:t>результаты рассмотрения заявок с указанием (в том числе с учетом результатов рассмотрения дополнительных ценовых предложений – если проводилась переторжка), в том числе:</w:t>
      </w:r>
    </w:p>
    <w:p>
      <w:pPr>
        <w:pStyle w:val="Style26"/>
        <w:rPr/>
      </w:pPr>
      <w:r>
        <w:rPr/>
        <w:t>количества заявок, которые были отклонены (отдельно по результатам рассмотрения первых частей заявок / окончательных предложений, по результатам рассмотрения вторых частей заявок и ценовых предложений и по результатам рассмотрения дополнительных ценовых предложений – если проводилась переторжка);</w:t>
      </w:r>
    </w:p>
    <w:p>
      <w:pPr>
        <w:pStyle w:val="Style26"/>
        <w:rPr/>
      </w:pPr>
      <w:r>
        <w:rPr/>
        <w:t>оснований отклонения каждой заявки с указанием положений Документации о закупке, которым не соответствует такая заявка;</w:t>
      </w:r>
    </w:p>
    <w:p>
      <w:pPr>
        <w:pStyle w:val="Style25"/>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6"/>
        <w:rPr/>
      </w:pPr>
      <w:r>
        <w:rPr/>
        <w:t>количества заявок, которые были отклонены;</w:t>
      </w:r>
    </w:p>
    <w:p>
      <w:pPr>
        <w:pStyle w:val="Style26"/>
        <w:rPr/>
      </w:pPr>
      <w:r>
        <w:rPr/>
        <w:t>оснований отклонения каждой заявки с указанием положений Документации о закупке, которым не соответствует такая заявка;</w:t>
      </w:r>
    </w:p>
    <w:p>
      <w:pPr>
        <w:pStyle w:val="Style25"/>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5"/>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(рассмотрения дополнительных ценовых предложений – если проводилась переторжка), в том числе с учетом результатов актуализации статуса аккредитации и проведения переторжки (если указанная процедура проводились), в ранжировке заявок;</w:t>
      </w:r>
    </w:p>
    <w:p>
      <w:pPr>
        <w:pStyle w:val="Style25"/>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5"/>
        <w:rPr/>
      </w:pPr>
      <w:r>
        <w:rPr/>
        <w:t>причины, по которым закупка признана несостоявшейся (в случае ее признания таковой),</w:t>
      </w:r>
    </w:p>
    <w:p>
      <w:pPr>
        <w:pStyle w:val="Style28"/>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4"/>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4"/>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4"/>
        <w:rPr/>
      </w:pPr>
      <w:bookmarkStart w:id="176" w:name="_Hlk149314796"/>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bookmarkEnd w:id="176"/>
    </w:p>
    <w:p>
      <w:pPr>
        <w:pStyle w:val="Style23"/>
        <w:rPr/>
      </w:pPr>
      <w:bookmarkStart w:id="177" w:name="_Toc228876870"/>
      <w:bookmarkStart w:id="178" w:name="_Ref125366796"/>
      <w:bookmarkStart w:id="179" w:name="_Ref125366631"/>
      <w:bookmarkStart w:id="180" w:name="_Ref125365570"/>
      <w:bookmarkStart w:id="181" w:name="_Ref125365305"/>
      <w:bookmarkStart w:id="182" w:name="_Ref125364187"/>
      <w:bookmarkStart w:id="183" w:name="_Ref125364149"/>
      <w:r>
        <w:rPr/>
        <w:t>Признание закупки несостоявшейся</w:t>
      </w:r>
      <w:bookmarkEnd w:id="177"/>
      <w:bookmarkEnd w:id="178"/>
      <w:bookmarkEnd w:id="179"/>
      <w:bookmarkEnd w:id="180"/>
      <w:bookmarkEnd w:id="181"/>
      <w:bookmarkEnd w:id="182"/>
      <w:bookmarkEnd w:id="183"/>
    </w:p>
    <w:p>
      <w:pPr>
        <w:pStyle w:val="Style24"/>
        <w:keepNext w:val="true"/>
        <w:rPr/>
      </w:pPr>
      <w:bookmarkStart w:id="184" w:name="_Ref214289498"/>
      <w:r>
        <w:rPr/>
        <w:t>Закупка признается несостоявшейся в следующих случаях:</w:t>
      </w:r>
      <w:bookmarkEnd w:id="184"/>
    </w:p>
    <w:p>
      <w:pPr>
        <w:pStyle w:val="Style25"/>
        <w:rPr/>
      </w:pPr>
      <w:r>
        <w:rPr/>
        <w:t>если по окончанию срока подачи заявок поступило менее 2 (двух) заявок (с учетом возможных отзывов заявок);</w:t>
      </w:r>
    </w:p>
    <w:p>
      <w:pPr>
        <w:pStyle w:val="Style25"/>
        <w:rPr/>
      </w:pPr>
      <w:r>
        <w:rPr/>
        <w:t>по результатам рассмотрения первых частей заявок / окончательных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5"/>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5"/>
        <w:rPr/>
      </w:pPr>
      <w:r>
        <w:rPr/>
        <w:t>по результатам рассмотрения дополнительных ценовых предложений – если проводилась процедура переторжки, Закупочной комиссией принято решение о признании менее 2 (двух) заявок соответствующими требованиям Документации о закупки;</w:t>
      </w:r>
    </w:p>
    <w:p>
      <w:pPr>
        <w:pStyle w:val="Style25"/>
        <w:rPr/>
      </w:pPr>
      <w:bookmarkStart w:id="185"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5.3</w:t>
      </w:r>
      <w:r>
        <w:rPr/>
        <w:fldChar w:fldCharType="end"/>
      </w:r>
      <w:bookmarkEnd w:id="185"/>
      <w:r>
        <w:rPr/>
        <w:t>).</w:t>
      </w:r>
    </w:p>
    <w:p>
      <w:pPr>
        <w:pStyle w:val="Style24"/>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4"/>
        <w:keepNext w:val="true"/>
        <w:rPr/>
      </w:pPr>
      <w:r>
        <w:rPr/>
        <w:t>В случае признания закупки несостоявшейся (с учетом условий, предусмотренных Положением о закупке):</w:t>
      </w:r>
    </w:p>
    <w:p>
      <w:pPr>
        <w:pStyle w:val="Style25"/>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5"/>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hanging="0" w:left="1701"/>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hanging="426" w:left="2127"/>
        <w:rPr>
          <w:sz w:val="26"/>
          <w:szCs w:val="26"/>
        </w:rPr>
      </w:pPr>
      <w:bookmarkStart w:id="186"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86"/>
    </w:p>
    <w:p>
      <w:pPr>
        <w:pStyle w:val="Style25"/>
        <w:rPr/>
      </w:pPr>
      <w:r>
        <w:rPr/>
        <w:t xml:space="preserve">если не поступило ни одной заявки,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87" w:name="_Hlk219301655"/>
      <w:bookmarkStart w:id="188" w:name="_Hlk219297054"/>
      <w:r>
        <w:rPr/>
        <w:t>либо по результатам проведения закупки от заключения договора уклонились все допущенные Участники</w:t>
      </w:r>
      <w:bookmarkEnd w:id="188"/>
      <w:r>
        <w:rPr/>
        <w:t xml:space="preserve"> </w:t>
      </w:r>
      <w:bookmarkEnd w:id="187"/>
      <w:r>
        <w:rPr/>
        <w:t>–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5"/>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3"/>
        <w:rPr/>
      </w:pPr>
      <w:bookmarkStart w:id="189" w:name="_Toc228876871"/>
      <w:bookmarkStart w:id="190" w:name="_Ref132816141"/>
      <w:bookmarkStart w:id="191" w:name="_Ref132816134"/>
      <w:bookmarkStart w:id="192" w:name="_Ref126141962"/>
      <w:r>
        <w:rPr/>
        <w:t>Отказ от проведения закупки</w:t>
      </w:r>
      <w:bookmarkEnd w:id="192"/>
      <w:r>
        <w:rPr/>
        <w:t xml:space="preserve"> (отмена закупки)</w:t>
      </w:r>
      <w:bookmarkEnd w:id="189"/>
      <w:bookmarkEnd w:id="190"/>
      <w:bookmarkEnd w:id="191"/>
    </w:p>
    <w:p>
      <w:pPr>
        <w:pStyle w:val="Style24"/>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4"/>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4"/>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3"/>
        <w:rPr/>
      </w:pPr>
      <w:bookmarkStart w:id="193" w:name="_Toc228876872"/>
      <w:bookmarkStart w:id="194" w:name="_Ref130455226"/>
      <w:r>
        <w:rPr/>
        <w:t>Особенности проведения закупки с необходимостью обеспечения заявки</w:t>
      </w:r>
      <w:bookmarkEnd w:id="193"/>
      <w:bookmarkEnd w:id="194"/>
    </w:p>
    <w:p>
      <w:pPr>
        <w:pStyle w:val="Style24"/>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4"/>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4"/>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4"/>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4"/>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4"/>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4"/>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4"/>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5"/>
        <w:rPr/>
      </w:pPr>
      <w:r>
        <w:rPr/>
        <w:t>независимая гарантия должна быть безотзывной и безусловной (гарантия по первому требованию);</w:t>
      </w:r>
    </w:p>
    <w:p>
      <w:pPr>
        <w:pStyle w:val="Style25"/>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5"/>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25"/>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5"/>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5"/>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5"/>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5"/>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25"/>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5"/>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5"/>
        <w:rPr/>
      </w:pPr>
      <w:bookmarkStart w:id="195" w:name="_Ref132716380"/>
      <w:r>
        <w:rPr/>
        <w:t>независимая гарантия должна быть выдана организацией из числа указанных в части 1 статьи 45 Закона 44-ФЗ;</w:t>
      </w:r>
      <w:bookmarkEnd w:id="195"/>
    </w:p>
    <w:p>
      <w:pPr>
        <w:pStyle w:val="Style25"/>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5"/>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4"/>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4"/>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4"/>
        <w:rPr/>
      </w:pPr>
      <w:r>
        <w:rPr/>
        <w:t>При многолотовой закупке (подраздел </w:t>
      </w:r>
      <w:r>
        <w:rPr/>
        <w:fldChar w:fldCharType="begin"/>
      </w:r>
      <w:r>
        <w:rPr/>
        <w:instrText xml:space="preserve"> REF _Ref149317133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4"/>
        <w:rPr/>
      </w:pPr>
      <w:r>
        <w:rPr/>
        <w:t>Подать заявку (принять участие в закупке) могут только Участники, предоставившие надлежащее обеспечение их заявок.</w:t>
      </w:r>
    </w:p>
    <w:p>
      <w:pPr>
        <w:pStyle w:val="Style24"/>
        <w:rPr/>
      </w:pPr>
      <w:r>
        <w:rPr/>
        <w:t>Требование об обеспечении заявки в равной мере распространяется на всех Участников.</w:t>
      </w:r>
    </w:p>
    <w:p>
      <w:pPr>
        <w:pStyle w:val="Style24"/>
        <w:keepNext w:val="true"/>
        <w:rPr/>
      </w:pPr>
      <w:bookmarkStart w:id="196"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6"/>
    </w:p>
    <w:p>
      <w:pPr>
        <w:pStyle w:val="Style25"/>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25"/>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4"/>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24"/>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5"/>
        <w:rPr/>
      </w:pPr>
      <w:r>
        <w:rPr/>
        <w:t>принятия решения об отказе от проведения закупки – всем Участникам, подавшим заявки к моменту принятия такого решения;</w:t>
      </w:r>
    </w:p>
    <w:p>
      <w:pPr>
        <w:pStyle w:val="Style25"/>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5"/>
        <w:rPr/>
      </w:pPr>
      <w:r>
        <w:rPr/>
        <w:t>официального размещения итогового протокола по результатам закупки – всем Участникам, кроме Победителя;</w:t>
      </w:r>
    </w:p>
    <w:p>
      <w:pPr>
        <w:pStyle w:val="Style25"/>
        <w:rPr/>
      </w:pPr>
      <w:r>
        <w:rPr/>
        <w:t>заключения Договора по результатам закупки – Победителю, с которым заключен Договор;</w:t>
      </w:r>
    </w:p>
    <w:p>
      <w:pPr>
        <w:pStyle w:val="Style25"/>
        <w:rPr/>
      </w:pPr>
      <w:r>
        <w:rPr/>
        <w:t>признания закупки несостоявшейся – Участнику, которому обеспечение не было возвращено по иным основаниям.</w:t>
      </w:r>
    </w:p>
    <w:p>
      <w:pPr>
        <w:pStyle w:val="Style24"/>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23"/>
        <w:rPr/>
      </w:pPr>
      <w:bookmarkStart w:id="197" w:name="_Ref130225422"/>
      <w:bookmarkStart w:id="198" w:name="_Toc228876873"/>
      <w:bookmarkStart w:id="199" w:name="_Ref149317133"/>
      <w:r>
        <w:rPr/>
        <w:t>Особенности проведения многолотовой закупки</w:t>
      </w:r>
      <w:bookmarkEnd w:id="197"/>
      <w:bookmarkEnd w:id="198"/>
      <w:bookmarkEnd w:id="199"/>
    </w:p>
    <w:p>
      <w:pPr>
        <w:pStyle w:val="Style24"/>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4"/>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4"/>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4"/>
        <w:rPr/>
      </w:pPr>
      <w:r>
        <w:rPr/>
        <w:t>Участник может подать одну заявку / одно окончательное предложение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 одному окончательному предложению на каждый лот, не считается подачей второй заявки / окончательного предложения на закупку.</w:t>
      </w:r>
    </w:p>
    <w:p>
      <w:pPr>
        <w:pStyle w:val="Style24"/>
        <w:keepNext w:val="true"/>
        <w:rPr/>
      </w:pPr>
      <w:r>
        <w:rPr/>
        <w:t>В случае подачи заявки / окончательного предложения на несколько лотов дополнительно должны быть соблюдены следующие требования:</w:t>
      </w:r>
    </w:p>
    <w:p>
      <w:pPr>
        <w:pStyle w:val="Style25"/>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5"/>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4"/>
        <w:rPr/>
      </w:pPr>
      <w:r>
        <w:rPr/>
        <w:t>Решения, принимаемые в ходе процедуры закупки, в том числе решения в рамках рассмотрения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31"/>
        <w:keepNext w:val="true"/>
        <w:rPr/>
      </w:pPr>
      <w:r>
        <w:rPr/>
      </w:r>
    </w:p>
    <w:p>
      <w:pPr>
        <w:pStyle w:val="Style22"/>
        <w:rPr/>
      </w:pPr>
      <w:bookmarkStart w:id="200" w:name="_Ref125367087"/>
      <w:bookmarkStart w:id="201" w:name="_Ref125367083"/>
      <w:bookmarkStart w:id="202" w:name="_Ref125366769"/>
      <w:bookmarkStart w:id="203" w:name="_Ref125363439"/>
      <w:bookmarkStart w:id="204" w:name="_Ref125362671"/>
      <w:bookmarkStart w:id="205" w:name="_Ref125361212"/>
      <w:bookmarkStart w:id="206" w:name="_Toc228876875"/>
      <w:bookmarkStart w:id="207" w:name="_Ref130224037"/>
      <w:bookmarkStart w:id="208" w:name="_Ref126142429"/>
      <w:r>
        <w:rPr/>
        <w:t>Порядок заключения Договора</w:t>
      </w:r>
      <w:bookmarkEnd w:id="200"/>
      <w:bookmarkEnd w:id="201"/>
      <w:bookmarkEnd w:id="202"/>
      <w:bookmarkEnd w:id="203"/>
      <w:bookmarkEnd w:id="204"/>
      <w:bookmarkEnd w:id="205"/>
      <w:bookmarkEnd w:id="206"/>
      <w:bookmarkEnd w:id="207"/>
      <w:bookmarkEnd w:id="208"/>
    </w:p>
    <w:p>
      <w:pPr>
        <w:pStyle w:val="Style23"/>
        <w:rPr/>
      </w:pPr>
      <w:bookmarkStart w:id="209" w:name="_Toc228876876"/>
      <w:r>
        <w:rPr/>
        <w:t>Общие положения</w:t>
      </w:r>
      <w:bookmarkEnd w:id="209"/>
    </w:p>
    <w:p>
      <w:pPr>
        <w:pStyle w:val="Style24"/>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3"/>
        <w:rPr/>
      </w:pPr>
      <w:bookmarkStart w:id="210" w:name="_Ref125368755"/>
      <w:bookmarkStart w:id="211" w:name="_Ref125366947"/>
      <w:bookmarkStart w:id="212" w:name="_Toc228876877"/>
      <w:bookmarkStart w:id="213" w:name="_Ref138341423"/>
      <w:r>
        <w:rPr/>
        <w:t>Заключение Договора</w:t>
      </w:r>
      <w:bookmarkEnd w:id="210"/>
      <w:bookmarkEnd w:id="211"/>
      <w:bookmarkEnd w:id="212"/>
      <w:bookmarkEnd w:id="213"/>
    </w:p>
    <w:p>
      <w:pPr>
        <w:pStyle w:val="Style24"/>
        <w:rPr/>
      </w:pPr>
      <w:bookmarkStart w:id="214" w:name="_Ref130293821"/>
      <w:bookmarkStart w:id="215"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14"/>
      <w:bookmarkEnd w:id="215"/>
    </w:p>
    <w:p>
      <w:pPr>
        <w:pStyle w:val="Style24"/>
        <w:rPr/>
      </w:pPr>
      <w:r>
        <w:rPr/>
        <w:t>Договор не может быть заключен, если это запрещено законодательством о национальном режиме .</w:t>
      </w:r>
    </w:p>
    <w:p>
      <w:pPr>
        <w:pStyle w:val="Style24"/>
        <w:rPr/>
      </w:pPr>
      <w:bookmarkStart w:id="216" w:name="_Ref125363464"/>
      <w:bookmarkStart w:id="217" w:name="_Hlk207818000"/>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4"/>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5"/>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5"/>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17"/>
      <w:r>
        <w:rPr/>
        <w:t>.</w:t>
      </w:r>
      <w:bookmarkEnd w:id="216"/>
    </w:p>
    <w:p>
      <w:pPr>
        <w:pStyle w:val="Style24"/>
        <w:rPr/>
      </w:pPr>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w:t>
      </w:r>
      <w:bookmarkStart w:id="218" w:name="_Hlk207818034"/>
      <w:r>
        <w:rPr/>
        <w:t>Portable Document Format (</w:t>
      </w:r>
      <w:r>
        <w:rPr>
          <w:lang w:val="en-US"/>
        </w:rPr>
        <w:t>pdf</w:t>
      </w:r>
      <w:r>
        <w:rPr/>
        <w:t>)</w:t>
      </w:r>
      <w:bookmarkEnd w:id="218"/>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4"/>
        <w:keepNext w:val="true"/>
        <w:rPr/>
      </w:pPr>
      <w:bookmarkStart w:id="219"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19"/>
    </w:p>
    <w:p>
      <w:pPr>
        <w:pStyle w:val="Style25"/>
        <w:keepNext w:val="true"/>
        <w:rPr/>
      </w:pPr>
      <w:r>
        <w:rPr/>
        <w:t>для юридического лица:</w:t>
      </w:r>
    </w:p>
    <w:p>
      <w:pPr>
        <w:pStyle w:val="Style26"/>
        <w:rPr/>
      </w:pPr>
      <w:r>
        <w:rPr/>
        <w:t>копия устава в действующей редакции с отметкой ИФНС либо копия нотариально заверенного устава (с отметкой нотариуса);</w:t>
      </w:r>
    </w:p>
    <w:p>
      <w:pPr>
        <w:pStyle w:val="Style26"/>
        <w:rPr/>
      </w:pPr>
      <w:bookmarkStart w:id="220"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20"/>
    </w:p>
    <w:p>
      <w:pPr>
        <w:pStyle w:val="Style26"/>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5"/>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5"/>
        <w:rPr/>
      </w:pPr>
      <w:r>
        <w:rPr/>
        <w:t>для физического лица: нотариально заверенная копия всех страниц документа, удостоверяющего личность (паспорта)</w:t>
      </w:r>
      <w:bookmarkStart w:id="221" w:name="_Ref125361554"/>
      <w:r>
        <w:rPr/>
        <w:t>.</w:t>
      </w:r>
      <w:bookmarkEnd w:id="221"/>
    </w:p>
    <w:p>
      <w:pPr>
        <w:pStyle w:val="Style24"/>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4"/>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4"/>
        <w:keepNext w:val="true"/>
        <w:rPr/>
      </w:pPr>
      <w:bookmarkStart w:id="222"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22"/>
    </w:p>
    <w:p>
      <w:pPr>
        <w:pStyle w:val="Style25"/>
        <w:rPr/>
      </w:pPr>
      <w:r>
        <w:rPr/>
        <w:t>итоговый протокол по результатам закупки;</w:t>
      </w:r>
    </w:p>
    <w:p>
      <w:pPr>
        <w:pStyle w:val="Style25"/>
        <w:rPr/>
      </w:pPr>
      <w:r>
        <w:rPr/>
        <w:t>Извещение и Документация о закупке со всеми изменениями;</w:t>
      </w:r>
    </w:p>
    <w:p>
      <w:pPr>
        <w:pStyle w:val="Style25"/>
        <w:rPr/>
      </w:pPr>
      <w:r>
        <w:rPr/>
        <w:t>заявка Победителя со всеми дополнениями и разъяснениями.</w:t>
      </w:r>
    </w:p>
    <w:p>
      <w:pPr>
        <w:pStyle w:val="Style24"/>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4"/>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4"/>
        <w:rPr/>
      </w:pPr>
      <w:bookmarkStart w:id="223"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23"/>
    </w:p>
    <w:p>
      <w:pPr>
        <w:pStyle w:val="Style24"/>
        <w:rPr/>
      </w:pPr>
      <w:bookmarkStart w:id="224"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25"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25"/>
      <w:r>
        <w:rPr/>
        <w:t>.</w:t>
      </w:r>
      <w:bookmarkEnd w:id="224"/>
    </w:p>
    <w:p>
      <w:pPr>
        <w:pStyle w:val="Style24"/>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3"/>
        <w:rPr/>
      </w:pPr>
      <w:bookmarkStart w:id="226" w:name="_Toc228876878"/>
      <w:bookmarkStart w:id="227" w:name="_Ref125367068"/>
      <w:r>
        <w:rPr/>
        <w:t>Уклонение Победителя от заключения Договора</w:t>
      </w:r>
      <w:bookmarkEnd w:id="226"/>
      <w:bookmarkEnd w:id="227"/>
    </w:p>
    <w:p>
      <w:pPr>
        <w:pStyle w:val="Style24"/>
        <w:keepNext w:val="true"/>
        <w:rPr/>
      </w:pPr>
      <w:r>
        <w:rPr/>
        <w:t>Если Победитель закупки:</w:t>
      </w:r>
    </w:p>
    <w:p>
      <w:pPr>
        <w:pStyle w:val="Style25"/>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5"/>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5"/>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5"/>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5"/>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5"/>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5"/>
        <w:rPr/>
      </w:pPr>
      <w:r>
        <w:rPr/>
        <w:t>не выполнит другие условия, прямо предусмотренные Документацией о закупке,</w:t>
      </w:r>
    </w:p>
    <w:p>
      <w:pPr>
        <w:pStyle w:val="Style28"/>
        <w:ind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2"/>
        <w:rPr/>
      </w:pPr>
      <w:bookmarkStart w:id="228" w:name="_Toc228876879"/>
      <w:bookmarkStart w:id="229" w:name="Прил01_ТехТребования"/>
      <w:bookmarkStart w:id="230" w:name="_Ref125370843"/>
      <w:bookmarkStart w:id="231" w:name="_Ref125370750"/>
      <w:bookmarkStart w:id="232" w:name="_Ref125370746"/>
      <w:bookmarkStart w:id="233" w:name="_Ref125370741"/>
      <w:bookmarkStart w:id="234" w:name="_Ref125370732"/>
      <w:bookmarkStart w:id="235" w:name="_Ref125364201"/>
      <w:bookmarkStart w:id="236" w:name="_Ref125364088"/>
      <w:bookmarkStart w:id="237" w:name="_Ref125363752"/>
      <w:bookmarkStart w:id="238" w:name="_Ref125363600"/>
      <w:bookmarkStart w:id="239" w:name="_Ref125363034"/>
      <w:bookmarkStart w:id="240" w:name="_Ref125363023"/>
      <w:bookmarkStart w:id="241" w:name="_Ref125363016"/>
      <w:r>
        <w:rPr/>
        <w:t>Приложение № 1 – Технические требования</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Style23"/>
        <w:rPr/>
      </w:pPr>
      <w:bookmarkStart w:id="242" w:name="_Toc228876880"/>
      <w:r>
        <w:rPr/>
        <w:t>Пояснения к Техническим требованиям</w:t>
      </w:r>
      <w:bookmarkEnd w:id="242"/>
    </w:p>
    <w:p>
      <w:pPr>
        <w:pStyle w:val="Style24"/>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2"/>
        <w:rPr/>
      </w:pPr>
      <w:bookmarkStart w:id="243" w:name="_Toc228876881"/>
      <w:bookmarkStart w:id="244" w:name="Прил02_ПроектДоговора"/>
      <w:bookmarkStart w:id="245" w:name="_Ref125370754"/>
      <w:bookmarkStart w:id="246" w:name="_Ref125364206"/>
      <w:bookmarkStart w:id="247" w:name="_Ref125364081"/>
      <w:bookmarkStart w:id="248" w:name="_Ref125363759"/>
      <w:bookmarkStart w:id="249" w:name="_Ref125363605"/>
      <w:bookmarkStart w:id="250" w:name="_Ref125363040"/>
      <w:bookmarkStart w:id="251" w:name="_Ref125361746"/>
      <w:r>
        <w:rPr/>
        <w:t>Приложение № 2 – Проект договора</w:t>
      </w:r>
      <w:bookmarkEnd w:id="243"/>
      <w:bookmarkEnd w:id="244"/>
      <w:bookmarkEnd w:id="245"/>
      <w:bookmarkEnd w:id="246"/>
      <w:bookmarkEnd w:id="247"/>
      <w:bookmarkEnd w:id="248"/>
      <w:bookmarkEnd w:id="249"/>
      <w:bookmarkEnd w:id="250"/>
      <w:bookmarkEnd w:id="251"/>
    </w:p>
    <w:p>
      <w:pPr>
        <w:pStyle w:val="Style23"/>
        <w:rPr/>
      </w:pPr>
      <w:bookmarkStart w:id="252" w:name="_Toc228876882"/>
      <w:r>
        <w:rPr/>
        <w:t>Пояснения к Проекту договора</w:t>
      </w:r>
      <w:bookmarkEnd w:id="252"/>
    </w:p>
    <w:p>
      <w:pPr>
        <w:pStyle w:val="Style24"/>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4"/>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24"/>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4"/>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53" w:name="_MON_1736255517"/>
      <w:bookmarkEnd w:id="253"/>
    </w:p>
    <w:p>
      <w:pPr>
        <w:sectPr>
          <w:headerReference w:type="default" r:id="rId15"/>
          <w:headerReference w:type="first" r:id="rId16"/>
          <w:footerReference w:type="default" r:id="rId17"/>
          <w:footerReference w:type="first" r:id="rId1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8"/>
        <w:jc w:val="center"/>
        <w:rPr/>
      </w:pPr>
      <w:r>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8.05pt;height:47.8pt;mso-wrap-distance-right:0pt" filled="f" o:ole="">
            <v:imagedata r:id="rId14" o:title=""/>
          </v:shape>
          <o:OLEObject Type="Embed" ProgID="Word.Document.12" ShapeID="ole_rId13" DrawAspect="Icon" ObjectID="_1113980771" r:id="rId13"/>
        </w:object>
      </w:r>
    </w:p>
    <w:p>
      <w:pPr>
        <w:pStyle w:val="Style22"/>
        <w:rPr/>
      </w:pPr>
      <w:bookmarkStart w:id="254" w:name="_Toc228876883"/>
      <w:bookmarkStart w:id="255" w:name="Прил03_ТребованияУчастникам"/>
      <w:bookmarkStart w:id="256" w:name="_Ref125370013"/>
      <w:bookmarkStart w:id="257" w:name="_Ref125365476"/>
      <w:bookmarkStart w:id="258" w:name="_Ref125361908"/>
      <w:bookmarkStart w:id="259" w:name="_Ref125361494"/>
      <w:r>
        <w:rPr/>
        <w:t>Приложение № 3 – Требования к Участникам</w:t>
      </w:r>
      <w:bookmarkEnd w:id="254"/>
      <w:bookmarkEnd w:id="255"/>
      <w:bookmarkEnd w:id="256"/>
      <w:bookmarkEnd w:id="257"/>
      <w:bookmarkEnd w:id="258"/>
      <w:bookmarkEnd w:id="259"/>
    </w:p>
    <w:p>
      <w:pPr>
        <w:pStyle w:val="Style23"/>
        <w:rPr/>
      </w:pPr>
      <w:bookmarkStart w:id="260" w:name="_Toc228876884"/>
      <w:r>
        <w:rPr/>
        <w:t>Пояснения к требованиям к Участникам</w:t>
      </w:r>
      <w:bookmarkEnd w:id="260"/>
    </w:p>
    <w:p>
      <w:pPr>
        <w:pStyle w:val="Style24"/>
        <w:rPr/>
      </w:pPr>
      <w:bookmarkStart w:id="261"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61"/>
    </w:p>
    <w:p>
      <w:pPr>
        <w:pStyle w:val="Style23"/>
        <w:spacing w:before="360" w:after="120"/>
        <w:rPr/>
      </w:pPr>
      <w:bookmarkStart w:id="262" w:name="_Toc228876885"/>
      <w:bookmarkStart w:id="263" w:name="_Ref125370071"/>
      <w:bookmarkStart w:id="264" w:name="_Ref125370064"/>
      <w:bookmarkStart w:id="265" w:name="_Ref125370058"/>
      <w:bookmarkStart w:id="266" w:name="_Ref125369088"/>
      <w:bookmarkStart w:id="267" w:name="_Ref125368895"/>
      <w:bookmarkStart w:id="268" w:name="_Ref125368812"/>
      <w:bookmarkStart w:id="269" w:name="_Ref125366879"/>
      <w:bookmarkStart w:id="270" w:name="_Ref125361926"/>
      <w:bookmarkStart w:id="271" w:name="_Ref125361846"/>
      <w:bookmarkStart w:id="272" w:name="_Ref125361832"/>
      <w:bookmarkStart w:id="273" w:name="_Ref125361617"/>
      <w:bookmarkStart w:id="274" w:name="_Ref125361590"/>
      <w:bookmarkStart w:id="275" w:name="_Ref125361435"/>
      <w:r>
        <w:rPr/>
        <w:t>Обязательные требования</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8"/>
              <w:widowControl/>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76" w:name="_Ref125552433"/>
            <w:bookmarkStart w:id="277" w:name="_Ref125552433"/>
            <w:bookmarkEnd w:id="277"/>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8"/>
              <w:widowControl/>
              <w:numPr>
                <w:ilvl w:val="0"/>
                <w:numId w:val="13"/>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28"/>
              <w:widowControl/>
              <w:numPr>
                <w:ilvl w:val="0"/>
                <w:numId w:val="14"/>
              </w:numPr>
              <w:suppressAutoHyphens w:val="true"/>
              <w:spacing w:before="60" w:after="60"/>
              <w:ind w:hanging="284" w:left="568"/>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8"/>
              <w:widowControl/>
              <w:numPr>
                <w:ilvl w:val="0"/>
                <w:numId w:val="13"/>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28"/>
              <w:widowControl/>
              <w:numPr>
                <w:ilvl w:val="0"/>
                <w:numId w:val="14"/>
              </w:numPr>
              <w:suppressAutoHyphens w:val="true"/>
              <w:spacing w:before="60" w:after="60"/>
              <w:ind w:hanging="284" w:left="568"/>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8"/>
              <w:widowControl/>
              <w:numPr>
                <w:ilvl w:val="0"/>
                <w:numId w:val="14"/>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8"/>
              <w:widowControl/>
              <w:numPr>
                <w:ilvl w:val="0"/>
                <w:numId w:val="14"/>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8"/>
              <w:widowControl/>
              <w:suppressAutoHyphens w:val="true"/>
              <w:spacing w:before="60" w:after="60"/>
              <w:ind w:left="284"/>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8"/>
              <w:widowControl/>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78" w:name="_Ref132893662"/>
            <w:bookmarkStart w:id="279" w:name="_Ref132893662"/>
            <w:bookmarkEnd w:id="279"/>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28"/>
              <w:widowControl/>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0" w:name="_Ref139029906"/>
            <w:bookmarkStart w:id="281" w:name="_Ref139029906"/>
            <w:bookmarkEnd w:id="281"/>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28"/>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8"/>
              <w:widowControl/>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2" w:name="_Ref186181914"/>
            <w:bookmarkStart w:id="283" w:name="_Ref186181914"/>
            <w:bookmarkEnd w:id="283"/>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8"/>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8"/>
              <w:widowControl/>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4" w:name="_Ref186181918"/>
            <w:bookmarkStart w:id="285" w:name="_Ref186181918"/>
            <w:bookmarkEnd w:id="285"/>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8"/>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3"/>
        <w:spacing w:before="360" w:after="120"/>
        <w:rPr/>
      </w:pPr>
      <w:bookmarkStart w:id="286" w:name="_Toc228876886"/>
      <w:bookmarkStart w:id="287" w:name="_Ref125709888"/>
      <w:bookmarkStart w:id="288" w:name="_Ref125709401"/>
      <w:bookmarkStart w:id="289" w:name="_Ref125709250"/>
      <w:bookmarkStart w:id="290" w:name="_Ref125709153"/>
      <w:bookmarkStart w:id="291" w:name="_Ref125370079"/>
      <w:bookmarkStart w:id="292" w:name="_Ref125369099"/>
      <w:bookmarkStart w:id="293" w:name="_Ref125368916"/>
      <w:bookmarkStart w:id="294" w:name="_Ref125368901"/>
      <w:bookmarkStart w:id="295" w:name="_Ref125368818"/>
      <w:bookmarkStart w:id="296" w:name="_Ref125367539"/>
      <w:bookmarkStart w:id="297" w:name="_Ref125367521"/>
      <w:bookmarkStart w:id="298" w:name="_Ref125365459"/>
      <w:bookmarkStart w:id="299" w:name="_Ref125361937"/>
      <w:bookmarkStart w:id="300" w:name="_Ref125361869"/>
      <w:bookmarkStart w:id="301" w:name="_Ref125361671"/>
      <w:bookmarkStart w:id="302" w:name="_Ref125361633"/>
      <w:bookmarkStart w:id="303" w:name="_Ref125361442"/>
      <w:r>
        <w:rPr/>
        <w:t>Специальные требования</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28"/>
              <w:widowControl/>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Специальные требования не установлены.</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Специальные требования не установлены.</w:t>
            </w:r>
          </w:p>
        </w:tc>
      </w:tr>
    </w:tbl>
    <w:p>
      <w:pPr>
        <w:pStyle w:val="Style23"/>
        <w:spacing w:before="360" w:after="120"/>
        <w:rPr/>
      </w:pPr>
      <w:bookmarkStart w:id="304" w:name="_Toc228876887"/>
      <w:bookmarkStart w:id="305" w:name="_Ref125709973"/>
      <w:bookmarkStart w:id="306" w:name="_Ref125709777"/>
      <w:bookmarkStart w:id="307" w:name="_Ref125370209"/>
      <w:bookmarkStart w:id="308" w:name="_Ref125370180"/>
      <w:bookmarkStart w:id="309" w:name="_Ref125370173"/>
      <w:bookmarkStart w:id="310" w:name="_Ref125369117"/>
      <w:bookmarkStart w:id="311" w:name="_Ref125362031"/>
      <w:bookmarkStart w:id="312" w:name="_Ref125361823"/>
      <w:r>
        <w:rPr/>
        <w:t>Дополнительные требования к Генеральным подрядчикам</w:t>
      </w:r>
      <w:bookmarkEnd w:id="304"/>
      <w:bookmarkEnd w:id="305"/>
      <w:bookmarkEnd w:id="306"/>
      <w:bookmarkEnd w:id="307"/>
      <w:bookmarkEnd w:id="308"/>
      <w:bookmarkEnd w:id="309"/>
      <w:bookmarkEnd w:id="310"/>
      <w:bookmarkEnd w:id="311"/>
      <w:bookmarkEnd w:id="312"/>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8"/>
              <w:widowControl/>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13" w:name="_Ref125370187"/>
            <w:bookmarkStart w:id="314" w:name="_Ref125370187"/>
            <w:bookmarkEnd w:id="314"/>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28"/>
              <w:widowControl/>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15" w:name="_Ref125370193"/>
            <w:bookmarkStart w:id="316" w:name="_Ref125370193"/>
            <w:bookmarkEnd w:id="316"/>
          </w:p>
        </w:tc>
        <w:tc>
          <w:tcPr>
            <w:tcW w:w="5671" w:type="dxa"/>
            <w:tcBorders/>
          </w:tcPr>
          <w:p>
            <w:pPr>
              <w:pStyle w:val="Style28"/>
              <w:widowControl/>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8"/>
              <w:widowControl/>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17" w:name="_Ref125553847"/>
            <w:bookmarkStart w:id="318" w:name="_Ref125553847"/>
            <w:bookmarkEnd w:id="318"/>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2"/>
        <w:rPr/>
      </w:pPr>
      <w:bookmarkStart w:id="319" w:name="_Toc228876888"/>
      <w:bookmarkStart w:id="320" w:name="Прил04_ФормыЗаявки"/>
      <w:bookmarkEnd w:id="320"/>
      <w:r>
        <w:rPr/>
        <w:t>Приложение № 4 – Образцы форм документов, включаемых в состав заявки</w:t>
      </w:r>
      <w:bookmarkEnd w:id="319"/>
    </w:p>
    <w:p>
      <w:pPr>
        <w:pStyle w:val="Style23"/>
        <w:rPr/>
      </w:pPr>
      <w:bookmarkStart w:id="321" w:name="_Toc228876889"/>
      <w:r>
        <w:rPr/>
        <w:t>Пояснения к Образцам форм документов, включаемых в состав заявки</w:t>
      </w:r>
      <w:bookmarkEnd w:id="321"/>
    </w:p>
    <w:p>
      <w:pPr>
        <w:pStyle w:val="Style24"/>
        <w:rPr/>
      </w:pPr>
      <w:r>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322" w:name="_Hlk207818315"/>
      <w:r>
        <w:rPr/>
        <w:t>Участник при подготовке заявки обязан придерживаться установленных форм документов</w:t>
      </w:r>
      <w:bookmarkEnd w:id="322"/>
      <w:r>
        <w:rPr/>
        <w:t>.</w:t>
      </w:r>
    </w:p>
    <w:p>
      <w:pPr>
        <w:pStyle w:val="Style22"/>
        <w:rPr/>
      </w:pPr>
      <w:bookmarkStart w:id="323" w:name="_Toc228876890"/>
      <w:bookmarkStart w:id="324" w:name="Прил05_ФормыПобедителя"/>
      <w:bookmarkEnd w:id="324"/>
      <w:r>
        <w:rPr/>
        <w:t>Приложение № 5 – Образцы форм документов, предоставляемых Победителем</w:t>
      </w:r>
      <w:bookmarkEnd w:id="323"/>
    </w:p>
    <w:p>
      <w:pPr>
        <w:pStyle w:val="Style23"/>
        <w:rPr/>
      </w:pPr>
      <w:bookmarkStart w:id="325" w:name="_Toc228876891"/>
      <w:r>
        <w:rPr/>
        <w:t>Пояснения к Образцам форм документов, предоставляемых Победителем</w:t>
      </w:r>
      <w:bookmarkEnd w:id="325"/>
    </w:p>
    <w:p>
      <w:pPr>
        <w:pStyle w:val="Style24"/>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3"/>
        <w:rPr/>
      </w:pPr>
      <w:bookmarkStart w:id="326" w:name="_Toc228876892"/>
      <w:bookmarkStart w:id="327" w:name="_Ref130395470"/>
      <w:r>
        <w:rPr/>
        <w:t>Форма справки «Сведения о цепочке собственников, включая бенефициаров (в том числе конечных)»</w:t>
      </w:r>
      <w:bookmarkEnd w:id="326"/>
      <w:bookmarkEnd w:id="327"/>
    </w:p>
    <w:p>
      <w:pPr>
        <w:pStyle w:val="Style24"/>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4"/>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28" w:name="_MON_1805621314"/>
    </w:p>
    <w:p>
      <w:pPr>
        <w:pStyle w:val="Style28"/>
        <w:jc w:val="center"/>
        <w:rPr/>
      </w:pPr>
      <w:bookmarkStart w:id="329" w:name="_Hlk207818329"/>
      <w:bookmarkEnd w:id="328"/>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6.25pt;height:50.8pt;mso-wrap-distance-right:0pt" filled="f" o:ole="">
            <v:imagedata r:id="rId24" o:title=""/>
          </v:shape>
          <o:OLEObject Type="Embed" ProgID="Word.Document.12" ShapeID="ole_rId23" DrawAspect="Icon" ObjectID="_225989686" r:id="rId23"/>
        </w:object>
      </w:r>
      <w:bookmarkEnd w:id="329"/>
    </w:p>
    <w:p>
      <w:pPr>
        <w:pStyle w:val="Style23"/>
        <w:rPr/>
      </w:pPr>
      <w:bookmarkStart w:id="330" w:name="_Toc228876893"/>
      <w:bookmarkStart w:id="331" w:name="_Ref130395475"/>
      <w:r>
        <w:rPr/>
        <w:t>Форма «Заверение об обстоятельствах»</w:t>
      </w:r>
      <w:bookmarkEnd w:id="330"/>
      <w:bookmarkEnd w:id="331"/>
    </w:p>
    <w:p>
      <w:pPr>
        <w:pStyle w:val="Style24"/>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4"/>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4"/>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4"/>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32" w:name="_MON_1741074184"/>
    </w:p>
    <w:p>
      <w:pPr>
        <w:pStyle w:val="Style28"/>
        <w:spacing w:before="120" w:after="120"/>
        <w:jc w:val="center"/>
        <w:rPr/>
      </w:pPr>
      <w:bookmarkEnd w:id="332"/>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8.05pt;height:50.8pt;mso-wrap-distance-right:0pt;mso-wrap-distance-bottom:6pt" filled="f" o:ole="">
            <v:imagedata r:id="rId26" o:title=""/>
          </v:shape>
          <o:OLEObject Type="Embed" ProgID="Word.Document.12" ShapeID="ole_rId25" DrawAspect="Icon" ObjectID="_1228086016" r:id="rId25"/>
        </w:object>
      </w:r>
    </w:p>
    <w:p>
      <w:pPr>
        <w:pStyle w:val="Style22"/>
        <w:rPr/>
      </w:pPr>
      <w:bookmarkStart w:id="333" w:name="_Ref125362900"/>
      <w:bookmarkStart w:id="334" w:name="_Ref125362865"/>
      <w:bookmarkStart w:id="335" w:name="_Toc228876894"/>
      <w:bookmarkStart w:id="336" w:name="Прил06_СоставЗаявки"/>
      <w:bookmarkEnd w:id="336"/>
      <w:r>
        <w:rPr/>
        <w:t>Приложение № 6 – Состав заявки</w:t>
      </w:r>
      <w:bookmarkEnd w:id="333"/>
      <w:bookmarkEnd w:id="334"/>
      <w:bookmarkEnd w:id="335"/>
    </w:p>
    <w:p>
      <w:pPr>
        <w:pStyle w:val="Style23"/>
        <w:rPr/>
      </w:pPr>
      <w:bookmarkStart w:id="337" w:name="_Toc228876895"/>
      <w:r>
        <w:rPr/>
        <w:t>Состав заявки</w:t>
      </w:r>
      <w:bookmarkEnd w:id="337"/>
    </w:p>
    <w:p>
      <w:pPr>
        <w:pStyle w:val="Style24"/>
        <w:spacing w:before="120" w:after="120"/>
        <w:rPr/>
      </w:pPr>
      <w:r>
        <w:rPr/>
        <w:t>Заявка на участие в закупке (окончательное предложение) должна состоять из первой части, второй части и ценового предложения, которые должны содержать следующий комплект документов (</w:t>
      </w:r>
      <w:bookmarkStart w:id="338" w:name="_Hlk207818365"/>
      <w:r>
        <w:rPr/>
        <w:t>по установленным формам и в соответствии с инструкциями, приведенными</w:t>
      </w:r>
      <w:bookmarkEnd w:id="338"/>
      <w:r>
        <w:rPr/>
        <w:t xml:space="preserve">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28"/>
              <w:keepNext w:val="true"/>
              <w:widowControl/>
              <w:suppressAutoHyphens w:val="true"/>
              <w:spacing w:before="60" w:after="60"/>
              <w:ind w:left="360"/>
              <w:jc w:val="center"/>
              <w:rPr>
                <w:b/>
                <w:bCs/>
              </w:rPr>
            </w:pPr>
            <w:r>
              <w:rPr>
                <w:b/>
                <w:bCs/>
              </w:rPr>
            </w:r>
          </w:p>
        </w:tc>
        <w:tc>
          <w:tcPr>
            <w:tcW w:w="8075" w:type="dxa"/>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Первая часть заявки (первая часть заявки, содержащиеся в окончательном предложении):</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28"/>
              <w:keepNext w:val="true"/>
              <w:widowControl/>
              <w:suppressAutoHyphens w:val="true"/>
              <w:spacing w:before="60" w:after="60"/>
              <w:ind w:left="360"/>
              <w:jc w:val="center"/>
              <w:rPr>
                <w:b/>
                <w:bCs/>
              </w:rPr>
            </w:pPr>
            <w:r>
              <w:rPr>
                <w:b/>
                <w:bCs/>
              </w:rPr>
            </w:r>
          </w:p>
        </w:tc>
        <w:tc>
          <w:tcPr>
            <w:tcW w:w="8075" w:type="dxa"/>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28"/>
              <w:widowControl/>
              <w:numPr>
                <w:ilvl w:val="0"/>
                <w:numId w:val="7"/>
              </w:numPr>
              <w:suppressAutoHyphens w:val="true"/>
              <w:spacing w:before="60" w:after="60"/>
              <w:ind w:hanging="284" w:left="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8"/>
              <w:widowControl/>
              <w:numPr>
                <w:ilvl w:val="0"/>
                <w:numId w:val="7"/>
              </w:numPr>
              <w:suppressAutoHyphens w:val="true"/>
              <w:spacing w:before="60" w:after="60"/>
              <w:ind w:hanging="284" w:left="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9" w:name="_Ref132888537"/>
            <w:bookmarkStart w:id="340" w:name="_Ref132888537"/>
            <w:bookmarkEnd w:id="340"/>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1" w:name="_Ref130389408"/>
            <w:bookmarkStart w:id="342" w:name="_Ref130389408"/>
            <w:bookmarkEnd w:id="342"/>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3" w:name="_Ref130389413"/>
            <w:bookmarkStart w:id="344" w:name="_Ref130389413"/>
            <w:bookmarkEnd w:id="344"/>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5" w:name="_Ref130389419"/>
            <w:bookmarkStart w:id="346" w:name="_Ref130389419"/>
            <w:bookmarkEnd w:id="346"/>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28"/>
              <w:keepNext w:val="true"/>
              <w:widowControl/>
              <w:suppressAutoHyphens w:val="true"/>
              <w:spacing w:before="60" w:after="60"/>
              <w:ind w:left="360"/>
              <w:jc w:val="center"/>
              <w:rPr>
                <w:b/>
                <w:bCs/>
              </w:rPr>
            </w:pPr>
            <w:r>
              <w:rPr>
                <w:b/>
                <w:bCs/>
              </w:rPr>
            </w:r>
          </w:p>
        </w:tc>
        <w:tc>
          <w:tcPr>
            <w:tcW w:w="8075" w:type="dxa"/>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8"/>
              <w:widowControl/>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4"/>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2"/>
        <w:rPr/>
      </w:pPr>
      <w:bookmarkStart w:id="347" w:name="_Toc228876896"/>
      <w:bookmarkStart w:id="348" w:name="_Ref125365264"/>
      <w:bookmarkStart w:id="349" w:name="Прил07_ОтборочныеКритерии"/>
      <w:bookmarkEnd w:id="349"/>
      <w:r>
        <w:rPr>
          <w:rStyle w:val="Style8"/>
          <w:i w:val="false"/>
          <w:iCs w:val="false"/>
          <w:shd w:fill="auto" w:val="clear"/>
        </w:rPr>
        <w:t>Приложение №</w:t>
      </w:r>
      <w:r>
        <w:rPr/>
        <w:t> 7 – Отборочные критерии рассмотрения заявок</w:t>
      </w:r>
      <w:bookmarkEnd w:id="347"/>
      <w:bookmarkEnd w:id="348"/>
    </w:p>
    <w:p>
      <w:pPr>
        <w:pStyle w:val="Style23"/>
        <w:spacing w:before="360" w:after="120"/>
        <w:rPr>
          <w:rStyle w:val="Style8"/>
          <w:i w:val="false"/>
          <w:i w:val="false"/>
          <w:iCs w:val="false"/>
          <w:shd w:fill="auto" w:val="clear"/>
        </w:rPr>
      </w:pPr>
      <w:bookmarkStart w:id="350" w:name="_Toc228876897"/>
      <w:r>
        <w:rPr>
          <w:rStyle w:val="Style8"/>
          <w:i w:val="false"/>
          <w:iCs w:val="false"/>
          <w:shd w:fill="auto" w:val="clear"/>
        </w:rPr>
        <w:t>Отборочные критерии рассмотрения первых частей заявок (первых частей заявок, содержащихся в окончательных предложениях)</w:t>
      </w:r>
      <w:bookmarkEnd w:id="350"/>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28"/>
              <w:widowControl/>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3"/>
        <w:spacing w:before="360" w:after="120"/>
        <w:rPr>
          <w:rStyle w:val="Style8"/>
          <w:i w:val="false"/>
          <w:i w:val="false"/>
          <w:iCs w:val="false"/>
          <w:shd w:fill="auto" w:val="clear"/>
        </w:rPr>
      </w:pPr>
      <w:bookmarkStart w:id="351" w:name="_Hlk132891087"/>
      <w:bookmarkStart w:id="352" w:name="_Toc228876899"/>
      <w:r>
        <w:rPr>
          <w:rStyle w:val="Style8"/>
          <w:i w:val="false"/>
          <w:iCs w:val="false"/>
          <w:shd w:fill="auto" w:val="clear"/>
        </w:rPr>
        <w:t>Отборочные критерии рассмотрения вторых частей заявок</w:t>
      </w:r>
      <w:bookmarkEnd w:id="351"/>
      <w:bookmarkEnd w:id="352"/>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11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(при наличии), подписей, формы заверения, языка и валюты заявки)</w:t>
            </w:r>
          </w:p>
        </w:tc>
        <w:tc>
          <w:tcPr>
            <w:tcW w:w="3117" w:type="dxa"/>
            <w:tcBorders/>
          </w:tcPr>
          <w:p>
            <w:pPr>
              <w:pStyle w:val="Style28"/>
              <w:widowControl/>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12" w:type="dxa"/>
            <w:tcBorders/>
          </w:tcPr>
          <w:p>
            <w:pPr>
              <w:pStyle w:val="Style28"/>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32890414"/>
            <w:bookmarkStart w:id="354" w:name="_Ref132890414"/>
            <w:bookmarkEnd w:id="354"/>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4.18</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12" w:type="dxa"/>
            <w:tcBorders/>
          </w:tcPr>
          <w:p>
            <w:pPr>
              <w:pStyle w:val="Style28"/>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117" w:type="dxa"/>
            <w:tcBorders/>
          </w:tcPr>
          <w:p>
            <w:pPr>
              <w:pStyle w:val="Style28"/>
              <w:keepNext w:val="true"/>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28"/>
              <w:keepNext w:val="true"/>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8"/>
              <w:widowControl/>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12" w:type="dxa"/>
            <w:tcBorders/>
          </w:tcPr>
          <w:p>
            <w:pPr>
              <w:pStyle w:val="Style28"/>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12" w:type="dxa"/>
            <w:tcBorders/>
          </w:tcPr>
          <w:p>
            <w:pPr>
              <w:pStyle w:val="Style28"/>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12" w:type="dxa"/>
            <w:tcBorders/>
          </w:tcPr>
          <w:p>
            <w:pPr>
              <w:pStyle w:val="Style28"/>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_Ref186181914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8"/>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_Ref132816300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_Ref186181253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_Ref186181918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8"/>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_Ref132816300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_Ref186181253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ОТех</w:t>
            </w:r>
          </w:p>
        </w:tc>
      </w:tr>
      <w:tr>
        <w:trPr/>
        <w:tc>
          <w:tcPr>
            <w:tcW w:w="1412" w:type="dxa"/>
            <w:tcBorders/>
          </w:tcPr>
          <w:p>
            <w:pPr>
              <w:pStyle w:val="Style28"/>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28"/>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28"/>
              <w:widowControl/>
              <w:numPr>
                <w:ilvl w:val="1"/>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numPr>
                <w:ilvl w:val="0"/>
                <w:numId w:val="7"/>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1"/>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numPr>
                <w:ilvl w:val="0"/>
                <w:numId w:val="7"/>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8"/>
              <w:widowControl/>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_Ref186181253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4.14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4.3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_Ref186181253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4.14</w:t>
            </w:r>
            <w:r>
              <w:rPr>
                <w:sz w:val="26"/>
                <w:kern w:val="0"/>
                <w:szCs w:val="22"/>
                <w:rFonts w:eastAsia="Calibri" w:cs=""/>
                <w:lang w:val="en-US"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3"/>
        <w:spacing w:before="360" w:after="120"/>
        <w:rPr>
          <w:rStyle w:val="Style8"/>
          <w:i w:val="false"/>
          <w:i w:val="false"/>
          <w:iCs w:val="false"/>
          <w:shd w:fill="auto" w:val="clear"/>
        </w:rPr>
      </w:pPr>
      <w:bookmarkStart w:id="355" w:name="_Toc228876900"/>
      <w:r>
        <w:rPr>
          <w:rStyle w:val="Style8"/>
          <w:i w:val="false"/>
          <w:iCs w:val="false"/>
          <w:shd w:fill="auto" w:val="clear"/>
        </w:rPr>
        <w:t>Отборочные критерии рассмотрения ценовых предложений (дополнительных ценовых предложений)</w:t>
      </w:r>
      <w:bookmarkEnd w:id="355"/>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28"/>
              <w:widowControl/>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28"/>
              <w:widowControl/>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4.11</w:t>
            </w:r>
            <w:r>
              <w:rPr>
                <w:sz w:val="26"/>
                <w:kern w:val="0"/>
                <w:szCs w:val="22"/>
                <w:rFonts w:eastAsia="Calibri" w:cs=""/>
                <w:lang w:val="ru-RU" w:eastAsia="en-US" w:bidi="ar-SA"/>
              </w:rPr>
              <w:fldChar w:fldCharType="end"/>
            </w:r>
          </w:p>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8"/>
              <w:widowControl/>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8"/>
              <w:widowControl/>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_Ref186181253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4.14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_Ref186181253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4.14</w:t>
            </w:r>
            <w:r>
              <w:rPr>
                <w:sz w:val="26"/>
                <w:kern w:val="0"/>
                <w:szCs w:val="22"/>
                <w:rFonts w:eastAsia="Calibri" w:cs=""/>
                <w:lang w:val="en-US" w:eastAsia="en-US" w:bidi="ar-SA"/>
              </w:rPr>
              <w:fldChar w:fldCharType="end"/>
            </w:r>
          </w:p>
          <w:p>
            <w:pPr>
              <w:pStyle w:val="Style28"/>
              <w:widowControl/>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28"/>
              <w:widowControl/>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3"/>
        <w:rPr>
          <w:rStyle w:val="Style8"/>
          <w:i w:val="false"/>
          <w:i w:val="false"/>
          <w:iCs w:val="false"/>
          <w:shd w:fill="auto" w:val="clear"/>
        </w:rPr>
      </w:pPr>
      <w:bookmarkStart w:id="356" w:name="_Toc228876901"/>
      <w:r>
        <w:rPr>
          <w:rStyle w:val="Style8"/>
          <w:i w:val="false"/>
          <w:iCs w:val="false"/>
          <w:shd w:fill="auto" w:val="clear"/>
        </w:rPr>
        <w:t>Дополнительные критерии проверки заявок на соответствие условиям Документации о закупке</w:t>
      </w:r>
      <w:bookmarkEnd w:id="356"/>
    </w:p>
    <w:p>
      <w:pPr>
        <w:pStyle w:val="Style28"/>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28"/>
              <w:widowControl/>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_Ref130985951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8"/>
        <w:keepNext w:val="true"/>
        <w:tabs>
          <w:tab w:val="clear" w:pos="708"/>
          <w:tab w:val="left" w:pos="851" w:leader="none"/>
        </w:tabs>
        <w:spacing w:before="240" w:after="0"/>
        <w:rPr>
          <w:b/>
          <w:bCs/>
        </w:rPr>
      </w:pPr>
      <w:r>
        <w:rPr>
          <w:b/>
          <w:bCs/>
        </w:rPr>
        <w:t>* Направления оценки заявок:</w:t>
      </w:r>
    </w:p>
    <w:p>
      <w:pPr>
        <w:pStyle w:val="Style28"/>
        <w:tabs>
          <w:tab w:val="clear" w:pos="708"/>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8"/>
        <w:tabs>
          <w:tab w:val="clear" w:pos="708"/>
          <w:tab w:val="left" w:pos="1134" w:leader="none"/>
        </w:tabs>
        <w:ind w:hanging="1701" w:left="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57" w:name="_Hlk207818776"/>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57"/>
      <w:r>
        <w:rPr/>
        <w:t>;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8"/>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8"/>
        <w:keepNext w:val="true"/>
        <w:tabs>
          <w:tab w:val="clear" w:pos="708"/>
          <w:tab w:val="left" w:pos="1134" w:leader="none"/>
        </w:tabs>
        <w:ind w:hanging="1701" w:left="1701"/>
        <w:rPr/>
      </w:pPr>
      <w:r>
        <w:rPr>
          <w:b/>
          <w:bCs/>
        </w:rPr>
        <w:t>Цена</w:t>
      </w:r>
      <w:r>
        <w:rPr/>
        <w:tab/>
        <w:t>–</w:t>
        <w:tab/>
      </w:r>
      <w:bookmarkStart w:id="358" w:name="_Hlk207818793"/>
      <w:bookmarkStart w:id="359" w:name="_Hlk207821342"/>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w:t>
      </w:r>
      <w:bookmarkEnd w:id="358"/>
      <w:bookmarkEnd w:id="359"/>
      <w:r>
        <w:rPr/>
        <w:t xml:space="preserve"> непревышения ценового предложения участника установленного размера НМЦ.</w:t>
      </w:r>
    </w:p>
    <w:p>
      <w:pPr>
        <w:pStyle w:val="Style28"/>
        <w:tabs>
          <w:tab w:val="clear" w:pos="708"/>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sectPr>
          <w:headerReference w:type="default" r:id="rId31"/>
          <w:headerReference w:type="first" r:id="rId32"/>
          <w:footerReference w:type="default" r:id="rId33"/>
          <w:footerReference w:type="first" r:id="rId34"/>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8"/>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2"/>
        <w:rPr/>
      </w:pPr>
      <w:bookmarkStart w:id="360" w:name="_Toc228876902"/>
      <w:bookmarkStart w:id="361" w:name="_Ref125369438"/>
      <w:bookmarkStart w:id="362" w:name="_Ref125369021"/>
      <w:bookmarkStart w:id="363" w:name="_Ref125368331"/>
      <w:bookmarkStart w:id="364" w:name="_Ref125368313"/>
      <w:bookmarkStart w:id="365" w:name="_Ref125368302"/>
      <w:bookmarkStart w:id="366" w:name="_Ref125368291"/>
      <w:bookmarkStart w:id="367" w:name="_Ref125368283"/>
      <w:bookmarkStart w:id="368" w:name="_Ref125368184"/>
      <w:bookmarkStart w:id="369" w:name="_Ref125368172"/>
      <w:bookmarkStart w:id="370" w:name="_Ref125368165"/>
      <w:bookmarkStart w:id="371" w:name="_Ref125368150"/>
      <w:bookmarkStart w:id="372" w:name="_Ref125368140"/>
      <w:bookmarkStart w:id="373" w:name="_Ref125366285"/>
      <w:bookmarkStart w:id="374" w:name="_Ref125366280"/>
      <w:bookmarkStart w:id="375" w:name="_Ref125366013"/>
      <w:bookmarkStart w:id="376" w:name="_Ref125361951"/>
      <w:bookmarkStart w:id="377" w:name="_Ref125361648"/>
      <w:bookmarkStart w:id="378" w:name="Прил08_ПорядокОценки"/>
      <w:bookmarkEnd w:id="378"/>
      <w:r>
        <w:rPr/>
        <w:t>Приложение № 8 – Порядок и критерии оценки и сопоставления заявок</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Style23"/>
        <w:rPr/>
      </w:pPr>
      <w:bookmarkStart w:id="379" w:name="_Toc228876903"/>
      <w:r>
        <w:rPr/>
        <w:t>Порядок и критерии оценки и сопоставления заявок</w:t>
      </w:r>
      <w:bookmarkEnd w:id="379"/>
    </w:p>
    <w:p>
      <w:pPr>
        <w:pStyle w:val="Style24"/>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рассмотрение дополнительных ценовых предложений – если проводилась переторжка, осуществляется по следующим критериям оценки и в соответствии со следующим порядком оценки предпочтительности и сопоставления заявок:</w:t>
      </w:r>
    </w:p>
    <w:tbl>
      <w:tblPr>
        <w:tblW w:w="5000" w:type="pct"/>
        <w:jc w:val="left"/>
        <w:tblInd w:w="79" w:type="dxa"/>
        <w:tblLayout w:type="fixed"/>
        <w:tblCellMar>
          <w:top w:w="55" w:type="dxa"/>
          <w:left w:w="42" w:type="dxa"/>
          <w:bottom w:w="55" w:type="dxa"/>
          <w:right w:w="57" w:type="dxa"/>
        </w:tblCellMar>
        <w:tblLook w:val="04a0" w:noHBand="0" w:noVBand="1" w:firstColumn="1" w:lastRow="0" w:lastColumn="0" w:firstRow="1"/>
      </w:tblPr>
      <w:tblGrid>
        <w:gridCol w:w="1153"/>
        <w:gridCol w:w="1368"/>
        <w:gridCol w:w="1950"/>
        <w:gridCol w:w="13"/>
        <w:gridCol w:w="1337"/>
        <w:gridCol w:w="1416"/>
        <w:gridCol w:w="37"/>
        <w:gridCol w:w="1783"/>
        <w:gridCol w:w="6078"/>
      </w:tblGrid>
      <w:tr>
        <w:trPr/>
        <w:tc>
          <w:tcPr>
            <w:tcW w:w="1153" w:type="dxa"/>
            <w:vMerge w:val="restart"/>
            <w:tcBorders>
              <w:top w:val="single" w:sz="4" w:space="0" w:color="000001"/>
              <w:left w:val="single" w:sz="4" w:space="0" w:color="000001"/>
              <w:bottom w:val="single" w:sz="4" w:space="0" w:color="000001"/>
            </w:tcBorders>
            <w:shd w:color="auto" w:fill="auto" w:val="clear"/>
          </w:tcPr>
          <w:p>
            <w:pPr>
              <w:pStyle w:val="Style28"/>
              <w:keepNext w:val="true"/>
              <w:widowControl w:val="false"/>
              <w:spacing w:before="120" w:after="0"/>
              <w:jc w:val="center"/>
              <w:rPr>
                <w:sz w:val="22"/>
                <w:szCs w:val="22"/>
              </w:rPr>
            </w:pPr>
            <w:r>
              <w:rPr>
                <w:rFonts w:eastAsia="Calibri"/>
                <w:b/>
                <w:sz w:val="22"/>
                <w:szCs w:val="22"/>
                <w:lang w:eastAsia="en-US"/>
              </w:rPr>
              <w:t>Номер критерия оценки в</w:t>
            </w:r>
            <w:r>
              <w:rPr>
                <w:rFonts w:eastAsia="Calibri"/>
                <w:b/>
                <w:sz w:val="22"/>
                <w:szCs w:val="22"/>
                <w:lang w:val="en-US" w:eastAsia="en-US"/>
              </w:rPr>
              <w:t> </w:t>
            </w:r>
            <w:r>
              <w:rPr>
                <w:rFonts w:eastAsia="Calibri"/>
                <w:b/>
                <w:sz w:val="22"/>
                <w:szCs w:val="22"/>
                <w:lang w:eastAsia="en-US"/>
              </w:rPr>
              <w:t>структуре</w:t>
            </w:r>
          </w:p>
        </w:tc>
        <w:tc>
          <w:tcPr>
            <w:tcW w:w="1368" w:type="dxa"/>
            <w:vMerge w:val="restart"/>
            <w:tcBorders>
              <w:top w:val="single" w:sz="4" w:space="0" w:color="000001"/>
              <w:left w:val="single" w:sz="4" w:space="0" w:color="000001"/>
              <w:bottom w:val="single" w:sz="4" w:space="0" w:color="000001"/>
            </w:tcBorders>
            <w:shd w:color="auto" w:fill="auto" w:val="clear"/>
          </w:tcPr>
          <w:p>
            <w:pPr>
              <w:pStyle w:val="Style28"/>
              <w:keepNext w:val="true"/>
              <w:widowControl w:val="false"/>
              <w:spacing w:before="120" w:after="0"/>
              <w:jc w:val="center"/>
              <w:rPr>
                <w:sz w:val="22"/>
                <w:szCs w:val="22"/>
              </w:rPr>
            </w:pPr>
            <w:r>
              <w:rPr>
                <w:rFonts w:eastAsia="Calibri"/>
                <w:b/>
                <w:sz w:val="22"/>
                <w:szCs w:val="22"/>
                <w:lang w:eastAsia="en-US"/>
              </w:rPr>
              <w:t>Вид критерия оценки / направление оценки заявок</w:t>
            </w:r>
          </w:p>
        </w:tc>
        <w:tc>
          <w:tcPr>
            <w:tcW w:w="3300" w:type="dxa"/>
            <w:gridSpan w:val="3"/>
            <w:tcBorders>
              <w:top w:val="single" w:sz="4" w:space="0" w:color="000001"/>
              <w:left w:val="single" w:sz="4" w:space="0" w:color="000001"/>
              <w:bottom w:val="single" w:sz="4" w:space="0" w:color="000001"/>
            </w:tcBorders>
            <w:shd w:color="auto" w:fill="auto" w:val="clear"/>
          </w:tcPr>
          <w:p>
            <w:pPr>
              <w:pStyle w:val="Style28"/>
              <w:keepNext w:val="true"/>
              <w:widowControl w:val="false"/>
              <w:spacing w:before="120" w:after="0"/>
              <w:jc w:val="center"/>
              <w:rPr>
                <w:sz w:val="22"/>
                <w:szCs w:val="22"/>
              </w:rPr>
            </w:pPr>
            <w:r>
              <w:rPr>
                <w:rFonts w:eastAsia="Calibri"/>
                <w:b/>
                <w:sz w:val="22"/>
                <w:szCs w:val="22"/>
                <w:lang w:eastAsia="en-US"/>
              </w:rPr>
              <w:t>Наименование критерия оценки</w:t>
            </w:r>
          </w:p>
        </w:tc>
        <w:tc>
          <w:tcPr>
            <w:tcW w:w="1453" w:type="dxa"/>
            <w:gridSpan w:val="2"/>
            <w:vMerge w:val="restart"/>
            <w:tcBorders>
              <w:top w:val="single" w:sz="4" w:space="0" w:color="000001"/>
              <w:left w:val="single" w:sz="4" w:space="0" w:color="000001"/>
              <w:bottom w:val="single" w:sz="4" w:space="0" w:color="000001"/>
            </w:tcBorders>
            <w:shd w:color="auto" w:fill="auto" w:val="clear"/>
          </w:tcPr>
          <w:p>
            <w:pPr>
              <w:pStyle w:val="Style28"/>
              <w:keepNext w:val="true"/>
              <w:widowControl w:val="false"/>
              <w:spacing w:before="120" w:after="0"/>
              <w:jc w:val="center"/>
              <w:rPr>
                <w:sz w:val="22"/>
                <w:szCs w:val="22"/>
              </w:rPr>
            </w:pPr>
            <w:r>
              <w:rPr>
                <w:rFonts w:eastAsia="Calibri"/>
                <w:b/>
                <w:sz w:val="22"/>
                <w:szCs w:val="22"/>
                <w:lang w:eastAsia="en-US"/>
              </w:rPr>
              <w:t>Значимость</w:t>
              <w:br/>
              <w:t>критерия оценки</w:t>
            </w:r>
          </w:p>
        </w:tc>
        <w:tc>
          <w:tcPr>
            <w:tcW w:w="1783" w:type="dxa"/>
            <w:vMerge w:val="restart"/>
            <w:tcBorders>
              <w:top w:val="single" w:sz="4" w:space="0" w:color="000001"/>
              <w:left w:val="single" w:sz="4" w:space="0" w:color="000001"/>
              <w:bottom w:val="single" w:sz="4" w:space="0" w:color="000001"/>
            </w:tcBorders>
            <w:shd w:color="auto" w:fill="auto" w:val="clear"/>
          </w:tcPr>
          <w:p>
            <w:pPr>
              <w:pStyle w:val="Style28"/>
              <w:keepNext w:val="true"/>
              <w:widowControl w:val="false"/>
              <w:spacing w:before="120" w:after="0"/>
              <w:jc w:val="center"/>
              <w:rPr>
                <w:sz w:val="22"/>
                <w:szCs w:val="22"/>
              </w:rPr>
            </w:pPr>
            <w:r>
              <w:rPr>
                <w:rFonts w:eastAsia="Calibri"/>
                <w:b/>
                <w:sz w:val="22"/>
                <w:szCs w:val="22"/>
                <w:lang w:eastAsia="en-US"/>
              </w:rPr>
              <w:t>Содержание частного критерия оценки</w:t>
            </w:r>
          </w:p>
        </w:tc>
        <w:tc>
          <w:tcPr>
            <w:tcW w:w="6078" w:type="dxa"/>
            <w:vMerge w:val="restart"/>
            <w:tcBorders>
              <w:top w:val="single" w:sz="4" w:space="0" w:color="000001"/>
              <w:left w:val="single" w:sz="4" w:space="0" w:color="000001"/>
              <w:bottom w:val="single" w:sz="4" w:space="0" w:color="000001"/>
              <w:right w:val="single" w:sz="4" w:space="0" w:color="000001"/>
            </w:tcBorders>
            <w:shd w:color="auto" w:fill="auto" w:val="clear"/>
          </w:tcPr>
          <w:p>
            <w:pPr>
              <w:pStyle w:val="Style28"/>
              <w:keepNext w:val="true"/>
              <w:widowControl w:val="false"/>
              <w:spacing w:before="120" w:after="0"/>
              <w:jc w:val="center"/>
              <w:rPr>
                <w:sz w:val="22"/>
                <w:szCs w:val="22"/>
              </w:rPr>
            </w:pPr>
            <w:r>
              <w:rPr>
                <w:rFonts w:eastAsia="Calibri"/>
                <w:b/>
                <w:sz w:val="22"/>
                <w:szCs w:val="22"/>
                <w:lang w:eastAsia="en-US"/>
              </w:rPr>
              <w:t>Расчет оценки предпочтительности заявки</w:t>
            </w:r>
          </w:p>
        </w:tc>
      </w:tr>
      <w:tr>
        <w:trPr/>
        <w:tc>
          <w:tcPr>
            <w:tcW w:w="11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368"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950" w:type="dxa"/>
            <w:tcBorders>
              <w:top w:val="single" w:sz="4" w:space="0" w:color="000001"/>
              <w:left w:val="single" w:sz="4" w:space="0" w:color="000001"/>
              <w:bottom w:val="single" w:sz="4" w:space="0" w:color="000001"/>
            </w:tcBorders>
            <w:shd w:color="auto" w:fill="auto" w:val="clear"/>
          </w:tcPr>
          <w:p>
            <w:pPr>
              <w:pStyle w:val="Style28"/>
              <w:widowControl w:val="false"/>
              <w:spacing w:before="120" w:after="0"/>
              <w:jc w:val="center"/>
              <w:rPr>
                <w:sz w:val="22"/>
                <w:szCs w:val="22"/>
              </w:rPr>
            </w:pPr>
            <w:r>
              <w:rPr>
                <w:rFonts w:eastAsia="Calibri"/>
                <w:b/>
                <w:bCs/>
                <w:sz w:val="22"/>
                <w:szCs w:val="22"/>
                <w:lang w:eastAsia="en-US"/>
              </w:rPr>
              <w:t>критерий оценки первого уровня</w:t>
            </w:r>
          </w:p>
        </w:tc>
        <w:tc>
          <w:tcPr>
            <w:tcW w:w="1350" w:type="dxa"/>
            <w:gridSpan w:val="2"/>
            <w:tcBorders>
              <w:top w:val="single" w:sz="4" w:space="0" w:color="000001"/>
              <w:left w:val="single" w:sz="4" w:space="0" w:color="000001"/>
              <w:bottom w:val="single" w:sz="4" w:space="0" w:color="000001"/>
            </w:tcBorders>
            <w:shd w:color="auto" w:fill="auto" w:val="clear"/>
          </w:tcPr>
          <w:p>
            <w:pPr>
              <w:pStyle w:val="Style28"/>
              <w:widowControl w:val="false"/>
              <w:spacing w:before="120" w:after="0"/>
              <w:jc w:val="center"/>
              <w:rPr>
                <w:sz w:val="22"/>
                <w:szCs w:val="22"/>
              </w:rPr>
            </w:pPr>
            <w:r>
              <w:rPr>
                <w:rFonts w:eastAsia="Calibri"/>
                <w:b/>
                <w:bCs/>
                <w:sz w:val="22"/>
                <w:szCs w:val="22"/>
                <w:lang w:eastAsia="en-US"/>
              </w:rPr>
              <w:t>критерий оценки второго уровня</w:t>
            </w:r>
          </w:p>
        </w:tc>
        <w:tc>
          <w:tcPr>
            <w:tcW w:w="1453" w:type="dxa"/>
            <w:gridSpan w:val="2"/>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78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6078"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sz w:val="22"/>
                <w:szCs w:val="22"/>
              </w:rPr>
            </w:r>
          </w:p>
        </w:tc>
      </w:tr>
      <w:tr>
        <w:trPr/>
        <w:tc>
          <w:tcPr>
            <w:tcW w:w="1153"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sz w:val="22"/>
                <w:szCs w:val="22"/>
              </w:rPr>
            </w:pPr>
            <w:r>
              <w:rPr>
                <w:rFonts w:eastAsia="Calibri"/>
                <w:sz w:val="22"/>
                <w:szCs w:val="22"/>
                <w:lang w:eastAsia="en-US"/>
              </w:rPr>
              <w:t>1.</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sz w:val="22"/>
                <w:szCs w:val="22"/>
              </w:rPr>
            </w:pPr>
            <w:r>
              <w:rPr>
                <w:rFonts w:eastAsia="Calibri"/>
                <w:sz w:val="22"/>
                <w:szCs w:val="22"/>
                <w:lang w:eastAsia="en-US"/>
              </w:rPr>
              <w:t>«Ценовой критерий оценки первого уровня»/Цена</w:t>
            </w:r>
          </w:p>
        </w:tc>
        <w:tc>
          <w:tcPr>
            <w:tcW w:w="1963" w:type="dxa"/>
            <w:gridSpan w:val="2"/>
            <w:tcBorders>
              <w:top w:val="single" w:sz="4" w:space="0" w:color="000001"/>
              <w:left w:val="single" w:sz="4" w:space="0" w:color="000001"/>
              <w:bottom w:val="single" w:sz="4" w:space="0" w:color="000001"/>
            </w:tcBorders>
            <w:shd w:color="auto" w:fill="auto" w:val="clear"/>
          </w:tcPr>
          <w:p>
            <w:pPr>
              <w:pStyle w:val="Style28"/>
              <w:widowControl w:val="false"/>
              <w:spacing w:before="40" w:after="40"/>
              <w:jc w:val="center"/>
              <w:rPr/>
            </w:pPr>
            <w:r>
              <w:rPr>
                <w:rStyle w:val="Style8"/>
                <w:rFonts w:eastAsia="Calibri"/>
                <w:i w:val="false"/>
                <w:iCs w:val="false"/>
                <w:sz w:val="22"/>
                <w:szCs w:val="22"/>
                <w:shd w:fill="FFFFFF" w:val="clear"/>
                <w:lang w:eastAsia="en-US"/>
              </w:rPr>
              <w:t>Цена договора (стоимость заявки)</w:t>
            </w:r>
          </w:p>
        </w:tc>
        <w:tc>
          <w:tcPr>
            <w:tcW w:w="1337" w:type="dxa"/>
            <w:tcBorders>
              <w:top w:val="single" w:sz="4" w:space="0" w:color="000001"/>
              <w:left w:val="single" w:sz="4" w:space="0" w:color="000001"/>
              <w:bottom w:val="single" w:sz="4" w:space="0" w:color="000001"/>
            </w:tcBorders>
            <w:shd w:color="auto" w:fill="auto" w:val="clear"/>
          </w:tcPr>
          <w:p>
            <w:pPr>
              <w:pStyle w:val="Style28"/>
              <w:widowControl w:val="false"/>
              <w:spacing w:before="40" w:after="40"/>
              <w:jc w:val="center"/>
              <w:rPr/>
            </w:pPr>
            <w:r>
              <w:rPr>
                <w:rStyle w:val="Style8"/>
                <w:rFonts w:eastAsia="Calibri"/>
                <w:i w:val="false"/>
                <w:iCs w:val="false"/>
                <w:sz w:val="22"/>
                <w:szCs w:val="22"/>
                <w:shd w:fill="FFFFFF" w:val="clear"/>
                <w:lang w:eastAsia="en-US"/>
              </w:rPr>
              <w:t>отсутствует</w:t>
            </w:r>
          </w:p>
        </w:tc>
        <w:tc>
          <w:tcPr>
            <w:tcW w:w="1416"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uppressAutoHyphens w:val="true"/>
              <w:bidi w:val="0"/>
              <w:spacing w:lineRule="auto" w:line="240" w:before="40" w:after="40"/>
              <w:ind w:hanging="0" w:left="170" w:right="0"/>
              <w:contextualSpacing w:val="false"/>
              <w:jc w:val="center"/>
              <w:rPr>
                <w:sz w:val="22"/>
                <w:szCs w:val="22"/>
              </w:rPr>
            </w:pPr>
            <w:r>
              <w:rPr>
                <w:sz w:val="22"/>
                <w:szCs w:val="22"/>
              </w:rPr>
              <w:t>90%</w:t>
              <w:br/>
              <w:t>(В</w:t>
            </w:r>
            <w:r>
              <w:rPr>
                <w:sz w:val="22"/>
                <w:szCs w:val="22"/>
                <w:vertAlign w:val="subscript"/>
              </w:rPr>
              <w:t>1</w:t>
            </w:r>
            <w:r>
              <w:rPr>
                <w:sz w:val="22"/>
                <w:szCs w:val="22"/>
              </w:rPr>
              <w:t xml:space="preserve"> = 0,90)</w:t>
            </w:r>
          </w:p>
        </w:tc>
        <w:tc>
          <w:tcPr>
            <w:tcW w:w="1820" w:type="dxa"/>
            <w:gridSpan w:val="2"/>
            <w:tcBorders>
              <w:top w:val="single" w:sz="4" w:space="0" w:color="000001"/>
              <w:left w:val="single" w:sz="4" w:space="0" w:color="000001"/>
              <w:bottom w:val="single" w:sz="4" w:space="0" w:color="000001"/>
            </w:tcBorders>
            <w:shd w:color="auto" w:fill="auto" w:val="clear"/>
          </w:tcPr>
          <w:p>
            <w:pPr>
              <w:pStyle w:val="Style28"/>
              <w:widowControl w:val="false"/>
              <w:spacing w:before="40" w:after="40"/>
              <w:jc w:val="center"/>
              <w:rPr/>
            </w:pPr>
            <w:r>
              <w:rPr>
                <w:rStyle w:val="Style8"/>
                <w:rFonts w:eastAsia="Calibri"/>
                <w:i w:val="false"/>
                <w:iCs w:val="false"/>
                <w:sz w:val="22"/>
                <w:szCs w:val="22"/>
                <w:shd w:fill="FFFFFF" w:val="clear"/>
                <w:lang w:eastAsia="en-US"/>
              </w:rPr>
              <w:t>Чем меньше стоимость заявки Участника, тем выше предпочтительность</w:t>
            </w:r>
          </w:p>
        </w:tc>
        <w:tc>
          <w:tcPr>
            <w:tcW w:w="6078" w:type="dxa"/>
            <w:tcBorders>
              <w:top w:val="single" w:sz="4" w:space="0" w:color="000001"/>
              <w:left w:val="single" w:sz="4" w:space="0" w:color="000001"/>
              <w:bottom w:val="single" w:sz="4" w:space="0" w:color="000001"/>
              <w:right w:val="single" w:sz="4" w:space="0" w:color="000001"/>
            </w:tcBorders>
            <w:shd w:color="auto" w:fill="auto" w:val="clear"/>
          </w:tcPr>
          <w:p>
            <w:pPr>
              <w:pStyle w:val="Style28"/>
              <w:widowControl w:val="false"/>
              <w:spacing w:before="40" w:after="40"/>
              <w:jc w:val="left"/>
              <w:rPr>
                <w:sz w:val="22"/>
                <w:szCs w:val="22"/>
              </w:rPr>
            </w:pPr>
            <w:r>
              <w:rPr>
                <w:rStyle w:val="Style8"/>
                <w:rFonts w:eastAsia="Calibri"/>
                <w:i w:val="false"/>
                <w:iCs w:val="false"/>
                <w:sz w:val="22"/>
                <w:szCs w:val="22"/>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28"/>
              <w:widowControl w:val="false"/>
              <w:spacing w:before="40" w:after="4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28"/>
              <w:widowControl w:val="false"/>
              <w:spacing w:before="40" w:after="40"/>
              <w:jc w:val="left"/>
              <w:rPr/>
            </w:pPr>
            <w:r>
              <w:rPr>
                <w:rStyle w:val="Style8"/>
                <w:rFonts w:eastAsia="Calibri"/>
                <w:i w:val="false"/>
                <w:iCs w:val="false"/>
                <w:sz w:val="22"/>
                <w:szCs w:val="22"/>
                <w:shd w:fill="FFFFFF" w:val="clear"/>
                <w:lang w:eastAsia="en-US"/>
              </w:rPr>
              <w:t>где:</w:t>
            </w:r>
          </w:p>
          <w:p>
            <w:pPr>
              <w:pStyle w:val="Style28"/>
              <w:widowControl w:val="false"/>
              <w:spacing w:before="40" w:after="40"/>
              <w:jc w:val="left"/>
              <w:rPr>
                <w:sz w:val="22"/>
                <w:szCs w:val="22"/>
              </w:rPr>
            </w:pPr>
            <w:r>
              <w:rPr>
                <w:sz w:val="22"/>
                <w:szCs w:val="22"/>
              </w:rPr>
              <w:t>Б</w:t>
            </w:r>
            <w:r>
              <w:rPr>
                <w:sz w:val="22"/>
                <w:szCs w:val="22"/>
                <w:vertAlign w:val="subscript"/>
              </w:rPr>
              <w:t>1</w:t>
            </w:r>
            <w:r>
              <w:rPr>
                <w:sz w:val="22"/>
                <w:szCs w:val="22"/>
              </w:rPr>
              <w:tab/>
              <w:t>–</w:t>
              <w:tab/>
              <w:t>рассчитанная оценка предпочтительности по данному частному критерию оценки в баллах;</w:t>
            </w:r>
          </w:p>
          <w:p>
            <w:pPr>
              <w:pStyle w:val="Normal"/>
              <w:widowControl w:val="false"/>
              <w:spacing w:lineRule="auto" w:line="252"/>
              <w:rPr>
                <w:sz w:val="22"/>
                <w:szCs w:val="22"/>
              </w:rPr>
            </w:pPr>
            <w:r>
              <w:rPr>
                <w:sz w:val="22"/>
                <w:szCs w:val="22"/>
              </w:rPr>
              <w:t>ЦЕНА</w:t>
            </w:r>
            <w:r>
              <w:rPr>
                <w:i/>
                <w:iCs/>
                <w:sz w:val="22"/>
                <w:szCs w:val="22"/>
                <w:vertAlign w:val="subscript"/>
                <w:lang w:val="en-US"/>
              </w:rPr>
              <w:t>i</w:t>
            </w:r>
            <w:r>
              <w:rPr>
                <w:sz w:val="22"/>
                <w:szCs w:val="22"/>
              </w:rPr>
              <w:t xml:space="preserve">  – </w:t>
            </w:r>
            <w:r>
              <w:rPr>
                <w:rFonts w:eastAsia="Calibri"/>
                <w:sz w:val="22"/>
                <w:szCs w:val="22"/>
              </w:rPr>
              <w:t xml:space="preserve">цена договора (стоимость заявки), указанная в </w:t>
            </w:r>
            <w:r>
              <w:rPr>
                <w:rFonts w:eastAsia="Calibri"/>
                <w:sz w:val="22"/>
                <w:szCs w:val="22"/>
                <w:lang w:val="en-US"/>
              </w:rPr>
              <w:t>i</w:t>
            </w:r>
            <w:r>
              <w:rPr>
                <w:rFonts w:eastAsia="Calibri"/>
                <w:sz w:val="22"/>
                <w:szCs w:val="22"/>
              </w:rPr>
              <w:t xml:space="preserve">-той заявке (в Коммерческом предложении по установленной в Документации о закупке форме) допущенного Участника, </w:t>
            </w:r>
            <w:r>
              <w:rPr>
                <w:sz w:val="22"/>
                <w:szCs w:val="22"/>
              </w:rPr>
              <w:t>руб. без учета НДС;</w:t>
            </w:r>
          </w:p>
          <w:p>
            <w:pPr>
              <w:pStyle w:val="Normal"/>
              <w:widowControl w:val="false"/>
              <w:spacing w:lineRule="auto" w:line="252"/>
              <w:rPr>
                <w:sz w:val="22"/>
                <w:szCs w:val="22"/>
              </w:rPr>
            </w:pPr>
            <w:r>
              <w:rPr>
                <w:sz w:val="22"/>
                <w:szCs w:val="22"/>
              </w:rPr>
              <w:t>ЦЕНА</w:t>
            </w:r>
            <w:r>
              <w:rPr>
                <w:sz w:val="22"/>
                <w:szCs w:val="22"/>
                <w:vertAlign w:val="subscript"/>
                <w:lang w:val="en-US"/>
              </w:rPr>
              <w:t>min</w:t>
            </w:r>
            <w:r>
              <w:rPr>
                <w:sz w:val="22"/>
                <w:szCs w:val="22"/>
                <w:vertAlign w:val="subscript"/>
              </w:rPr>
              <w:t xml:space="preserve"> </w:t>
            </w:r>
            <w:r>
              <w:rPr>
                <w:sz w:val="22"/>
                <w:szCs w:val="22"/>
              </w:rPr>
              <w:t>– минимальная цена договора (стоимость заявки) среди всех допущенных заявок Участников, руб. без учета НДС;</w:t>
            </w:r>
          </w:p>
          <w:p>
            <w:pPr>
              <w:pStyle w:val="22"/>
              <w:widowControl w:val="false"/>
              <w:numPr>
                <w:ilvl w:val="6"/>
                <w:numId w:val="5"/>
              </w:numPr>
              <w:tabs>
                <w:tab w:val="clear" w:pos="708"/>
                <w:tab w:val="left" w:pos="742" w:leader="none"/>
                <w:tab w:val="left" w:pos="1167" w:leader="none"/>
              </w:tabs>
              <w:spacing w:lineRule="auto" w:line="240"/>
              <w:ind w:hanging="360" w:left="0"/>
              <w:jc w:val="left"/>
              <w:rPr>
                <w:rFonts w:ascii="Times New Roman" w:hAnsi="Times New Roman"/>
                <w:sz w:val="22"/>
                <w:szCs w:val="22"/>
              </w:rPr>
            </w:pPr>
            <w:r>
              <w:rPr>
                <w:rFonts w:ascii="Times New Roman" w:hAnsi="Times New Roman"/>
                <w:sz w:val="22"/>
                <w:szCs w:val="22"/>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0"/>
                <w:numId w:val="0"/>
              </w:numPr>
              <w:suppressAutoHyphens w:val="true"/>
              <w:bidi w:val="0"/>
              <w:spacing w:lineRule="auto" w:line="240" w:before="96" w:after="96"/>
              <w:ind w:hanging="0" w:left="113" w:right="340"/>
              <w:contextualSpacing w:val="false"/>
              <w:jc w:val="left"/>
              <w:rPr>
                <w:sz w:val="22"/>
                <w:szCs w:val="22"/>
              </w:rPr>
            </w:pPr>
            <w:r>
              <w:rPr>
                <w:sz w:val="22"/>
                <w:szCs w:val="22"/>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22"/>
                <w:szCs w:val="22"/>
              </w:rPr>
              <w:t>.</w:t>
            </w:r>
          </w:p>
          <w:p>
            <w:pPr>
              <w:pStyle w:val="Style28"/>
              <w:widowControl w:val="false"/>
              <w:spacing w:before="40" w:after="40"/>
              <w:jc w:val="left"/>
              <w:rPr/>
            </w:pPr>
            <w:r>
              <w:rPr>
                <w:rStyle w:val="Style8"/>
                <w:rFonts w:eastAsia="Calibri"/>
                <w:i w:val="false"/>
                <w:iCs w:val="false"/>
                <w:sz w:val="22"/>
                <w:szCs w:val="22"/>
                <w:shd w:fill="FFFFFF" w:val="clear"/>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28"/>
              <w:widowControl w:val="false"/>
              <w:spacing w:before="120" w:after="0"/>
              <w:jc w:val="center"/>
              <w:rPr>
                <w:sz w:val="22"/>
                <w:szCs w:val="22"/>
              </w:rPr>
            </w:pPr>
            <w:r>
              <w:rPr>
                <w:rFonts w:eastAsia="Calibri"/>
                <w:sz w:val="22"/>
                <w:szCs w:val="22"/>
                <w:lang w:eastAsia="en-US"/>
              </w:rPr>
              <w:t>2.</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sz w:val="22"/>
                <w:szCs w:val="22"/>
              </w:rPr>
            </w:pPr>
            <w:r>
              <w:rPr>
                <w:rFonts w:eastAsia="Calibri"/>
                <w:sz w:val="22"/>
                <w:szCs w:val="22"/>
                <w:lang w:eastAsia="en-US"/>
              </w:rPr>
              <w:t>«Неценовой критерий оценки первого уровня;</w:t>
              <w:br/>
              <w:t>Тех</w:t>
            </w:r>
          </w:p>
        </w:tc>
        <w:tc>
          <w:tcPr>
            <w:tcW w:w="1963" w:type="dxa"/>
            <w:gridSpan w:val="2"/>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sz w:val="22"/>
                <w:szCs w:val="22"/>
              </w:rPr>
            </w:pPr>
            <w:r>
              <w:rPr>
                <w:rFonts w:eastAsia="Calibri"/>
                <w:sz w:val="22"/>
                <w:szCs w:val="22"/>
                <w:lang w:eastAsia="en-US"/>
              </w:rPr>
              <w:t>Квалификация (предпочтительность) Участника</w:t>
            </w:r>
          </w:p>
        </w:tc>
        <w:tc>
          <w:tcPr>
            <w:tcW w:w="1337" w:type="dxa"/>
            <w:tcBorders>
              <w:top w:val="single" w:sz="4" w:space="0" w:color="000001"/>
              <w:left w:val="single" w:sz="4" w:space="0" w:color="000001"/>
              <w:bottom w:val="single" w:sz="4" w:space="0" w:color="000001"/>
            </w:tcBorders>
            <w:shd w:color="auto" w:fill="auto" w:val="clear"/>
          </w:tcPr>
          <w:p>
            <w:pPr>
              <w:pStyle w:val="Style28"/>
              <w:widowControl w:val="false"/>
              <w:spacing w:before="120" w:after="0"/>
              <w:jc w:val="center"/>
              <w:rPr>
                <w:sz w:val="22"/>
                <w:szCs w:val="22"/>
              </w:rPr>
            </w:pPr>
            <w:r>
              <w:rPr>
                <w:rFonts w:eastAsia="Calibri"/>
                <w:sz w:val="22"/>
                <w:szCs w:val="22"/>
                <w:lang w:eastAsia="en-US"/>
              </w:rPr>
              <w:t>отсутствует</w:t>
            </w:r>
          </w:p>
        </w:tc>
        <w:tc>
          <w:tcPr>
            <w:tcW w:w="1416"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uppressAutoHyphens w:val="true"/>
              <w:bidi w:val="0"/>
              <w:spacing w:lineRule="auto" w:line="240" w:before="40" w:after="40"/>
              <w:ind w:hanging="0" w:left="283" w:right="0"/>
              <w:contextualSpacing w:val="false"/>
              <w:jc w:val="center"/>
              <w:rPr>
                <w:sz w:val="22"/>
                <w:szCs w:val="22"/>
              </w:rPr>
            </w:pPr>
            <w:r>
              <w:rPr>
                <w:sz w:val="22"/>
                <w:szCs w:val="22"/>
              </w:rPr>
              <w:t>5%</w:t>
              <w:br/>
              <w:t>(В</w:t>
            </w:r>
            <w:r>
              <w:rPr>
                <w:sz w:val="22"/>
                <w:szCs w:val="22"/>
                <w:vertAlign w:val="subscript"/>
              </w:rPr>
              <w:t>2</w:t>
            </w:r>
            <w:r>
              <w:rPr>
                <w:sz w:val="22"/>
                <w:szCs w:val="22"/>
              </w:rPr>
              <w:t xml:space="preserve"> = 0,05)</w:t>
            </w:r>
          </w:p>
        </w:tc>
        <w:tc>
          <w:tcPr>
            <w:tcW w:w="1820" w:type="dxa"/>
            <w:gridSpan w:val="2"/>
            <w:tcBorders>
              <w:top w:val="single" w:sz="4" w:space="0" w:color="000001"/>
              <w:left w:val="single" w:sz="4" w:space="0" w:color="000001"/>
              <w:bottom w:val="single" w:sz="4" w:space="0" w:color="000001"/>
            </w:tcBorders>
            <w:shd w:color="auto" w:fill="auto" w:val="clear"/>
          </w:tcPr>
          <w:p>
            <w:pPr>
              <w:pStyle w:val="Normal"/>
              <w:widowControl w:val="false"/>
              <w:spacing w:before="60" w:after="60"/>
              <w:jc w:val="center"/>
              <w:rPr>
                <w:sz w:val="22"/>
                <w:szCs w:val="22"/>
              </w:rPr>
            </w:pPr>
            <w:r>
              <w:rPr>
                <w:rFonts w:eastAsia="Calibri"/>
                <w:sz w:val="22"/>
                <w:szCs w:val="22"/>
                <w:lang w:eastAsia="en-US"/>
              </w:rPr>
              <w:t>Чем больше опыт (более установленного минимума), тем выше предпочтительность</w:t>
            </w:r>
          </w:p>
          <w:p>
            <w:pPr>
              <w:pStyle w:val="Normal"/>
              <w:widowControl w:val="false"/>
              <w:spacing w:before="60" w:after="60"/>
              <w:rPr>
                <w:rFonts w:eastAsia="Calibri"/>
                <w:sz w:val="22"/>
                <w:szCs w:val="22"/>
                <w:lang w:eastAsia="en-US"/>
              </w:rPr>
            </w:pPr>
            <w:r>
              <w:rPr>
                <w:rFonts w:eastAsia="Calibri"/>
                <w:sz w:val="22"/>
                <w:szCs w:val="22"/>
                <w:lang w:eastAsia="en-US"/>
              </w:rPr>
            </w:r>
          </w:p>
          <w:p>
            <w:pPr>
              <w:pStyle w:val="Style28"/>
              <w:widowControl w:val="false"/>
              <w:spacing w:before="40" w:after="40"/>
              <w:jc w:val="center"/>
              <w:rPr>
                <w:rFonts w:eastAsia="Calibri"/>
                <w:sz w:val="22"/>
                <w:szCs w:val="22"/>
                <w:lang w:eastAsia="en-US"/>
              </w:rPr>
            </w:pPr>
            <w:r>
              <w:rPr>
                <w:rFonts w:eastAsia="Calibri"/>
                <w:sz w:val="22"/>
                <w:szCs w:val="22"/>
                <w:lang w:eastAsia="en-US"/>
              </w:rPr>
            </w:r>
          </w:p>
        </w:tc>
        <w:tc>
          <w:tcPr>
            <w:tcW w:w="6078"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60" w:after="60"/>
              <w:jc w:val="both"/>
              <w:rPr>
                <w:sz w:val="22"/>
                <w:szCs w:val="22"/>
              </w:rPr>
            </w:pPr>
            <w:r>
              <w:rPr>
                <w:rFonts w:eastAsia="Calibri"/>
                <w:spacing w:val="-2"/>
                <w:sz w:val="22"/>
                <w:szCs w:val="22"/>
                <w:lang w:eastAsia="en-US"/>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90" w:after="90"/>
              <w:jc w:val="both"/>
              <w:rPr>
                <w:sz w:val="22"/>
                <w:szCs w:val="22"/>
              </w:rPr>
            </w:pPr>
            <w:r>
              <w:rPr>
                <w:rFonts w:eastAsia="Calibri"/>
                <w:spacing w:val="-2"/>
                <w:sz w:val="22"/>
                <w:szCs w:val="22"/>
                <w:lang w:eastAsia="en-US"/>
              </w:rPr>
              <w:t xml:space="preserve">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w:t>
            </w:r>
            <w:r>
              <w:rPr>
                <w:rFonts w:eastAsia="Calibri"/>
                <w:spacing w:val="-2"/>
                <w:sz w:val="22"/>
                <w:szCs w:val="22"/>
                <w:shd w:fill="FFFFFF" w:val="clear"/>
                <w:lang w:eastAsia="en-US"/>
              </w:rPr>
              <w:t>поставки компьютерного периферийного оборудования, комплектующих, запасных частей, устройств и блоков питания для компьютерного оборудования</w:t>
            </w:r>
            <w:bookmarkStart w:id="380" w:name="_GoBack_Копия_1"/>
            <w:bookmarkEnd w:id="380"/>
            <w:r>
              <w:rPr>
                <w:rFonts w:eastAsia="Calibri"/>
                <w:spacing w:val="-2"/>
                <w:sz w:val="22"/>
                <w:szCs w:val="22"/>
                <w:shd w:fill="FFFFFF" w:val="clear"/>
                <w:lang w:eastAsia="en-US"/>
              </w:rPr>
              <w:t xml:space="preserve"> </w:t>
            </w:r>
            <w:r>
              <w:rPr>
                <w:rFonts w:eastAsia="Calibri"/>
                <w:spacing w:val="-2"/>
                <w:sz w:val="22"/>
                <w:szCs w:val="22"/>
                <w:lang w:eastAsia="en-US"/>
              </w:rPr>
              <w:t xml:space="preserve"> за последние 5 (пять) лет, предшествующих дате подачи заявки, с приложением следующих подтверждающих документов:</w:t>
            </w:r>
          </w:p>
          <w:p>
            <w:pPr>
              <w:pStyle w:val="Normal"/>
              <w:widowControl w:val="false"/>
              <w:spacing w:before="40" w:after="40"/>
              <w:jc w:val="both"/>
              <w:rPr>
                <w:rFonts w:eastAsia="Calibri"/>
                <w:spacing w:val="-2"/>
                <w:sz w:val="22"/>
                <w:szCs w:val="22"/>
                <w:lang w:eastAsia="en-US"/>
              </w:rPr>
            </w:pPr>
            <w:r>
              <w:rPr>
                <w:rFonts w:eastAsia="Calibri"/>
                <w:spacing w:val="-2"/>
                <w:sz w:val="22"/>
                <w:szCs w:val="22"/>
                <w:lang w:eastAsia="en-US"/>
              </w:rPr>
              <w:t>-   копии договоров, подписанных с обеих сторон;</w:t>
            </w:r>
          </w:p>
          <w:p>
            <w:pPr>
              <w:pStyle w:val="Normal"/>
              <w:widowControl w:val="false"/>
              <w:spacing w:before="40" w:after="40"/>
              <w:jc w:val="both"/>
              <w:rPr>
                <w:rFonts w:eastAsia="Calibri"/>
                <w:spacing w:val="-2"/>
                <w:sz w:val="22"/>
                <w:szCs w:val="22"/>
                <w:lang w:eastAsia="en-US"/>
              </w:rPr>
            </w:pPr>
            <w:r>
              <w:rPr>
                <w:rFonts w:eastAsia="Calibri"/>
                <w:spacing w:val="-2"/>
                <w:sz w:val="22"/>
                <w:szCs w:val="22"/>
                <w:lang w:eastAsia="en-US"/>
              </w:rPr>
              <w:t>- копии Накладных, Счет-фактур, УПД подписанных с обеих сторон с указанием стоимости и наименования выполненных поставок предусмотренных требованиями договора, подтверждающих факт его исполнения с указанием стоимости и наименования выполненных поставок</w:t>
            </w:r>
            <w:bookmarkStart w:id="381" w:name="_GoBack"/>
            <w:bookmarkEnd w:id="381"/>
            <w:r>
              <w:rPr>
                <w:rFonts w:eastAsia="Calibri"/>
                <w:spacing w:val="-2"/>
                <w:sz w:val="22"/>
                <w:szCs w:val="22"/>
                <w:lang w:eastAsia="en-US"/>
              </w:rPr>
              <w:t>, подписанных с обеих сторон.</w:t>
            </w:r>
          </w:p>
          <w:p>
            <w:pPr>
              <w:pStyle w:val="Normal"/>
              <w:widowControl w:val="false"/>
              <w:spacing w:before="40" w:after="40"/>
              <w:jc w:val="both"/>
              <w:rPr/>
            </w:pPr>
            <w:r>
              <w:rPr>
                <w:rFonts w:eastAsia="Calibri"/>
                <w:spacing w:val="-2"/>
                <w:sz w:val="22"/>
                <w:szCs w:val="22"/>
                <w:lang w:eastAsia="en-US"/>
              </w:rPr>
              <w:t>- или копии иных документов, предусмотренных требованиями договора, подтверждающих факт его исполнения с указанием стоимости и наименования выполненных поставок, подписанных с обеих сторон.</w:t>
            </w:r>
          </w:p>
          <w:p>
            <w:pPr>
              <w:pStyle w:val="Normal"/>
              <w:widowControl w:val="false"/>
              <w:spacing w:before="40" w:after="40"/>
              <w:jc w:val="both"/>
              <w:rPr/>
            </w:pPr>
            <w:r>
              <w:rPr>
                <w:rFonts w:eastAsia="Calibri"/>
                <w:spacing w:val="-2"/>
                <w:sz w:val="22"/>
                <w:szCs w:val="22"/>
                <w:lang w:eastAsia="en-US"/>
              </w:rPr>
              <w:t>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поставки оборудования по направлению информационных технологий за последние 5 (пять) лет, в совокупном (суммарном) объеме:</w:t>
            </w:r>
          </w:p>
          <w:tbl>
            <w:tblPr>
              <w:tblW w:w="5193" w:type="dxa"/>
              <w:jc w:val="left"/>
              <w:tblInd w:w="10" w:type="dxa"/>
              <w:tblLayout w:type="fixed"/>
              <w:tblCellMar>
                <w:top w:w="0" w:type="dxa"/>
                <w:left w:w="108" w:type="dxa"/>
                <w:bottom w:w="0" w:type="dxa"/>
                <w:right w:w="108" w:type="dxa"/>
              </w:tblCellMar>
              <w:tblLook w:val="0000" w:noHBand="0" w:noVBand="0" w:firstColumn="0" w:lastRow="0" w:lastColumn="0" w:firstRow="0"/>
            </w:tblPr>
            <w:tblGrid>
              <w:gridCol w:w="889"/>
              <w:gridCol w:w="4303"/>
            </w:tblGrid>
            <w:tr>
              <w:trPr>
                <w:trHeight w:val="415"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22"/>
                      <w:szCs w:val="22"/>
                    </w:rPr>
                  </w:pPr>
                  <w:r>
                    <w:rPr>
                      <w:sz w:val="22"/>
                      <w:szCs w:val="22"/>
                    </w:rPr>
                    <w:t xml:space="preserve">                              </w:t>
                  </w:r>
                  <w:r>
                    <w:rPr>
                      <w:sz w:val="22"/>
                      <w:szCs w:val="22"/>
                    </w:rPr>
                    <w:t>Б</w:t>
                  </w:r>
                  <w:r>
                    <w:rPr>
                      <w:sz w:val="22"/>
                      <w:szCs w:val="22"/>
                      <w:vertAlign w:val="subscript"/>
                    </w:rPr>
                    <w:t xml:space="preserve">2 </w:t>
                  </w:r>
                  <w:r>
                    <w:rPr>
                      <w:sz w:val="22"/>
                      <w:szCs w:val="22"/>
                    </w:rPr>
                    <w:t>= 0</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left="113" w:right="964"/>
                    <w:contextualSpacing/>
                    <w:jc w:val="left"/>
                    <w:rPr>
                      <w:sz w:val="22"/>
                      <w:szCs w:val="22"/>
                    </w:rPr>
                  </w:pPr>
                  <w:r>
                    <w:rPr>
                      <w:sz w:val="22"/>
                      <w:szCs w:val="22"/>
                    </w:rPr>
                    <w:t>от 0 %(опыт отсутствует, либо не подтвержден) от НМЦ, без учета НДС, до 30% НМЦ без учета НДС (включительно)  от НМЦ, без учета НДС за последние пять лет;</w:t>
                  </w:r>
                </w:p>
              </w:tc>
            </w:tr>
            <w:tr>
              <w:trPr>
                <w:trHeight w:val="413" w:hRule="atLeast"/>
                <w:cantSplit w:val="true"/>
              </w:trPr>
              <w:tc>
                <w:tcPr>
                  <w:tcW w:w="889" w:type="dxa"/>
                  <w:tcBorders>
                    <w:top w:val="single" w:sz="4" w:space="0" w:color="000001"/>
                    <w:bottom w:val="single" w:sz="4" w:space="0" w:color="000001"/>
                    <w:right w:val="single" w:sz="4" w:space="0" w:color="000001"/>
                  </w:tcBorders>
                  <w:shd w:color="auto" w:fill="auto" w:val="clear"/>
                  <w:vAlign w:val="center"/>
                </w:tcPr>
                <w:p>
                  <w:pPr>
                    <w:pStyle w:val="Standard"/>
                    <w:widowControl w:val="false"/>
                    <w:rPr>
                      <w:sz w:val="22"/>
                      <w:szCs w:val="22"/>
                    </w:rPr>
                  </w:pPr>
                  <w:r>
                    <w:rPr>
                      <w:sz w:val="22"/>
                      <w:szCs w:val="22"/>
                    </w:rPr>
                    <w:t xml:space="preserve">                                   </w:t>
                  </w:r>
                  <w:r>
                    <w:rPr>
                      <w:sz w:val="22"/>
                      <w:szCs w:val="22"/>
                    </w:rPr>
                    <w:t>Б</w:t>
                  </w:r>
                  <w:r>
                    <w:rPr>
                      <w:sz w:val="22"/>
                      <w:szCs w:val="22"/>
                      <w:vertAlign w:val="subscript"/>
                    </w:rPr>
                    <w:t>2</w:t>
                  </w:r>
                  <w:r>
                    <w:rPr>
                      <w:sz w:val="22"/>
                      <w:szCs w:val="22"/>
                    </w:rPr>
                    <w:t xml:space="preserve"> = 1</w:t>
                  </w:r>
                </w:p>
              </w:tc>
              <w:tc>
                <w:tcPr>
                  <w:tcW w:w="4303" w:type="dxa"/>
                  <w:tcBorders>
                    <w:top w:val="single" w:sz="4" w:space="0" w:color="000001"/>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left="113" w:right="1020"/>
                    <w:contextualSpacing/>
                    <w:jc w:val="left"/>
                    <w:rPr>
                      <w:sz w:val="22"/>
                      <w:szCs w:val="22"/>
                    </w:rPr>
                  </w:pPr>
                  <w:r>
                    <w:rPr>
                      <w:sz w:val="22"/>
                      <w:szCs w:val="22"/>
                    </w:rPr>
                    <w:t>более 30% НМЦ «без учета НДС», до 40% НМЦ  без учета НДС (включительно) от НМЦ, без учета НДС за последние пять лет;</w:t>
                  </w:r>
                </w:p>
              </w:tc>
            </w:tr>
            <w:tr>
              <w:trPr>
                <w:trHeight w:val="279" w:hRule="atLeast"/>
                <w:cantSplit w:val="true"/>
              </w:trPr>
              <w:tc>
                <w:tcPr>
                  <w:tcW w:w="889" w:type="dxa"/>
                  <w:tcBorders>
                    <w:top w:val="single" w:sz="4" w:space="0" w:color="000001"/>
                    <w:bottom w:val="single" w:sz="4" w:space="0" w:color="000001"/>
                    <w:right w:val="single" w:sz="4" w:space="0" w:color="000001"/>
                  </w:tcBorders>
                  <w:shd w:color="auto" w:fill="auto" w:val="clear"/>
                  <w:vAlign w:val="center"/>
                </w:tcPr>
                <w:p>
                  <w:pPr>
                    <w:pStyle w:val="Standard"/>
                    <w:widowControl w:val="false"/>
                    <w:rPr>
                      <w:sz w:val="22"/>
                      <w:szCs w:val="22"/>
                    </w:rPr>
                  </w:pPr>
                  <w:r>
                    <w:rPr>
                      <w:sz w:val="22"/>
                      <w:szCs w:val="22"/>
                    </w:rPr>
                    <w:t xml:space="preserve">                                   </w:t>
                  </w:r>
                  <w:r>
                    <w:rPr>
                      <w:sz w:val="22"/>
                      <w:szCs w:val="22"/>
                    </w:rPr>
                    <w:t>Б</w:t>
                  </w:r>
                  <w:r>
                    <w:rPr>
                      <w:sz w:val="22"/>
                      <w:szCs w:val="22"/>
                      <w:vertAlign w:val="subscript"/>
                    </w:rPr>
                    <w:t>2</w:t>
                  </w:r>
                  <w:r>
                    <w:rPr>
                      <w:sz w:val="22"/>
                      <w:szCs w:val="22"/>
                    </w:rPr>
                    <w:t xml:space="preserve"> = 2</w:t>
                  </w:r>
                </w:p>
              </w:tc>
              <w:tc>
                <w:tcPr>
                  <w:tcW w:w="4303" w:type="dxa"/>
                  <w:tcBorders>
                    <w:top w:val="single" w:sz="4" w:space="0" w:color="000001"/>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left="113" w:right="1020"/>
                    <w:contextualSpacing/>
                    <w:jc w:val="left"/>
                    <w:rPr>
                      <w:sz w:val="22"/>
                      <w:szCs w:val="22"/>
                    </w:rPr>
                  </w:pPr>
                  <w:r>
                    <w:rPr>
                      <w:sz w:val="22"/>
                      <w:szCs w:val="22"/>
                    </w:rPr>
                    <w:t>более 40% НМЦ «без учета НДС», до 50%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22"/>
                      <w:szCs w:val="22"/>
                    </w:rPr>
                  </w:pPr>
                  <w:r>
                    <w:rPr>
                      <w:sz w:val="22"/>
                      <w:szCs w:val="22"/>
                    </w:rPr>
                    <w:t xml:space="preserve">                                   </w:t>
                  </w:r>
                  <w:r>
                    <w:rPr>
                      <w:sz w:val="22"/>
                      <w:szCs w:val="22"/>
                    </w:rPr>
                    <w:t>Б</w:t>
                  </w:r>
                  <w:r>
                    <w:rPr>
                      <w:sz w:val="22"/>
                      <w:szCs w:val="22"/>
                      <w:vertAlign w:val="subscript"/>
                    </w:rPr>
                    <w:t>2</w:t>
                  </w:r>
                  <w:r>
                    <w:rPr>
                      <w:sz w:val="22"/>
                      <w:szCs w:val="22"/>
                    </w:rPr>
                    <w:t>  = 3</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left="113" w:right="1077"/>
                    <w:contextualSpacing/>
                    <w:jc w:val="left"/>
                    <w:rPr>
                      <w:sz w:val="22"/>
                      <w:szCs w:val="22"/>
                    </w:rPr>
                  </w:pPr>
                  <w:r>
                    <w:rPr>
                      <w:sz w:val="22"/>
                      <w:szCs w:val="22"/>
                    </w:rPr>
                    <w:t>более 50% НМЦ «без учета НДС», до 60%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22"/>
                      <w:szCs w:val="22"/>
                    </w:rPr>
                  </w:pPr>
                  <w:r>
                    <w:rPr>
                      <w:sz w:val="22"/>
                      <w:szCs w:val="22"/>
                    </w:rPr>
                    <w:t>Б</w:t>
                  </w:r>
                  <w:r>
                    <w:rPr>
                      <w:sz w:val="22"/>
                      <w:szCs w:val="22"/>
                      <w:vertAlign w:val="subscript"/>
                    </w:rPr>
                    <w:t>2</w:t>
                  </w:r>
                  <w:r>
                    <w:rPr>
                      <w:sz w:val="22"/>
                      <w:szCs w:val="22"/>
                    </w:rPr>
                    <w:t xml:space="preserve"> = 4</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left="113" w:right="964"/>
                    <w:contextualSpacing/>
                    <w:jc w:val="left"/>
                    <w:rPr>
                      <w:sz w:val="22"/>
                      <w:szCs w:val="22"/>
                    </w:rPr>
                  </w:pPr>
                  <w:r>
                    <w:rPr>
                      <w:sz w:val="22"/>
                      <w:szCs w:val="22"/>
                    </w:rPr>
                    <w:t>более 60% НМЦ «без учета НДС», до 70%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22"/>
                      <w:szCs w:val="22"/>
                    </w:rPr>
                  </w:pPr>
                  <w:r>
                    <w:rPr>
                      <w:sz w:val="22"/>
                      <w:szCs w:val="22"/>
                    </w:rPr>
                    <w:t xml:space="preserve"> </w:t>
                  </w:r>
                  <w:r>
                    <w:rPr>
                      <w:sz w:val="22"/>
                      <w:szCs w:val="22"/>
                    </w:rPr>
                    <w:t>Б</w:t>
                  </w:r>
                  <w:r>
                    <w:rPr>
                      <w:sz w:val="22"/>
                      <w:szCs w:val="22"/>
                      <w:vertAlign w:val="subscript"/>
                    </w:rPr>
                    <w:t xml:space="preserve">2 </w:t>
                  </w:r>
                  <w:r>
                    <w:rPr>
                      <w:sz w:val="22"/>
                      <w:szCs w:val="22"/>
                    </w:rPr>
                    <w:t>= 5</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left="113" w:right="1020"/>
                    <w:contextualSpacing/>
                    <w:jc w:val="left"/>
                    <w:rPr/>
                  </w:pPr>
                  <w:r>
                    <w:rPr>
                      <w:sz w:val="22"/>
                      <w:szCs w:val="22"/>
                    </w:rPr>
                    <w:t>более</w:t>
                  </w:r>
                  <w:r>
                    <w:rPr>
                      <w:rStyle w:val="Annotationreference"/>
                      <w:sz w:val="22"/>
                      <w:szCs w:val="22"/>
                    </w:rPr>
                    <w:t xml:space="preserve"> 70% НМЦ без учета НДС от НМЦ, без учета НДС за последние пять лет;</w:t>
                  </w:r>
                </w:p>
              </w:tc>
            </w:tr>
          </w:tbl>
          <w:p>
            <w:pPr>
              <w:pStyle w:val="22"/>
              <w:keepNext w:val="true"/>
              <w:widowControl w:val="false"/>
              <w:numPr>
                <w:ilvl w:val="6"/>
                <w:numId w:val="3"/>
              </w:numPr>
              <w:spacing w:lineRule="auto" w:line="240"/>
              <w:ind w:hanging="360" w:left="0"/>
              <w:jc w:val="left"/>
              <w:rPr>
                <w:rFonts w:ascii="Times New Roman" w:hAnsi="Times New Roman"/>
                <w:sz w:val="22"/>
                <w:szCs w:val="22"/>
              </w:rPr>
            </w:pPr>
            <w:r>
              <w:rPr>
                <w:rFonts w:ascii="Times New Roman" w:hAnsi="Times New Roman"/>
                <w:sz w:val="22"/>
                <w:szCs w:val="22"/>
              </w:rPr>
              <w:t>где:</w:t>
            </w:r>
          </w:p>
          <w:p>
            <w:pPr>
              <w:pStyle w:val="Textbody"/>
              <w:widowControl w:val="false"/>
              <w:spacing w:lineRule="auto" w:line="240" w:before="0" w:after="0"/>
              <w:ind w:right="57"/>
              <w:jc w:val="both"/>
              <w:rPr>
                <w:rFonts w:ascii="Times New Roman" w:hAnsi="Times New Roman"/>
                <w:sz w:val="22"/>
                <w:szCs w:val="22"/>
              </w:rPr>
            </w:pPr>
            <w:r>
              <w:rPr>
                <w:rFonts w:eastAsia="Calibri" w:cs="Times New Roman" w:ascii="Times New Roman" w:hAnsi="Times New Roman"/>
                <w:spacing w:val="-2"/>
                <w:sz w:val="22"/>
                <w:szCs w:val="22"/>
                <w:lang w:eastAsia="en-US" w:bidi="ar-SA"/>
              </w:rPr>
              <w:t>Б</w:t>
            </w:r>
            <w:r>
              <w:rPr>
                <w:rFonts w:eastAsia="Calibri" w:cs="Times New Roman" w:ascii="Times New Roman" w:hAnsi="Times New Roman"/>
                <w:spacing w:val="-2"/>
                <w:sz w:val="22"/>
                <w:szCs w:val="22"/>
                <w:vertAlign w:val="subscript"/>
                <w:lang w:eastAsia="en-US" w:bidi="ar-SA"/>
              </w:rPr>
              <w:t>2</w:t>
            </w:r>
            <w:r>
              <w:rPr>
                <w:rFonts w:eastAsia="Calibri" w:cs="Times New Roman" w:ascii="Times New Roman" w:hAnsi="Times New Roman"/>
                <w:spacing w:val="-2"/>
                <w:sz w:val="22"/>
                <w:szCs w:val="22"/>
                <w:lang w:eastAsia="en-US" w:bidi="ar-SA"/>
              </w:rPr>
              <w:t xml:space="preserve"> - рассчитанная оценка предпочтительности по данному частному критерию оценки в баллах.</w:t>
            </w:r>
          </w:p>
          <w:p>
            <w:pPr>
              <w:pStyle w:val="Textbody"/>
              <w:widowControl w:val="false"/>
              <w:spacing w:lineRule="auto" w:line="240" w:before="0" w:after="0"/>
              <w:ind w:right="57"/>
              <w:jc w:val="both"/>
              <w:rPr>
                <w:rFonts w:ascii="Times New Roman" w:hAnsi="Times New Roman"/>
                <w:sz w:val="22"/>
                <w:szCs w:val="22"/>
              </w:rPr>
            </w:pPr>
            <w:r>
              <w:rPr>
                <w:rFonts w:eastAsia="Calibri" w:cs="Times New Roman" w:ascii="Times New Roman" w:hAnsi="Times New Roman"/>
                <w:spacing w:val="-2"/>
                <w:sz w:val="22"/>
                <w:szCs w:val="22"/>
                <w:lang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22"/>
              <w:widowControl w:val="false"/>
              <w:numPr>
                <w:ilvl w:val="6"/>
                <w:numId w:val="4"/>
              </w:numPr>
              <w:spacing w:lineRule="auto" w:line="240" w:before="0" w:after="60"/>
              <w:ind w:hanging="360" w:left="0"/>
              <w:rPr>
                <w:rFonts w:ascii="Times New Roman" w:hAnsi="Times New Roman"/>
                <w:sz w:val="22"/>
                <w:szCs w:val="22"/>
              </w:rPr>
            </w:pPr>
            <w:r>
              <w:rPr>
                <w:rFonts w:ascii="Times New Roman" w:hAnsi="Times New Roman"/>
                <w:sz w:val="22"/>
                <w:szCs w:val="22"/>
              </w:rPr>
              <w:t>Опыт, несоответствующий установленным в Документации о закупке требованиям не оценивается.</w:t>
            </w:r>
          </w:p>
          <w:p>
            <w:pPr>
              <w:pStyle w:val="Style28"/>
              <w:widowControl w:val="false"/>
              <w:spacing w:before="40" w:after="40"/>
              <w:jc w:val="left"/>
              <w:rPr>
                <w:sz w:val="22"/>
                <w:szCs w:val="22"/>
              </w:rPr>
            </w:pPr>
            <w:r>
              <w:rPr>
                <w:rFonts w:eastAsia="Calibri"/>
                <w:sz w:val="22"/>
                <w:szCs w:val="22"/>
                <w:lang w:eastAsia="en-US"/>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28"/>
              <w:widowControl w:val="false"/>
              <w:spacing w:before="120" w:after="0"/>
              <w:jc w:val="center"/>
              <w:rPr>
                <w:sz w:val="22"/>
                <w:szCs w:val="22"/>
              </w:rPr>
            </w:pPr>
            <w:r>
              <w:rPr>
                <w:rFonts w:eastAsia="Calibri"/>
                <w:sz w:val="22"/>
                <w:szCs w:val="22"/>
                <w:lang w:eastAsia="en-US"/>
              </w:rPr>
              <w:t>3.</w:t>
            </w:r>
          </w:p>
        </w:tc>
        <w:tc>
          <w:tcPr>
            <w:tcW w:w="1368" w:type="dxa"/>
            <w:tcBorders>
              <w:top w:val="single" w:sz="4" w:space="0" w:color="000001"/>
              <w:left w:val="single" w:sz="4" w:space="0" w:color="000001"/>
              <w:bottom w:val="single" w:sz="4" w:space="0" w:color="000001"/>
            </w:tcBorders>
            <w:shd w:color="auto" w:fill="auto" w:val="clear"/>
          </w:tcPr>
          <w:p>
            <w:pPr>
              <w:pStyle w:val="Style28"/>
              <w:widowControl w:val="false"/>
              <w:spacing w:before="120" w:after="0"/>
              <w:jc w:val="center"/>
              <w:rPr/>
            </w:pPr>
            <w:r>
              <w:rPr>
                <w:rFonts w:eastAsia="Calibri"/>
                <w:sz w:val="22"/>
                <w:szCs w:val="22"/>
                <w:lang w:eastAsia="en-US"/>
              </w:rPr>
              <w:t>«Неценовой критерий оценки первого уровня;</w:t>
              <w:br/>
              <w:t>Орг»</w:t>
            </w:r>
          </w:p>
        </w:tc>
        <w:tc>
          <w:tcPr>
            <w:tcW w:w="1963" w:type="dxa"/>
            <w:gridSpan w:val="2"/>
            <w:tcBorders>
              <w:top w:val="single" w:sz="4" w:space="0" w:color="000001"/>
              <w:left w:val="single" w:sz="4" w:space="0" w:color="000001"/>
              <w:bottom w:val="single" w:sz="4" w:space="0" w:color="000001"/>
            </w:tcBorders>
            <w:shd w:color="auto" w:fill="auto" w:val="clear"/>
          </w:tcPr>
          <w:p>
            <w:pPr>
              <w:pStyle w:val="Style28"/>
              <w:widowControl w:val="false"/>
              <w:spacing w:before="120" w:after="0"/>
              <w:jc w:val="center"/>
              <w:rPr>
                <w:sz w:val="22"/>
                <w:szCs w:val="22"/>
              </w:rPr>
            </w:pPr>
            <w:r>
              <w:rPr>
                <w:rFonts w:eastAsia="Calibri"/>
                <w:sz w:val="22"/>
                <w:szCs w:val="22"/>
                <w:lang w:eastAsia="en-US"/>
              </w:rPr>
              <w:t>Финансовое состояние (устойчивость) Участника</w:t>
            </w:r>
          </w:p>
        </w:tc>
        <w:tc>
          <w:tcPr>
            <w:tcW w:w="1337" w:type="dxa"/>
            <w:tcBorders>
              <w:top w:val="single" w:sz="4" w:space="0" w:color="000001"/>
              <w:left w:val="single" w:sz="4" w:space="0" w:color="000001"/>
              <w:bottom w:val="single" w:sz="4" w:space="0" w:color="000001"/>
            </w:tcBorders>
            <w:shd w:color="auto" w:fill="auto" w:val="clear"/>
          </w:tcPr>
          <w:p>
            <w:pPr>
              <w:pStyle w:val="Style28"/>
              <w:widowControl w:val="false"/>
              <w:spacing w:before="120" w:after="0"/>
              <w:jc w:val="center"/>
              <w:rPr>
                <w:sz w:val="22"/>
                <w:szCs w:val="22"/>
              </w:rPr>
            </w:pPr>
            <w:r>
              <w:rPr>
                <w:rFonts w:eastAsia="Calibri"/>
                <w:sz w:val="22"/>
                <w:szCs w:val="22"/>
                <w:lang w:eastAsia="en-US"/>
              </w:rPr>
              <w:t>отсутствует</w:t>
            </w:r>
          </w:p>
        </w:tc>
        <w:tc>
          <w:tcPr>
            <w:tcW w:w="1416"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uppressAutoHyphens w:val="true"/>
              <w:bidi w:val="0"/>
              <w:spacing w:lineRule="auto" w:line="240" w:before="40" w:after="40"/>
              <w:ind w:hanging="0" w:left="227" w:right="0"/>
              <w:contextualSpacing w:val="false"/>
              <w:jc w:val="center"/>
              <w:rPr>
                <w:sz w:val="22"/>
                <w:szCs w:val="22"/>
              </w:rPr>
            </w:pPr>
            <w:r>
              <w:rPr>
                <w:sz w:val="22"/>
                <w:szCs w:val="22"/>
              </w:rPr>
              <w:t>5%</w:t>
              <w:br/>
              <w:t>(В</w:t>
            </w:r>
            <w:r>
              <w:rPr>
                <w:sz w:val="22"/>
                <w:szCs w:val="22"/>
                <w:vertAlign w:val="subscript"/>
              </w:rPr>
              <w:t>3</w:t>
            </w:r>
            <w:r>
              <w:rPr>
                <w:sz w:val="22"/>
                <w:szCs w:val="22"/>
              </w:rPr>
              <w:t xml:space="preserve"> = 0,05)</w:t>
            </w:r>
          </w:p>
        </w:tc>
        <w:tc>
          <w:tcPr>
            <w:tcW w:w="1820" w:type="dxa"/>
            <w:gridSpan w:val="2"/>
            <w:tcBorders>
              <w:top w:val="single" w:sz="4" w:space="0" w:color="000001"/>
              <w:left w:val="single" w:sz="4" w:space="0" w:color="000001"/>
              <w:bottom w:val="single" w:sz="4" w:space="0" w:color="000001"/>
            </w:tcBorders>
            <w:shd w:color="auto" w:fill="auto" w:val="clear"/>
          </w:tcPr>
          <w:p>
            <w:pPr>
              <w:pStyle w:val="Style28"/>
              <w:widowControl w:val="false"/>
              <w:spacing w:before="120" w:after="0"/>
              <w:jc w:val="center"/>
              <w:rPr>
                <w:sz w:val="22"/>
                <w:szCs w:val="22"/>
              </w:rPr>
            </w:pPr>
            <w:r>
              <w:rPr>
                <w:rFonts w:eastAsia="Calibri"/>
                <w:sz w:val="22"/>
                <w:szCs w:val="22"/>
                <w:lang w:eastAsia="en-US"/>
              </w:rPr>
              <w:t>Чем выше оценка финансового состояния (устойчивости) Участника, тем выше предпочтительность</w:t>
            </w:r>
          </w:p>
        </w:tc>
        <w:tc>
          <w:tcPr>
            <w:tcW w:w="6078"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jc w:val="both"/>
              <w:rPr/>
            </w:pPr>
            <w:r>
              <w:rPr>
                <w:rFonts w:eastAsia="Calibri"/>
                <w:sz w:val="22"/>
                <w:szCs w:val="22"/>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120" w:after="0"/>
              <w:contextualSpacing/>
              <w:jc w:val="both"/>
              <w:rPr/>
            </w:pPr>
            <w:r>
              <w:rPr>
                <w:sz w:val="22"/>
                <w:szCs w:val="22"/>
              </w:rPr>
              <w:t xml:space="preserve">Порядок осуществления оценки (значение оцениваемого параметра), в зависимости от полученного Участником (с </w:t>
            </w:r>
            <w:r>
              <w:rPr>
                <w:i/>
                <w:sz w:val="22"/>
                <w:szCs w:val="22"/>
                <w:lang w:val="en-US"/>
              </w:rPr>
              <w:t>i</w:t>
            </w:r>
            <w:r>
              <w:rPr>
                <w:sz w:val="22"/>
                <w:szCs w:val="22"/>
              </w:rPr>
              <w:t xml:space="preserve">-ой заявкой) значения расчетного балла </w:t>
            </w:r>
            <w:bookmarkStart w:id="382" w:name="_Hlk140493522"/>
            <w:r>
              <w:rPr>
                <w:sz w:val="22"/>
                <w:szCs w:val="22"/>
              </w:rPr>
              <w:t>(интегрального показателя финансового состояния)</w:t>
            </w:r>
            <w:bookmarkEnd w:id="382"/>
            <w:r>
              <w:rPr>
                <w:sz w:val="22"/>
                <w:szCs w:val="22"/>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spacing w:before="120" w:after="0"/>
              <w:ind w:left="62"/>
              <w:contextualSpacing/>
              <w:jc w:val="both"/>
              <w:rPr/>
            </w:pPr>
            <w:r>
              <w:rPr>
                <w:rFonts w:eastAsia="Calibri"/>
                <w:sz w:val="22"/>
                <w:szCs w:val="22"/>
              </w:rPr>
              <w:t>- порядок проведения оценки финансового состояния (устойчивости) Участника</w:t>
            </w:r>
            <w:r>
              <w:rPr>
                <w:rStyle w:val="FootnoteReference"/>
                <w:rFonts w:eastAsia="Calibri"/>
                <w:sz w:val="22"/>
                <w:szCs w:val="22"/>
              </w:rPr>
              <w:footnoteReference w:id="13"/>
            </w:r>
            <w:r>
              <w:rPr>
                <w:rFonts w:eastAsia="Calibri"/>
                <w:sz w:val="22"/>
                <w:szCs w:val="22"/>
              </w:rPr>
              <w:t xml:space="preserve"> установлен Приложением №4 к Положению об аккредитации;</w:t>
            </w:r>
          </w:p>
          <w:p>
            <w:pPr>
              <w:pStyle w:val="Normal"/>
              <w:widowControl w:val="false"/>
              <w:spacing w:before="120" w:after="0"/>
              <w:ind w:left="62"/>
              <w:contextualSpacing/>
              <w:jc w:val="both"/>
              <w:rPr/>
            </w:pPr>
            <w:r>
              <w:rPr>
                <w:rFonts w:eastAsia="Calibri"/>
                <w:sz w:val="22"/>
                <w:szCs w:val="22"/>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5">
              <w:r>
                <w:rPr>
                  <w:rStyle w:val="11"/>
                  <w:rFonts w:eastAsia="Calibri"/>
                  <w:sz w:val="22"/>
                  <w:szCs w:val="22"/>
                </w:rPr>
                <w:t>https://bo.nalog.ru</w:t>
              </w:r>
            </w:hyperlink>
            <w:r>
              <w:rPr>
                <w:rFonts w:eastAsia="Calibri"/>
                <w:sz w:val="22"/>
                <w:szCs w:val="22"/>
              </w:rPr>
              <w:t xml:space="preserve">) за предыдущий отчетный период (год) </w:t>
            </w:r>
            <w:r>
              <w:rPr>
                <w:sz w:val="22"/>
                <w:szCs w:val="22"/>
              </w:rPr>
              <w:t>по состоянию на дату окончания срока подачи заявок</w:t>
            </w:r>
            <w:r>
              <w:rPr>
                <w:rFonts w:eastAsia="Calibri"/>
                <w:sz w:val="22"/>
                <w:szCs w:val="22"/>
              </w:rPr>
              <w:t>.</w:t>
            </w:r>
          </w:p>
          <w:p>
            <w:pPr>
              <w:pStyle w:val="Normal"/>
              <w:widowControl w:val="false"/>
              <w:spacing w:before="120" w:after="0"/>
              <w:contextualSpacing/>
              <w:jc w:val="both"/>
              <w:rPr>
                <w:sz w:val="22"/>
                <w:szCs w:val="22"/>
              </w:rPr>
            </w:pPr>
            <w:r>
              <w:rPr>
                <w:rFonts w:eastAsia="Calibri"/>
                <w:sz w:val="22"/>
                <w:szCs w:val="22"/>
              </w:rPr>
              <w:t xml:space="preserve">Если Участник в соответствии с законодательством РФ не размещает сведения о своей бухгалтерской (финансовой) отчетности </w:t>
            </w:r>
            <w:r>
              <w:rPr>
                <w:sz w:val="22"/>
                <w:szCs w:val="22"/>
              </w:rPr>
              <w:t xml:space="preserve">(по формам ОКУД 0710001, 0710002) </w:t>
            </w:r>
            <w:r>
              <w:rPr>
                <w:rFonts w:eastAsia="Calibri"/>
                <w:sz w:val="22"/>
                <w:szCs w:val="22"/>
              </w:rPr>
              <w:t xml:space="preserve">в упомянутом государственном информационном ресурсе – оценка его финансового состояния производится на основании </w:t>
            </w:r>
            <w:r>
              <w:rPr>
                <w:sz w:val="22"/>
                <w:szCs w:val="22"/>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22"/>
                <w:szCs w:val="22"/>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spacing w:before="120" w:after="0"/>
              <w:contextualSpacing/>
              <w:jc w:val="both"/>
              <w:rPr/>
            </w:pPr>
            <w:r>
              <w:rPr>
                <w:sz w:val="22"/>
                <w:szCs w:val="22"/>
              </w:rPr>
              <w:t>Если Участник в соответствии с законодательством формирует отчетность по </w:t>
            </w:r>
            <w:r>
              <w:rPr>
                <w:rFonts w:eastAsia="Calibri"/>
                <w:sz w:val="22"/>
                <w:szCs w:val="22"/>
              </w:rPr>
              <w:t>формам</w:t>
            </w:r>
            <w:r>
              <w:rPr>
                <w:sz w:val="22"/>
                <w:szCs w:val="22"/>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28"/>
              <w:keepNext w:val="true"/>
              <w:widowControl w:val="false"/>
              <w:spacing w:before="40" w:after="40"/>
              <w:ind w:left="344"/>
              <w:contextualSpacing/>
              <w:jc w:val="both"/>
              <w:rPr/>
            </w:pPr>
            <w:r>
              <w:rPr>
                <w:sz w:val="22"/>
                <w:szCs w:val="22"/>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8"/>
              <w:keepNext w:val="true"/>
              <w:widowControl w:val="false"/>
              <w:spacing w:before="40" w:after="40"/>
              <w:ind w:left="344"/>
              <w:contextualSpacing/>
              <w:jc w:val="both"/>
              <w:rPr/>
            </w:pPr>
            <w:r>
              <w:rPr>
                <w:sz w:val="22"/>
                <w:szCs w:val="22"/>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pacing w:before="120" w:after="120"/>
              <w:contextualSpacing/>
              <w:jc w:val="both"/>
              <w:rPr/>
            </w:pPr>
            <w:r>
              <w:rPr>
                <w:rFonts w:eastAsia="Calibri"/>
                <w:color w:val="000000"/>
                <w:sz w:val="22"/>
                <w:szCs w:val="22"/>
              </w:rPr>
              <w:t>Оценка предпочтительности по частному критерию осуществляется в соответствии со следующей шкалой:</w:t>
            </w:r>
          </w:p>
          <w:tbl>
            <w:tblPr>
              <w:tblW w:w="640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49"/>
              <w:gridCol w:w="5555"/>
            </w:tblGrid>
            <w:tr>
              <w:trPr/>
              <w:tc>
                <w:tcPr>
                  <w:tcW w:w="849" w:type="dxa"/>
                  <w:tcBorders/>
                  <w:shd w:color="auto" w:fill="auto" w:val="clear"/>
                </w:tcPr>
                <w:p>
                  <w:pPr>
                    <w:pStyle w:val="Style28"/>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0</m:t>
                      </m:r>
                    </m:oMath>
                  </m:oMathPara>
                </w:p>
              </w:tc>
              <w:tc>
                <w:tcPr>
                  <w:tcW w:w="5555" w:type="dxa"/>
                  <w:tcBorders/>
                  <w:shd w:color="auto" w:fill="auto" w:val="clear"/>
                </w:tcPr>
                <w:p>
                  <w:pPr>
                    <w:pStyle w:val="Style28"/>
                    <w:keepNext w:val="true"/>
                    <w:widowControl w:val="false"/>
                    <w:tabs>
                      <w:tab w:val="clear" w:pos="708"/>
                      <w:tab w:val="left" w:pos="4364" w:leader="none"/>
                    </w:tabs>
                    <w:spacing w:before="120" w:after="0"/>
                    <w:ind w:left="57" w:right="1304"/>
                    <w:jc w:val="left"/>
                    <w:rPr>
                      <w:sz w:val="22"/>
                      <w:szCs w:val="22"/>
                    </w:rPr>
                  </w:pPr>
                  <w:r>
                    <w:rPr>
                      <w:rFonts w:eastAsia="Calibri"/>
                      <w:sz w:val="22"/>
                      <w:szCs w:val="22"/>
                      <w:lang w:eastAsia="en-US"/>
                    </w:rPr>
                    <w:t>результат оценки финансового состояния (устойчивости): менее 0,45 баллов – Кризисное финансовое состояние</w:t>
                  </w:r>
                </w:p>
                <w:p>
                  <w:pPr>
                    <w:pStyle w:val="Style28"/>
                    <w:keepNext w:val="true"/>
                    <w:widowControl w:val="false"/>
                    <w:jc w:val="left"/>
                    <w:rPr>
                      <w:sz w:val="22"/>
                      <w:szCs w:val="22"/>
                    </w:rPr>
                  </w:pPr>
                  <w:r>
                    <w:rPr>
                      <w:rFonts w:eastAsia="Calibri"/>
                      <w:sz w:val="22"/>
                      <w:szCs w:val="22"/>
                      <w:lang w:eastAsia="en-US"/>
                    </w:rPr>
                    <w:t>или</w:t>
                  </w:r>
                </w:p>
                <w:p>
                  <w:pPr>
                    <w:pStyle w:val="Style28"/>
                    <w:keepNext w:val="true"/>
                    <w:widowControl w:val="false"/>
                    <w:ind w:left="57" w:right="1247"/>
                    <w:jc w:val="left"/>
                    <w:rPr>
                      <w:sz w:val="22"/>
                      <w:szCs w:val="22"/>
                    </w:rPr>
                  </w:pPr>
                  <w:r>
                    <w:rPr>
                      <w:rFonts w:eastAsia="Calibri"/>
                      <w:sz w:val="22"/>
                      <w:szCs w:val="22"/>
                      <w:lang w:eastAsia="en-US"/>
                    </w:rPr>
                    <w:t>в случае отсутствия исходных данных для оценки финансового состояния Участника, в том числе если он является:</w:t>
                  </w:r>
                </w:p>
                <w:p>
                  <w:pPr>
                    <w:pStyle w:val="Style28"/>
                    <w:keepNext w:val="true"/>
                    <w:widowControl w:val="false"/>
                    <w:numPr>
                      <w:ilvl w:val="0"/>
                      <w:numId w:val="0"/>
                    </w:numPr>
                    <w:suppressAutoHyphens w:val="true"/>
                    <w:bidi w:val="0"/>
                    <w:spacing w:before="120" w:after="0"/>
                    <w:ind w:hanging="0" w:left="170" w:right="1247"/>
                    <w:jc w:val="left"/>
                    <w:rPr>
                      <w:sz w:val="22"/>
                      <w:szCs w:val="22"/>
                    </w:rPr>
                  </w:pPr>
                  <w:r>
                    <w:rPr>
                      <w:rFonts w:eastAsia="Calibri"/>
                      <w:sz w:val="22"/>
                      <w:szCs w:val="22"/>
                      <w:lang w:eastAsia="en-US"/>
                    </w:rPr>
                    <w:t>- 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8"/>
                    <w:widowControl w:val="false"/>
                    <w:numPr>
                      <w:ilvl w:val="0"/>
                      <w:numId w:val="0"/>
                    </w:numPr>
                    <w:suppressAutoHyphens w:val="true"/>
                    <w:bidi w:val="0"/>
                    <w:spacing w:before="120" w:after="0"/>
                    <w:ind w:hanging="0" w:left="170" w:right="1191"/>
                    <w:jc w:val="left"/>
                    <w:rPr>
                      <w:sz w:val="22"/>
                      <w:szCs w:val="22"/>
                    </w:rPr>
                  </w:pPr>
                  <w:r>
                    <w:rPr>
                      <w:rFonts w:eastAsia="Calibri"/>
                      <w:sz w:val="22"/>
                      <w:szCs w:val="22"/>
                      <w:lang w:eastAsia="en-US"/>
                    </w:rPr>
                    <w:t>- 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849" w:type="dxa"/>
                  <w:tcBorders/>
                  <w:shd w:color="auto" w:fill="auto" w:val="clear"/>
                </w:tcPr>
                <w:p>
                  <w:pPr>
                    <w:pStyle w:val="Style28"/>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3</m:t>
                      </m:r>
                    </m:oMath>
                  </m:oMathPara>
                </w:p>
              </w:tc>
              <w:tc>
                <w:tcPr>
                  <w:tcW w:w="5555" w:type="dxa"/>
                  <w:tcBorders/>
                  <w:shd w:color="auto" w:fill="auto" w:val="clear"/>
                </w:tcPr>
                <w:p>
                  <w:pPr>
                    <w:pStyle w:val="Style28"/>
                    <w:widowControl w:val="false"/>
                    <w:spacing w:before="120" w:after="0"/>
                    <w:ind w:left="57" w:right="1134"/>
                    <w:jc w:val="left"/>
                    <w:rPr>
                      <w:sz w:val="22"/>
                      <w:szCs w:val="22"/>
                    </w:rPr>
                  </w:pPr>
                  <w:r>
                    <w:rPr>
                      <w:rFonts w:eastAsia="Calibri"/>
                      <w:sz w:val="22"/>
                      <w:szCs w:val="22"/>
                      <w:lang w:eastAsia="en-US"/>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849" w:type="dxa"/>
                  <w:tcBorders/>
                  <w:shd w:color="auto" w:fill="auto" w:val="clear"/>
                </w:tcPr>
                <w:p>
                  <w:pPr>
                    <w:pStyle w:val="Style28"/>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5</m:t>
                      </m:r>
                    </m:oMath>
                  </m:oMathPara>
                </w:p>
              </w:tc>
              <w:tc>
                <w:tcPr>
                  <w:tcW w:w="5555" w:type="dxa"/>
                  <w:tcBorders/>
                  <w:shd w:color="auto" w:fill="auto" w:val="clear"/>
                </w:tcPr>
                <w:p>
                  <w:pPr>
                    <w:pStyle w:val="Style28"/>
                    <w:widowControl w:val="false"/>
                    <w:spacing w:before="120" w:after="0"/>
                    <w:ind w:left="57" w:right="1077"/>
                    <w:jc w:val="left"/>
                    <w:rPr>
                      <w:sz w:val="22"/>
                      <w:szCs w:val="22"/>
                    </w:rPr>
                  </w:pPr>
                  <w:r>
                    <w:rPr>
                      <w:rFonts w:eastAsia="Calibri"/>
                      <w:sz w:val="22"/>
                      <w:szCs w:val="22"/>
                      <w:lang w:eastAsia="en-US"/>
                    </w:rPr>
                    <w:t>результат оценки финансового состояния (устойчивости): более 0,90 баллов – Удовлетворительное финансовое состояние,</w:t>
                  </w:r>
                </w:p>
              </w:tc>
            </w:tr>
          </w:tbl>
          <w:p>
            <w:pPr>
              <w:pStyle w:val="Style28"/>
              <w:widowControl w:val="false"/>
              <w:jc w:val="left"/>
              <w:rPr>
                <w:sz w:val="22"/>
                <w:szCs w:val="22"/>
              </w:rPr>
            </w:pPr>
            <w:r>
              <w:rPr>
                <w:rFonts w:eastAsia="Calibri"/>
                <w:sz w:val="22"/>
                <w:szCs w:val="22"/>
                <w:lang w:eastAsia="en-US"/>
              </w:rPr>
              <w:t>где:</w:t>
            </w:r>
          </w:p>
          <w:p>
            <w:pPr>
              <w:pStyle w:val="Style28"/>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sz w:val="22"/>
                <w:szCs w:val="22"/>
                <w:lang w:eastAsia="en-US"/>
              </w:rPr>
              <w:t xml:space="preserve"> – </w:t>
            </w:r>
            <w:r>
              <w:rPr>
                <w:rFonts w:eastAsia="Calibri"/>
                <w:sz w:val="22"/>
                <w:szCs w:val="22"/>
                <w:lang w:eastAsia="en-US"/>
              </w:rPr>
              <w:t>рассчитанная оценка предпочтительности по частному критерию оценки в баллах.</w:t>
            </w:r>
          </w:p>
          <w:p>
            <w:pPr>
              <w:pStyle w:val="Style28"/>
              <w:widowControl w:val="false"/>
              <w:jc w:val="left"/>
              <w:rPr>
                <w:sz w:val="22"/>
                <w:szCs w:val="22"/>
              </w:rPr>
            </w:pPr>
            <w:r>
              <w:rPr>
                <w:rFonts w:eastAsia="Calibri"/>
                <w:sz w:val="22"/>
                <w:szCs w:val="22"/>
                <w:lang w:eastAsia="en-US"/>
              </w:rPr>
              <w:t>Шкала оценок от 0 до 5 баллов.</w:t>
            </w:r>
          </w:p>
          <w:p>
            <w:pPr>
              <w:pStyle w:val="Style28"/>
              <w:widowControl w:val="false"/>
              <w:jc w:val="left"/>
              <w:rPr>
                <w:sz w:val="22"/>
                <w:szCs w:val="22"/>
              </w:rPr>
            </w:pPr>
            <w:r>
              <w:rPr>
                <w:rFonts w:eastAsia="Calibri"/>
                <w:sz w:val="22"/>
                <w:szCs w:val="22"/>
                <w:lang w:eastAsia="en-US"/>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28"/>
              <w:widowControl w:val="false"/>
              <w:jc w:val="both"/>
              <w:rPr/>
            </w:pPr>
            <w:r>
              <w:rPr>
                <w:rFonts w:eastAsia="Calibri"/>
                <w:sz w:val="22"/>
                <w:szCs w:val="22"/>
                <w:lang w:eastAsia="en-US"/>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4) (</w:t>
            </w:r>
            <w:hyperlink w:anchor="Прил04_ФормыЗаявки">
              <w:r>
                <w:rPr>
                  <w:rFonts w:eastAsia="Calibri"/>
                  <w:sz w:val="22"/>
                  <w:szCs w:val="22"/>
                  <w:lang w:eastAsia="en-US"/>
                </w:rPr>
                <w:t>Приложение № 4</w:t>
              </w:r>
            </w:hyperlink>
            <w:r>
              <w:rPr>
                <w:rFonts w:eastAsia="Calibri"/>
                <w:sz w:val="22"/>
                <w:szCs w:val="22"/>
                <w:lang w:eastAsia="en-US"/>
              </w:rPr>
              <w:t>), представленному в заявке такого Коллективного участника на участие в закупке.)</w:t>
            </w:r>
          </w:p>
        </w:tc>
      </w:tr>
      <w:tr>
        <w:trPr/>
        <w:tc>
          <w:tcPr>
            <w:tcW w:w="5821" w:type="dxa"/>
            <w:gridSpan w:val="5"/>
            <w:tcBorders>
              <w:left w:val="single" w:sz="4" w:space="0" w:color="000001"/>
              <w:bottom w:val="single" w:sz="4" w:space="0" w:color="000001"/>
            </w:tcBorders>
            <w:shd w:color="auto" w:fill="auto" w:val="clear"/>
          </w:tcPr>
          <w:p>
            <w:pPr>
              <w:pStyle w:val="Style28"/>
              <w:widowControl w:val="false"/>
              <w:spacing w:before="120" w:after="0"/>
              <w:jc w:val="left"/>
              <w:rPr>
                <w:sz w:val="22"/>
                <w:szCs w:val="22"/>
              </w:rPr>
            </w:pPr>
            <w:r>
              <w:rPr>
                <w:rFonts w:eastAsia="Calibri"/>
                <w:sz w:val="22"/>
                <w:szCs w:val="22"/>
                <w:lang w:eastAsia="en-US"/>
              </w:rPr>
              <w:t>Итоговая оценка предпочтительности заявки:</w:t>
            </w:r>
          </w:p>
        </w:tc>
        <w:tc>
          <w:tcPr>
            <w:tcW w:w="9314" w:type="dxa"/>
            <w:gridSpan w:val="4"/>
            <w:tcBorders>
              <w:left w:val="single" w:sz="4" w:space="0" w:color="000001"/>
              <w:bottom w:val="single" w:sz="4" w:space="0" w:color="000001"/>
              <w:right w:val="single" w:sz="4" w:space="0" w:color="000001"/>
            </w:tcBorders>
            <w:shd w:color="auto" w:fill="auto" w:val="clear"/>
          </w:tcPr>
          <w:p>
            <w:pPr>
              <w:pStyle w:val="Style28"/>
              <w:widowControl w:val="false"/>
              <w:spacing w:before="120" w:after="0"/>
              <w:jc w:val="left"/>
              <w:rPr>
                <w:sz w:val="22"/>
                <w:szCs w:val="22"/>
              </w:rPr>
            </w:pPr>
            <w:r>
              <w:rPr>
                <w:rFonts w:eastAsia="Calibri"/>
                <w:sz w:val="22"/>
                <w:szCs w:val="22"/>
                <w:lang w:eastAsia="en-US"/>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sz w:val="22"/>
                <w:szCs w:val="22"/>
                <w:lang w:eastAsia="en-US"/>
              </w:rPr>
              <w:t>-ой заявки:</w:t>
            </w:r>
          </w:p>
          <w:p>
            <w:pPr>
              <w:pStyle w:val="Style28"/>
              <w:widowControl w:val="false"/>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r>
                  <w:rPr>
                    <w:rFonts w:ascii="Cambria Math" w:hAnsi="Cambria Math"/>
                  </w:rPr>
                  <m:t xml:space="preserve">∑</m:t>
                </m:r>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уровеньk</m:t>
                        </m:r>
                      </m:sub>
                    </m:sSub>
                  </m:e>
                </m:d>
                <m:r>
                  <w:rPr>
                    <w:rFonts w:ascii="Cambria Math" w:hAnsi="Cambria Math"/>
                  </w:rPr>
                  <m:t xml:space="preserve">,</m:t>
                </m:r>
              </m:oMath>
            </m:oMathPara>
          </w:p>
          <w:p>
            <w:pPr>
              <w:pStyle w:val="Style28"/>
              <w:widowControl w:val="false"/>
              <w:jc w:val="left"/>
              <w:rPr>
                <w:sz w:val="22"/>
                <w:szCs w:val="22"/>
              </w:rPr>
            </w:pPr>
            <w:r>
              <w:rPr>
                <w:rFonts w:eastAsia="Calibri"/>
                <w:sz w:val="22"/>
                <w:szCs w:val="22"/>
                <w:lang w:eastAsia="en-US"/>
              </w:rPr>
              <w:t>где:</w:t>
            </w:r>
          </w:p>
          <w:p>
            <w:pPr>
              <w:pStyle w:val="Style28"/>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sz w:val="22"/>
                <w:szCs w:val="22"/>
                <w:lang w:eastAsia="en-US"/>
              </w:rPr>
              <w:t xml:space="preserve"> – </w:t>
            </w:r>
            <w:r>
              <w:rPr>
                <w:rFonts w:eastAsia="Calibri"/>
                <w:sz w:val="22"/>
                <w:szCs w:val="22"/>
                <w:lang w:eastAsia="en-US"/>
              </w:rPr>
              <w:t>рассчитанная итоговая оценка предпочтительности в баллах;</w:t>
            </w:r>
          </w:p>
          <w:p>
            <w:pPr>
              <w:pStyle w:val="Style28"/>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уровеньk</m:t>
                  </m:r>
                </m:sub>
              </m:sSub>
            </m:oMath>
            <w:r>
              <w:rPr>
                <w:rFonts w:eastAsia="Calibri"/>
                <w:sz w:val="22"/>
                <w:szCs w:val="22"/>
                <w:lang w:eastAsia="en-US"/>
              </w:rPr>
              <w:t xml:space="preserve"> – </w:t>
            </w:r>
            <w:r>
              <w:rPr>
                <w:rFonts w:eastAsia="Calibri"/>
                <w:sz w:val="22"/>
                <w:szCs w:val="22"/>
                <w:lang w:eastAsia="en-US"/>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sz w:val="22"/>
                <w:szCs w:val="22"/>
                <w:lang w:eastAsia="en-US"/>
              </w:rPr>
              <w:t>-тому критерию оценки первого уровня в баллах;</w:t>
            </w:r>
          </w:p>
          <w:p>
            <w:pPr>
              <w:pStyle w:val="Style28"/>
              <w:widowControl w:val="false"/>
              <w:jc w:val="left"/>
              <w:rPr>
                <w:sz w:val="22"/>
                <w:szCs w:val="22"/>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уровеньk</m:t>
                  </m:r>
                </m:sub>
              </m:sSub>
            </m:oMath>
            <w:r>
              <w:rPr>
                <w:rFonts w:eastAsia="Calibri"/>
                <w:sz w:val="22"/>
                <w:szCs w:val="22"/>
                <w:lang w:eastAsia="en-US"/>
              </w:rPr>
              <w:t xml:space="preserve"> – </w:t>
            </w:r>
            <w:r>
              <w:rPr>
                <w:rFonts w:eastAsia="Calibri"/>
                <w:sz w:val="22"/>
                <w:szCs w:val="22"/>
                <w:lang w:eastAsia="en-US"/>
              </w:rPr>
              <w:t xml:space="preserve">значимость </w:t>
            </w:r>
            <w:r>
              <w:rPr/>
            </w:r>
            <m:oMath xmlns:m="http://schemas.openxmlformats.org/officeDocument/2006/math">
              <m:r>
                <w:rPr>
                  <w:rFonts w:ascii="Cambria Math" w:hAnsi="Cambria Math"/>
                </w:rPr>
                <m:t xml:space="preserve">k</m:t>
              </m:r>
            </m:oMath>
            <w:r>
              <w:rPr>
                <w:rFonts w:eastAsia="Calibri"/>
                <w:sz w:val="22"/>
                <w:szCs w:val="22"/>
                <w:lang w:eastAsia="en-US"/>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sz w:val="22"/>
                <w:szCs w:val="22"/>
                <w:lang w:eastAsia="en-US"/>
              </w:rPr>
              <w:t>-ого критерия оценки первого уровня.</w:t>
            </w:r>
          </w:p>
          <w:p>
            <w:pPr>
              <w:pStyle w:val="Style28"/>
              <w:widowControl w:val="false"/>
              <w:jc w:val="left"/>
              <w:rPr>
                <w:sz w:val="22"/>
                <w:szCs w:val="22"/>
              </w:rPr>
            </w:pPr>
            <w:r>
              <w:rPr>
                <w:rFonts w:eastAsia="Calibri"/>
                <w:i/>
                <w:iCs/>
                <w:sz w:val="22"/>
                <w:szCs w:val="22"/>
                <w:lang w:eastAsia="en-US"/>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4"/>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4"/>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6"/>
          <w:headerReference w:type="first" r:id="rId37"/>
          <w:footerReference w:type="default" r:id="rId38"/>
          <w:footerReference w:type="first" r:id="rId39"/>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4"/>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2"/>
        <w:rPr/>
      </w:pPr>
      <w:bookmarkStart w:id="383" w:name="_Toc228876904"/>
      <w:bookmarkStart w:id="384" w:name="_Ref125360420"/>
      <w:bookmarkStart w:id="385" w:name="Прил09_ОбоснованиеНМЦ"/>
      <w:bookmarkEnd w:id="385"/>
      <w:r>
        <w:rPr/>
        <w:t>Приложение № 9 – Обоснование НМЦ</w:t>
      </w:r>
      <w:bookmarkEnd w:id="383"/>
      <w:bookmarkEnd w:id="384"/>
    </w:p>
    <w:p>
      <w:pPr>
        <w:pStyle w:val="Style23"/>
        <w:rPr/>
      </w:pPr>
      <w:bookmarkStart w:id="386" w:name="_Toc228876905"/>
      <w:r>
        <w:rPr/>
        <w:t>Пояснения к Обоснованию НМЦ</w:t>
      </w:r>
      <w:bookmarkEnd w:id="386"/>
    </w:p>
    <w:p>
      <w:pPr>
        <w:pStyle w:val="Style24"/>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2"/>
        <w:rPr/>
      </w:pPr>
      <w:bookmarkStart w:id="387" w:name="_Toc228876906"/>
      <w:bookmarkStart w:id="388" w:name="Прил10_ФормаЗаявкиНаАккредитацию"/>
      <w:bookmarkEnd w:id="388"/>
      <w:r>
        <w:rPr/>
        <w:t>Приложение № 10 – Форма Заявки на аккредитацию</w:t>
      </w:r>
      <w:bookmarkEnd w:id="387"/>
    </w:p>
    <w:p>
      <w:pPr>
        <w:pStyle w:val="Style23"/>
        <w:rPr/>
      </w:pPr>
      <w:bookmarkStart w:id="389" w:name="_Toc228876907"/>
      <w:r>
        <w:rPr/>
        <w:t>Пояснения к форме Заявки на аккредитацию</w:t>
      </w:r>
      <w:bookmarkEnd w:id="389"/>
    </w:p>
    <w:p>
      <w:pPr>
        <w:pStyle w:val="Style24"/>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4"/>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0"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0"/>
      <w:r>
        <w:rPr/>
        <w:t>.</w:t>
      </w:r>
    </w:p>
    <w:p>
      <w:pPr>
        <w:pStyle w:val="Style28"/>
        <w:jc w:val="center"/>
        <w:rPr/>
      </w:pPr>
      <w:r>
        <w:rPr/>
        <w:object>
          <v:shapetype id="_x0000_tole_rId40" coordsize="21600,21600" o:spt="ole_rId4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0" type="_x0000_tole_rId40" style="width:72pt;height:50.8pt;mso-wrap-distance-right:0pt" filled="f" o:ole="">
            <v:imagedata r:id="rId41" o:title=""/>
          </v:shape>
          <o:OLEObject Type="Embed" ProgID="Excel.Sheet.12" ShapeID="ole_rId40" DrawAspect="Icon" ObjectID="_289634609" r:id="rId40"/>
        </w:object>
      </w:r>
    </w:p>
    <w:p>
      <w:pPr>
        <w:pStyle w:val="Normal"/>
        <w:rPr/>
      </w:pPr>
      <w:r>
        <w:rPr/>
      </w:r>
    </w:p>
    <w:p>
      <w:pPr>
        <w:pStyle w:val="Style22"/>
        <w:rPr/>
      </w:pPr>
      <w:bookmarkStart w:id="391" w:name="_Toc228876908"/>
      <w:bookmarkStart w:id="392" w:name="Прил11_Данные_бухотчетность"/>
      <w:r>
        <w:rPr/>
        <w:t xml:space="preserve">Приложение № 11 </w:t>
      </w:r>
      <w:bookmarkEnd w:id="392"/>
      <w:r>
        <w:rPr/>
        <w:t>– форма Данных бухгалтерской (финансовой) отчетности</w:t>
      </w:r>
      <w:bookmarkEnd w:id="391"/>
    </w:p>
    <w:p>
      <w:pPr>
        <w:pStyle w:val="Style23"/>
        <w:rPr/>
      </w:pPr>
      <w:bookmarkStart w:id="393" w:name="_Toc228876909"/>
      <w:r>
        <w:rPr/>
        <w:t>Пояснения к форме Данных бухгалтерской (финансовой) отчетности</w:t>
      </w:r>
      <w:bookmarkEnd w:id="393"/>
      <w:r>
        <w:rPr/>
        <w:t xml:space="preserve"> </w:t>
      </w:r>
    </w:p>
    <w:p>
      <w:pPr>
        <w:pStyle w:val="Style24"/>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394" w:name="_MON_1821256687"/>
      <w:bookmarkStart w:id="395" w:name="_MON_1821256687"/>
      <w:bookmarkEnd w:id="395"/>
    </w:p>
    <w:p>
      <w:pPr>
        <w:pStyle w:val="Normal"/>
        <w:jc w:val="center"/>
        <w:rPr/>
      </w:pPr>
      <w:bookmarkStart w:id="396" w:name="_Hlk210644436"/>
      <w:bookmarkStart w:id="397" w:name="_MON_1821256687_Копия_1"/>
      <w:bookmarkEnd w:id="397"/>
      <w:r>
        <w:rPr/>
        <w:object>
          <v:shapetype id="_x0000_tole_rId42" coordsize="21600,21600" o:spt="ole_rId4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2" type="_x0000_tole_rId42" style="width:78.65pt;height:50.8pt;mso-wrap-distance-right:0pt" filled="f" o:ole="">
            <v:imagedata r:id="rId43" o:title=""/>
          </v:shape>
          <o:OLEObject Type="Embed" ProgID="Word.Document.12" ShapeID="ole_rId42" DrawAspect="Icon" ObjectID="_542245054" r:id="rId42"/>
        </w:object>
      </w:r>
      <w:bookmarkEnd w:id="396"/>
    </w:p>
    <w:p>
      <w:pPr>
        <w:pStyle w:val="Normal"/>
        <w:jc w:val="center"/>
        <w:rPr/>
      </w:pPr>
      <w:r>
        <w:rPr/>
      </w:r>
    </w:p>
    <w:sectPr>
      <w:headerReference w:type="default" r:id="rId44"/>
      <w:headerReference w:type="first" r:id="rId45"/>
      <w:footerReference w:type="default" r:id="rId46"/>
      <w:footerReference w:type="first" r:id="rId4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Calibri">
    <w:charset w:val="01"/>
    <w:family w:val="roman"/>
    <w:pitch w:val="variable"/>
  </w:font>
  <w:font w:name="Liberation Serif">
    <w:altName w:val="Times New Roman"/>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3178173"/>
    </w:sdtPr>
    <w:sdtContent>
      <w:p>
        <w:pPr>
          <w:pStyle w:val="Footer"/>
          <w:spacing w:before="120" w:after="0"/>
          <w:rPr/>
        </w:pPr>
        <w:r>
          <w:rPr/>
          <w:fldChar w:fldCharType="begin"/>
        </w:r>
        <w:r>
          <w:rPr/>
          <w:instrText xml:space="preserve"> PAGE </w:instrText>
        </w:r>
        <w:r>
          <w:rPr/>
          <w:fldChar w:fldCharType="separate"/>
        </w:r>
        <w:r>
          <w:rPr/>
          <w:t>22</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7591446"/>
    </w:sdtPr>
    <w:sdtContent>
      <w:p>
        <w:pPr>
          <w:pStyle w:val="Footer"/>
          <w:spacing w:before="120" w:after="0"/>
          <w:rPr/>
        </w:pPr>
        <w:r>
          <w:rPr/>
          <w:fldChar w:fldCharType="begin"/>
        </w:r>
        <w:r>
          <w:rPr/>
          <w:instrText xml:space="preserve"> PAGE </w:instrText>
        </w:r>
        <w:r>
          <w:rPr/>
          <w:fldChar w:fldCharType="separate"/>
        </w:r>
        <w:r>
          <w:rPr/>
          <w:t>24</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75471329"/>
    </w:sdtPr>
    <w:sdtContent>
      <w:p>
        <w:pPr>
          <w:pStyle w:val="Footer"/>
          <w:spacing w:before="120" w:after="0"/>
          <w:rPr/>
        </w:pPr>
        <w:r>
          <w:rPr/>
          <w:fldChar w:fldCharType="begin"/>
        </w:r>
        <w:r>
          <w:rPr/>
          <w:instrText xml:space="preserve"> PAGE </w:instrText>
        </w:r>
        <w:r>
          <w:rPr/>
          <w:fldChar w:fldCharType="separate"/>
        </w:r>
        <w:r>
          <w:rPr/>
          <w:t>53</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83813954"/>
    </w:sdtPr>
    <w:sdtContent>
      <w:p>
        <w:pPr>
          <w:pStyle w:val="Footer"/>
          <w:spacing w:before="120" w:after="0"/>
          <w:rPr/>
        </w:pPr>
        <w:r>
          <w:rPr/>
          <w:fldChar w:fldCharType="begin"/>
        </w:r>
        <w:r>
          <w:rPr/>
          <w:instrText xml:space="preserve"> PAGE </w:instrText>
        </w:r>
        <w:r>
          <w:rPr/>
          <w:fldChar w:fldCharType="separate"/>
        </w:r>
        <w:r>
          <w:rPr/>
          <w:t>58</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06977139"/>
    </w:sdtPr>
    <w:sdtContent>
      <w:p>
        <w:pPr>
          <w:pStyle w:val="Footer"/>
          <w:spacing w:before="120" w:after="0"/>
          <w:rPr/>
        </w:pPr>
        <w:r>
          <w:rPr/>
          <w:fldChar w:fldCharType="begin"/>
        </w:r>
        <w:r>
          <w:rPr/>
          <w:instrText xml:space="preserve"> PAGE </w:instrText>
        </w:r>
        <w:r>
          <w:rPr/>
          <w:fldChar w:fldCharType="separate"/>
        </w:r>
        <w:r>
          <w:rPr/>
          <w:t>64</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76795662"/>
    </w:sdtPr>
    <w:sdtContent>
      <w:p>
        <w:pPr>
          <w:pStyle w:val="Footer"/>
          <w:spacing w:before="120" w:after="0"/>
          <w:rPr/>
        </w:pPr>
        <w:r>
          <w:rPr/>
          <w:fldChar w:fldCharType="begin"/>
        </w:r>
        <w:r>
          <w:rPr/>
          <w:instrText xml:space="preserve"> PAGE </w:instrText>
        </w:r>
        <w:r>
          <w:rPr/>
          <w:fldChar w:fldCharType="separate"/>
        </w:r>
        <w:r>
          <w:rPr/>
          <w:t>72</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29833732"/>
    </w:sdtPr>
    <w:sdtContent>
      <w:p>
        <w:pPr>
          <w:pStyle w:val="Footer"/>
          <w:spacing w:before="120" w:after="0"/>
          <w:rPr/>
        </w:pPr>
        <w:r>
          <w:rPr/>
          <w:fldChar w:fldCharType="begin"/>
        </w:r>
        <w:r>
          <w:rPr/>
          <w:instrText xml:space="preserve"> PAGE </w:instrText>
        </w:r>
        <w:r>
          <w:rPr/>
          <w:fldChar w:fldCharType="separate"/>
        </w:r>
        <w:r>
          <w:rPr/>
          <w:t>79</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75172732"/>
    </w:sdtPr>
    <w:sdtContent>
      <w:p>
        <w:pPr>
          <w:pStyle w:val="Footer"/>
          <w:spacing w:before="120" w:after="0"/>
          <w:rPr/>
        </w:pPr>
        <w:r>
          <w:rPr/>
          <w:fldChar w:fldCharType="begin"/>
        </w:r>
        <w:r>
          <w:rPr/>
          <w:instrText xml:space="preserve"> PAGE </w:instrText>
        </w:r>
        <w:r>
          <w:rPr/>
          <w:fldChar w:fldCharType="separate"/>
        </w:r>
        <w:r>
          <w:rPr/>
          <w:t>82</w:t>
        </w:r>
        <w:r>
          <w:rPr/>
          <w:fldChar w:fldCharType="end"/>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0"/>
        <w:spacing w:before="80" w:after="0"/>
        <w:ind w:hanging="567" w:left="567"/>
        <w:jc w:val="both"/>
        <w:rPr/>
      </w:pPr>
      <w:r>
        <w:rPr>
          <w:rStyle w:val="Style10"/>
        </w:rPr>
        <w:footnoteRef/>
      </w:r>
      <w:r>
        <w:rPr/>
        <w:tab/>
        <w:t>Определенные в соответствии с Законом 422-ФЗ.</w:t>
      </w:r>
    </w:p>
  </w:footnote>
  <w:footnote w:id="3">
    <w:p>
      <w:pPr>
        <w:pStyle w:val="Style30"/>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30"/>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0"/>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30"/>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0"/>
        <w:spacing w:before="80" w:after="0"/>
        <w:ind w:hanging="567" w:left="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0"/>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0"/>
        <w:spacing w:before="80" w:after="0"/>
        <w:ind w:hanging="567" w:left="567"/>
        <w:jc w:val="both"/>
        <w:rPr/>
      </w:pPr>
      <w:r>
        <w:rPr>
          <w:rStyle w:val="Style10"/>
        </w:rPr>
        <w:footnoteRef/>
      </w:r>
      <w:r>
        <w:rPr/>
        <w:tab/>
        <w:t>https://minfin.gov.ru/ru/perfomance/tax_relations/policy/bankwarranty/</w:t>
      </w:r>
    </w:p>
  </w:footnote>
  <w:footnote w:id="11">
    <w:p>
      <w:pPr>
        <w:pStyle w:val="Style30"/>
        <w:spacing w:before="80" w:after="0"/>
        <w:ind w:hanging="567" w:left="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0"/>
        <w:spacing w:before="80" w:after="0"/>
        <w:ind w:hanging="567" w:left="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FootnoteText"/>
        <w:widowControl w:val="false"/>
        <w:rPr/>
      </w:pPr>
      <w:r>
        <w:rPr>
          <w:rStyle w:val="Style10"/>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2"/>
      <w:numFmt w:val="decimal"/>
      <w:lvlText w:val="%1."/>
      <w:lvlJc w:val="left"/>
      <w:pPr>
        <w:tabs>
          <w:tab w:val="num" w:pos="1134"/>
        </w:tabs>
        <w:ind w:left="1134" w:hanging="1134"/>
      </w:pPr>
      <w:rPr/>
    </w:lvl>
    <w:lvl w:ilvl="1">
      <w:start w:val="1"/>
      <w:pStyle w:val="Style23"/>
      <w:numFmt w:val="decimal"/>
      <w:lvlText w:val="%1.%2"/>
      <w:lvlJc w:val="left"/>
      <w:pPr>
        <w:tabs>
          <w:tab w:val="num" w:pos="1134"/>
        </w:tabs>
        <w:ind w:left="1134" w:hanging="1134"/>
      </w:pPr>
      <w:rPr/>
    </w:lvl>
    <w:lvl w:ilvl="2">
      <w:start w:val="1"/>
      <w:pStyle w:val="Style24"/>
      <w:numFmt w:val="decimal"/>
      <w:lvlText w:val="%1.%2.%3"/>
      <w:lvlJc w:val="left"/>
      <w:pPr>
        <w:tabs>
          <w:tab w:val="num" w:pos="1134"/>
        </w:tabs>
        <w:ind w:left="1134" w:hanging="1134"/>
      </w:pPr>
      <w:rPr/>
    </w:lvl>
    <w:lvl w:ilvl="3">
      <w:start w:val="1"/>
      <w:pStyle w:val="Style25"/>
      <w:numFmt w:val="russianLower"/>
      <w:lvlText w:val="%4)"/>
      <w:lvlJc w:val="left"/>
      <w:pPr>
        <w:tabs>
          <w:tab w:val="num" w:pos="1701"/>
        </w:tabs>
        <w:ind w:left="1701" w:hanging="567"/>
      </w:pPr>
      <w:rPr/>
    </w:lvl>
    <w:lvl w:ilvl="4">
      <w:start w:val="1"/>
      <w:pStyle w:val="Style26"/>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03"/>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hanging="1134" w:left="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2"/>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1a4817"/>
    <w:rPr>
      <w:rFonts w:ascii="Segoe UI" w:hAnsi="Segoe UI" w:cs="Segoe UI"/>
      <w:sz w:val="18"/>
      <w:szCs w:val="18"/>
    </w:rPr>
  </w:style>
  <w:style w:type="character" w:styleId="Style16" w:customStyle="1">
    <w:name w:val="РГ_ЕПоЗ_а) Знак"/>
    <w:basedOn w:val="DefaultParagraphFont"/>
    <w:link w:val="Style35"/>
    <w:qFormat/>
    <w:rsid w:val="00661d24"/>
    <w:rPr>
      <w:rFonts w:eastAsia="Calibri" w:cs="Times New Roman"/>
      <w:sz w:val="28"/>
      <w:szCs w:val="28"/>
    </w:rPr>
  </w:style>
  <w:style w:type="character" w:styleId="-" w:customStyle="1">
    <w:name w:val="РГ_ЕПоЗ_- Знак"/>
    <w:basedOn w:val="DefaultParagraphFont"/>
    <w:link w:val="-1"/>
    <w:qFormat/>
    <w:rsid w:val="00661d24"/>
    <w:rPr>
      <w:rFonts w:eastAsia="Times New Roman" w:cs="Times New Roman"/>
      <w:sz w:val="28"/>
      <w:szCs w:val="20"/>
      <w:lang w:eastAsia="ru-RU"/>
    </w:rPr>
  </w:style>
  <w:style w:type="character" w:styleId="Style17">
    <w:name w:val="Ссылка указателя"/>
    <w:qFormat/>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Style19">
    <w:name w:val="комментарий"/>
    <w:qFormat/>
    <w:rPr>
      <w:b/>
      <w:i/>
      <w:shd w:fill="FFFF99" w:val="clear"/>
    </w:rPr>
  </w:style>
  <w:style w:type="character" w:styleId="11">
    <w:name w:val="Гиперссылка1"/>
    <w:qFormat/>
    <w:rPr>
      <w:color w:val="000080"/>
      <w:u w:val="single"/>
    </w:rPr>
  </w:style>
  <w:style w:type="paragraph" w:styleId="Style2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Style22" w:customStyle="1">
    <w:name w:val="[РГ] Раздел"/>
    <w:basedOn w:val="Normal"/>
    <w:next w:val="Style23"/>
    <w:qFormat/>
    <w:rsid w:val="00c95e18"/>
    <w:pPr>
      <w:keepNext w:val="true"/>
      <w:pageBreakBefore/>
      <w:numPr>
        <w:ilvl w:val="0"/>
        <w:numId w:val="1"/>
      </w:numPr>
      <w:spacing w:before="0" w:after="360"/>
      <w:jc w:val="both"/>
      <w:outlineLvl w:val="0"/>
    </w:pPr>
    <w:rPr>
      <w:b/>
      <w:bCs/>
      <w:caps/>
    </w:rPr>
  </w:style>
  <w:style w:type="paragraph" w:styleId="Style23" w:customStyle="1">
    <w:name w:val="[РГ] Подраздел"/>
    <w:basedOn w:val="Normal"/>
    <w:next w:val="Style24"/>
    <w:qFormat/>
    <w:rsid w:val="00891546"/>
    <w:pPr>
      <w:keepNext w:val="true"/>
      <w:numPr>
        <w:ilvl w:val="1"/>
        <w:numId w:val="1"/>
      </w:numPr>
      <w:spacing w:before="360" w:after="0"/>
      <w:jc w:val="both"/>
      <w:outlineLvl w:val="1"/>
    </w:pPr>
    <w:rPr>
      <w:b/>
      <w:bCs/>
    </w:rPr>
  </w:style>
  <w:style w:type="paragraph" w:styleId="Style24" w:customStyle="1">
    <w:name w:val="[РГ] Пункт"/>
    <w:basedOn w:val="Normal"/>
    <w:qFormat/>
    <w:rsid w:val="00891546"/>
    <w:pPr>
      <w:numPr>
        <w:ilvl w:val="2"/>
        <w:numId w:val="1"/>
      </w:numPr>
      <w:jc w:val="both"/>
      <w:outlineLvl w:val="2"/>
    </w:pPr>
    <w:rPr/>
  </w:style>
  <w:style w:type="paragraph" w:styleId="Style25" w:customStyle="1">
    <w:name w:val="[РГ] Подпункт"/>
    <w:basedOn w:val="Normal"/>
    <w:qFormat/>
    <w:rsid w:val="00891546"/>
    <w:pPr>
      <w:numPr>
        <w:ilvl w:val="3"/>
        <w:numId w:val="1"/>
      </w:numPr>
      <w:jc w:val="both"/>
      <w:outlineLvl w:val="3"/>
    </w:pPr>
    <w:rPr/>
  </w:style>
  <w:style w:type="paragraph" w:styleId="Style26" w:customStyle="1">
    <w:name w:val="[РГ] Перечисление"/>
    <w:basedOn w:val="Normal"/>
    <w:qFormat/>
    <w:rsid w:val="00891546"/>
    <w:pPr>
      <w:numPr>
        <w:ilvl w:val="4"/>
        <w:numId w:val="1"/>
      </w:numPr>
      <w:jc w:val="both"/>
      <w:outlineLvl w:val="4"/>
    </w:pPr>
    <w:rPr/>
  </w:style>
  <w:style w:type="paragraph" w:styleId="Style27" w:customStyle="1">
    <w:name w:val="[РГ] Заголовок"/>
    <w:basedOn w:val="Normal"/>
    <w:next w:val="Style28"/>
    <w:qFormat/>
    <w:rsid w:val="00f87384"/>
    <w:pPr>
      <w:keepNext w:val="true"/>
      <w:pageBreakBefore/>
      <w:spacing w:before="0" w:after="360"/>
      <w:jc w:val="both"/>
    </w:pPr>
    <w:rPr>
      <w:b/>
      <w:bCs/>
      <w:caps/>
    </w:rPr>
  </w:style>
  <w:style w:type="paragraph" w:styleId="Style28" w:customStyle="1">
    <w:name w:val="[РГ] Текст"/>
    <w:basedOn w:val="Normal"/>
    <w:qFormat/>
    <w:rsid w:val="00891546"/>
    <w:pPr>
      <w:jc w:val="both"/>
    </w:pPr>
    <w:rPr/>
  </w:style>
  <w:style w:type="paragraph" w:styleId="Style29">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0"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1" w:customStyle="1">
    <w:name w:val="[РГ] Альтернатива / Дополнение"/>
    <w:basedOn w:val="Style28"/>
    <w:next w:val="Style28"/>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contextualSpacing/>
    </w:pPr>
    <w:rPr/>
  </w:style>
  <w:style w:type="paragraph" w:styleId="Style32" w:customStyle="1">
    <w:name w:val="Пункт"/>
    <w:basedOn w:val="Normal"/>
    <w:link w:val="2"/>
    <w:qFormat/>
    <w:rsid w:val="00493761"/>
    <w:pPr>
      <w:numPr>
        <w:ilvl w:val="2"/>
        <w:numId w:val="9"/>
      </w:numPr>
      <w:jc w:val="both"/>
    </w:pPr>
    <w:rPr>
      <w:rFonts w:eastAsia="Times New Roman" w:cs="Times New Roman"/>
      <w:szCs w:val="26"/>
      <w:lang w:eastAsia="ru-RU"/>
    </w:rPr>
  </w:style>
  <w:style w:type="paragraph" w:styleId="Style33" w:customStyle="1">
    <w:name w:val="Подпункт"/>
    <w:basedOn w:val="Style32"/>
    <w:qFormat/>
    <w:rsid w:val="00493761"/>
    <w:pPr>
      <w:numPr>
        <w:ilvl w:val="3"/>
      </w:numPr>
      <w:tabs>
        <w:tab w:val="clear" w:pos="708"/>
      </w:tabs>
      <w:ind w:hanging="360" w:left="2880"/>
    </w:pPr>
    <w:rPr/>
  </w:style>
  <w:style w:type="paragraph" w:styleId="Style34" w:customStyle="1">
    <w:name w:val="Подподпункт"/>
    <w:basedOn w:val="Style33"/>
    <w:qFormat/>
    <w:rsid w:val="00493761"/>
    <w:pPr>
      <w:numPr>
        <w:ilvl w:val="4"/>
      </w:numPr>
      <w:ind w:hanging="360" w:left="3600"/>
    </w:pPr>
    <w:rPr/>
  </w:style>
  <w:style w:type="paragraph" w:styleId="BalloonText">
    <w:name w:val="Balloon Text"/>
    <w:basedOn w:val="Normal"/>
    <w:link w:val="Style15"/>
    <w:uiPriority w:val="99"/>
    <w:semiHidden/>
    <w:unhideWhenUsed/>
    <w:qFormat/>
    <w:rsid w:val="001a4817"/>
    <w:pPr>
      <w:spacing w:before="0" w:after="0"/>
    </w:pPr>
    <w:rPr>
      <w:rFonts w:ascii="Segoe UI" w:hAnsi="Segoe UI" w:cs="Segoe UI"/>
      <w:sz w:val="18"/>
      <w:szCs w:val="18"/>
    </w:rPr>
  </w:style>
  <w:style w:type="paragraph" w:styleId="12" w:customStyle="1">
    <w:name w:val="РГ_ЕПоЗ_1."/>
    <w:basedOn w:val="Normal"/>
    <w:qFormat/>
    <w:rsid w:val="00661d24"/>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661d24"/>
    <w:pPr>
      <w:keepNext w:val="true"/>
      <w:numPr>
        <w:ilvl w:val="1"/>
        <w:numId w:val="15"/>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5" w:customStyle="1">
    <w:name w:val="РГ_ЕПоЗ_а)"/>
    <w:basedOn w:val="ListParagraph"/>
    <w:link w:val="Style16"/>
    <w:qFormat/>
    <w:rsid w:val="00661d24"/>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661d24"/>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661d24"/>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661d24"/>
    <w:pPr>
      <w:numPr>
        <w:ilvl w:val="2"/>
        <w:numId w:val="15"/>
      </w:numPr>
      <w:tabs>
        <w:tab w:val="clear" w:pos="708"/>
        <w:tab w:val="left" w:pos="1134" w:leader="none"/>
      </w:tabs>
      <w:jc w:val="both"/>
    </w:pPr>
    <w:rPr>
      <w:rFonts w:eastAsia="Times New Roman" w:cs="Times New Roman"/>
      <w:sz w:val="28"/>
      <w:szCs w:val="28"/>
      <w:lang w:eastAsia="ru-RU"/>
    </w:rPr>
  </w:style>
  <w:style w:type="paragraph" w:styleId="Style36">
    <w:name w:val="Содержимое таблицы"/>
    <w:basedOn w:val="Normal"/>
    <w:qFormat/>
    <w:pPr>
      <w:widowControl w:val="false"/>
      <w:suppressLineNumbers/>
    </w:pPr>
    <w:rPr/>
  </w:style>
  <w:style w:type="paragraph" w:styleId="Style37">
    <w:name w:val="Заголовок таблицы"/>
    <w:basedOn w:val="Style36"/>
    <w:qFormat/>
    <w:pPr>
      <w:suppressLineNumbers/>
      <w:jc w:val="center"/>
    </w:pPr>
    <w:rPr>
      <w:b/>
      <w:bCs/>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22">
    <w:name w:val="УРОВЕНЬ_Абзац_тип2"/>
    <w:qFormat/>
    <w:pPr>
      <w:widowControl/>
      <w:suppressAutoHyphens w:val="true"/>
      <w:bidi w:val="0"/>
      <w:spacing w:lineRule="exact" w:line="360" w:before="0" w:after="0"/>
      <w:ind w:left="720"/>
      <w:jc w:val="both"/>
    </w:pPr>
    <w:rPr>
      <w:rFonts w:ascii="Calibri" w:hAnsi="Calibri" w:eastAsia="Calibri" w:cs="Calibri"/>
      <w:color w:val="00000A"/>
      <w:kern w:val="0"/>
      <w:sz w:val="26"/>
      <w:szCs w:val="28"/>
      <w:lang w:val="ru-RU" w:eastAsia="en-US" w:bidi="ar-SA"/>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ListParagraph"/>
    <w:qFormat/>
    <w:pPr>
      <w:spacing w:lineRule="exact" w:line="360"/>
      <w:jc w:val="both"/>
      <w:outlineLvl w:val="4"/>
    </w:pPr>
    <w:rPr>
      <w:rFonts w:eastAsia="Calibri" w:eastAsiaTheme="minorHAns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nder.lot-online.ru/" TargetMode="External"/><Relationship Id="rId3" Type="http://schemas.openxmlformats.org/officeDocument/2006/relationships/hyperlink" Target="https://tender.lot-online.ru/app/EtpDocList/page" TargetMode="External"/><Relationship Id="rId4" Type="http://schemas.openxmlformats.org/officeDocument/2006/relationships/hyperlink" Target="mailto:zayarnaya-gs@drsk.ru" TargetMode="External"/><Relationship Id="rId5" Type="http://schemas.openxmlformats.org/officeDocument/2006/relationships/hyperlink" Target="mailto:zayarnaya-gs@drsk.ru" TargetMode="External"/><Relationship Id="rId6" Type="http://schemas.openxmlformats.org/officeDocument/2006/relationships/hyperlink" Target="mailto:zayarnaya-gs@drsk.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package" Target="embeddings/oleObject1.docx"/><Relationship Id="rId14" Type="http://schemas.openxmlformats.org/officeDocument/2006/relationships/image" Target="media/image1.wmf"/><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2.wmf"/><Relationship Id="rId25" Type="http://schemas.openxmlformats.org/officeDocument/2006/relationships/package" Target="embeddings/oleObject3.docx"/><Relationship Id="rId26" Type="http://schemas.openxmlformats.org/officeDocument/2006/relationships/image" Target="media/image3.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eader" Target="header10.xml"/><Relationship Id="rId32" Type="http://schemas.openxmlformats.org/officeDocument/2006/relationships/header" Target="header11.xml"/><Relationship Id="rId33" Type="http://schemas.openxmlformats.org/officeDocument/2006/relationships/footer" Target="footer10.xml"/><Relationship Id="rId34" Type="http://schemas.openxmlformats.org/officeDocument/2006/relationships/footer" Target="footer11.xml"/><Relationship Id="rId35" Type="http://schemas.openxmlformats.org/officeDocument/2006/relationships/hyperlink" Target="https://bo.nalog.ru/" TargetMode="External"/><Relationship Id="rId36" Type="http://schemas.openxmlformats.org/officeDocument/2006/relationships/header" Target="header12.xml"/><Relationship Id="rId37" Type="http://schemas.openxmlformats.org/officeDocument/2006/relationships/header" Target="header13.xml"/><Relationship Id="rId38" Type="http://schemas.openxmlformats.org/officeDocument/2006/relationships/footer" Target="footer12.xml"/><Relationship Id="rId39" Type="http://schemas.openxmlformats.org/officeDocument/2006/relationships/footer" Target="footer13.xml"/><Relationship Id="rId40" Type="http://schemas.openxmlformats.org/officeDocument/2006/relationships/package" Target="embeddings/oleObject4.xlsx"/><Relationship Id="rId41" Type="http://schemas.openxmlformats.org/officeDocument/2006/relationships/image" Target="media/image4.wmf"/><Relationship Id="rId42" Type="http://schemas.openxmlformats.org/officeDocument/2006/relationships/package" Target="embeddings/oleObject5.docx"/><Relationship Id="rId43" Type="http://schemas.openxmlformats.org/officeDocument/2006/relationships/image" Target="media/image5.wmf"/><Relationship Id="rId44" Type="http://schemas.openxmlformats.org/officeDocument/2006/relationships/header" Target="header14.xml"/><Relationship Id="rId45" Type="http://schemas.openxmlformats.org/officeDocument/2006/relationships/header" Target="header15.xml"/><Relationship Id="rId46" Type="http://schemas.openxmlformats.org/officeDocument/2006/relationships/footer" Target="footer14.xml"/><Relationship Id="rId47" Type="http://schemas.openxmlformats.org/officeDocument/2006/relationships/footer" Target="footer15.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Relationship Id="rId5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EC1AF-64FD-491F-9134-B438E4BEA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Application>AlterOffice/2026.2.1.0$Linux_X86_64 LibreOffice_project/f008988ffacaa0b2bf57911c2759d08ca79831df</Application>
  <AppVersion>15.0000</AppVersion>
  <Pages>82</Pages>
  <Words>19822</Words>
  <Characters>137244</Characters>
  <CharactersWithSpaces>154815</CharactersWithSpaces>
  <Paragraphs>1122</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zayarnaya_gs</cp:lastModifiedBy>
  <cp:lastPrinted>2026-09-11T08:33:09Z</cp:lastPrinted>
  <dcterms:modified xsi:type="dcterms:W3CDTF">2026-09-14T12:55:27Z</dcterms:modified>
  <cp:revision>177</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