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>
        <w:rPr>
          <w:rStyle w:val="Style8"/>
          <w:rFonts w:eastAsia="Calibri"/>
          <w:sz w:val="26"/>
          <w:szCs w:val="26"/>
          <w:shd w:fill="auto" w:val="clear"/>
        </w:rPr>
        <w:t xml:space="preserve">Поставка строительных смесей, строительных клеев, лакокрасочных материалов, гидроизоляции Нижегородской ГЭС </w:t>
      </w:r>
      <w:r>
        <w:rPr>
          <w:rFonts w:eastAsia="Calibri"/>
          <w:b/>
          <w:i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rStyle w:val="Style14"/>
              <w:vanish w:val="false"/>
            </w:rPr>
            <w:instrText xml:space="preserve"> TOC \o "1-4" \h</w:instrText>
          </w:r>
          <w:r>
            <w:rPr>
              <w:rStyle w:val="Style14"/>
              <w:vanish w:val="false"/>
            </w:rPr>
            <w:fldChar w:fldCharType="separate"/>
          </w:r>
          <w:hyperlink w:anchor="_Toc75446566">
            <w:r>
              <w:rPr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/>
              <w:sz w:val="22"/>
              <w:szCs w:val="22"/>
            </w:rPr>
          </w:pPr>
          <w:hyperlink w:anchor="_Toc75446567">
            <w:r>
              <w:rPr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/>
                <w:sz w:val="22"/>
                <w:szCs w:val="22"/>
              </w:rPr>
              <w:tab/>
            </w:r>
            <w:r>
              <w:rPr>
                <w:rStyle w:val="Style14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/>
              <w:sz w:val="22"/>
              <w:szCs w:val="22"/>
            </w:rPr>
          </w:pPr>
          <w:hyperlink w:anchor="_Toc75446568">
            <w:r>
              <w:rPr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/>
                <w:sz w:val="22"/>
                <w:szCs w:val="22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/>
              <w:sz w:val="22"/>
              <w:szCs w:val="22"/>
            </w:rPr>
          </w:pPr>
          <w:hyperlink w:anchor="_Toc75446569">
            <w:r>
              <w:rPr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/>
                <w:sz w:val="22"/>
                <w:szCs w:val="22"/>
              </w:rPr>
              <w:tab/>
            </w:r>
            <w:r>
              <w:rPr>
                <w:rStyle w:val="Style14"/>
              </w:rPr>
              <w:t xml:space="preserve">Цель использования закупаемой продукции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/>
              <w:sz w:val="22"/>
              <w:szCs w:val="22"/>
            </w:rPr>
          </w:pPr>
          <w:hyperlink w:anchor="_Toc75446570">
            <w:r>
              <w:rPr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/>
                <w:sz w:val="22"/>
                <w:szCs w:val="22"/>
              </w:rPr>
              <w:tab/>
            </w:r>
            <w:r>
              <w:rPr>
                <w:rStyle w:val="Style14"/>
              </w:rPr>
              <w:t xml:space="preserve">Существующее положение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/>
              <w:sz w:val="22"/>
              <w:szCs w:val="22"/>
            </w:rPr>
          </w:pPr>
          <w:hyperlink w:anchor="_Toc75446571">
            <w:r>
              <w:rPr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新細明體" w:cs="Arial" w:ascii="Calibri" w:hAnsi="Calibri"/>
                <w:sz w:val="22"/>
                <w:szCs w:val="22"/>
              </w:rPr>
              <w:tab/>
            </w:r>
            <w:r>
              <w:rPr>
                <w:rStyle w:val="Style14"/>
              </w:rPr>
    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  <w:sz w:val="22"/>
              <w:szCs w:val="22"/>
            </w:rPr>
          </w:pPr>
          <w:hyperlink w:anchor="_Toc75446573">
            <w:r>
              <w:rPr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/>
              <w:sz w:val="22"/>
              <w:szCs w:val="22"/>
            </w:rPr>
          </w:pPr>
          <w:hyperlink w:anchor="_Toc75446574">
            <w:r>
              <w:rPr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/>
              <w:sz w:val="22"/>
              <w:szCs w:val="22"/>
            </w:rPr>
          </w:pPr>
          <w:hyperlink w:anchor="_Toc75446575">
            <w:r>
              <w:rPr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/>
                <w:sz w:val="22"/>
                <w:szCs w:val="22"/>
              </w:rPr>
              <w:tab/>
            </w:r>
            <w:r>
              <w:rPr>
                <w:rStyle w:val="Style14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  <w:sz w:val="22"/>
              <w:szCs w:val="22"/>
            </w:rPr>
          </w:pPr>
          <w:hyperlink w:anchor="_Toc754465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>Таблица 1.1 Перечень и объем закупаемой продукции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  <w:sz w:val="22"/>
              <w:szCs w:val="22"/>
            </w:rPr>
          </w:pPr>
          <w:hyperlink w:anchor="_Toc754465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>Таблица 1.2 Перечень и объем закупаемых сопутствующих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/>
              <w:sz w:val="22"/>
              <w:szCs w:val="22"/>
            </w:rPr>
          </w:pPr>
          <w:hyperlink w:anchor="_Toc75446578">
            <w:r>
              <w:rPr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  <w:sz w:val="22"/>
              <w:szCs w:val="22"/>
            </w:rPr>
          </w:pPr>
          <w:hyperlink w:anchor="_Toc754465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>Таблица 2.1 Требования по срокам поставки продукции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  <w:sz w:val="22"/>
              <w:szCs w:val="22"/>
            </w:rPr>
          </w:pPr>
          <w:hyperlink w:anchor="_Toc754465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>Таблица 2.2 Требования по срокам оказания сопутствующих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/>
              <w:sz w:val="22"/>
              <w:szCs w:val="22"/>
            </w:rPr>
          </w:pPr>
          <w:hyperlink w:anchor="_Toc75446581">
            <w:r>
              <w:rPr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  <w:sz w:val="22"/>
              <w:szCs w:val="22"/>
            </w:rPr>
          </w:pPr>
          <w:hyperlink w:anchor="_Toc7544658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>Таблица 3. Требования к продукции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  <w:sz w:val="22"/>
              <w:szCs w:val="22"/>
            </w:rPr>
          </w:pPr>
          <w:hyperlink w:anchor="_Toc75446583">
            <w:r>
              <w:rPr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/>
              <w:b w:val="false"/>
              <w:bCs w:val="false"/>
              <w:sz w:val="22"/>
              <w:szCs w:val="22"/>
            </w:rPr>
          </w:pPr>
          <w:hyperlink w:anchor="_Toc75446585">
            <w:r>
              <w:rPr>
                <w:rStyle w:val="Style14"/>
                <w:vanish w:val="false"/>
              </w:rPr>
              <w:t>5.</w:t>
            </w:r>
            <w:r>
              <w:rPr>
                <w:rStyle w:val="Style14"/>
                <w:rFonts w:eastAsia="新細明體" w:cs="Arial" w:ascii="Calibri" w:hAnsi="Calibr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hanging="0" w:left="0" w:right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4"/>
        </w:numPr>
        <w:ind w:hanging="357" w:left="357" w:right="0"/>
        <w:jc w:val="center"/>
        <w:rPr>
          <w:caps/>
          <w:lang w:val="ru-RU"/>
        </w:rPr>
      </w:pPr>
      <w:bookmarkStart w:id="0" w:name="_Toc75446566"/>
      <w:bookmarkStart w:id="1" w:name="_Toc51339692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4"/>
        </w:numPr>
        <w:rPr/>
      </w:pPr>
      <w:bookmarkStart w:id="2" w:name="_Toc75446567"/>
      <w:bookmarkStart w:id="3" w:name="_Toc46743505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7998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9"/>
              <w:numPr>
                <w:ilvl w:val="0"/>
                <w:numId w:val="0"/>
              </w:numPr>
              <w:spacing w:before="120" w:after="120"/>
              <w:ind w:hanging="0" w:left="0" w:right="0"/>
              <w:jc w:val="center"/>
              <w:rPr>
                <w:b w:val="false"/>
                <w:bCs/>
                <w:i w:val="false"/>
                <w:i w:val="false"/>
                <w:iCs w:val="false"/>
                <w:shd w:fill="auto" w:val="clear"/>
              </w:rPr>
            </w:pPr>
            <w:r>
              <w:rPr>
                <w:sz w:val="24"/>
                <w:szCs w:val="24"/>
                <w:lang w:val="en-US"/>
              </w:rPr>
              <w:t>Обозначение, сокращение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9"/>
              <w:numPr>
                <w:ilvl w:val="0"/>
                <w:numId w:val="0"/>
              </w:numPr>
              <w:spacing w:before="120" w:after="120"/>
              <w:ind w:hanging="0" w:left="0" w:right="0"/>
              <w:jc w:val="center"/>
              <w:rPr>
                <w:b w:val="false"/>
                <w:bCs/>
                <w:i w:val="false"/>
                <w:i w:val="false"/>
                <w:iCs w:val="false"/>
                <w:shd w:fill="auto" w:val="clear"/>
              </w:rPr>
            </w:pPr>
            <w:r>
              <w:rPr>
                <w:sz w:val="24"/>
                <w:szCs w:val="24"/>
                <w:lang w:val="en-US"/>
              </w:rPr>
              <w:t>Расшифровка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9"/>
              <w:numPr>
                <w:ilvl w:val="0"/>
                <w:numId w:val="0"/>
              </w:numPr>
              <w:spacing w:before="120" w:after="120"/>
              <w:ind w:hanging="0" w:left="0" w:right="0"/>
              <w:rPr>
                <w:b w:val="false"/>
                <w:bCs/>
                <w:i w:val="false"/>
                <w:i w:val="false"/>
                <w:iCs w:val="false"/>
                <w:shd w:fill="auto" w:val="clear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9"/>
              <w:numPr>
                <w:ilvl w:val="0"/>
                <w:numId w:val="0"/>
              </w:numPr>
              <w:spacing w:before="120" w:after="12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Юридическое лицо, в интересах которого оказывается услуга. 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9"/>
              <w:numPr>
                <w:ilvl w:val="0"/>
                <w:numId w:val="0"/>
              </w:numPr>
              <w:spacing w:before="120" w:after="120"/>
              <w:ind w:hanging="0" w:left="0" w:right="0"/>
              <w:rPr>
                <w:bCs/>
                <w:i w:val="false"/>
                <w:i w:val="false"/>
                <w:iCs w:val="false"/>
                <w:shd w:fill="auto" w:val="clear"/>
              </w:rPr>
            </w:pPr>
            <w:r>
              <w:rPr>
                <w:b w:val="false"/>
                <w:bCs w:val="false"/>
                <w:sz w:val="24"/>
                <w:szCs w:val="24"/>
                <w:lang w:val="en-US"/>
              </w:rPr>
              <w:t>ГЭС</w:t>
            </w:r>
          </w:p>
        </w:tc>
        <w:tc>
          <w:tcPr>
            <w:tcW w:w="7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9"/>
              <w:numPr>
                <w:ilvl w:val="0"/>
                <w:numId w:val="0"/>
              </w:numPr>
              <w:spacing w:before="120" w:after="120"/>
              <w:ind w:hanging="0" w:left="0" w:right="0"/>
              <w:rPr>
                <w:b w:val="false"/>
                <w:bCs w:val="false"/>
                <w:sz w:val="24"/>
                <w:szCs w:val="24"/>
                <w:lang w:val="en-US"/>
              </w:rPr>
            </w:pPr>
            <w:r>
              <w:rPr>
                <w:b w:val="false"/>
                <w:bCs w:val="false"/>
                <w:sz w:val="24"/>
                <w:szCs w:val="24"/>
                <w:lang w:val="en-US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9"/>
              <w:numPr>
                <w:ilvl w:val="0"/>
                <w:numId w:val="0"/>
              </w:numPr>
              <w:spacing w:before="120" w:after="120"/>
              <w:ind w:hanging="0" w:left="0" w:right="0"/>
              <w:rPr>
                <w:bCs/>
                <w:i w:val="false"/>
                <w:i w:val="false"/>
                <w:iCs w:val="false"/>
                <w:shd w:fill="auto" w:val="clear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en-US" w:eastAsia="zh-CN" w:bidi="ar-SA"/>
              </w:rPr>
              <w:t>‍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en-US" w:eastAsia="zh-CN" w:bidi="ar-SA"/>
              </w:rPr>
              <w:t>СМР</w:t>
            </w:r>
          </w:p>
        </w:tc>
        <w:tc>
          <w:tcPr>
            <w:tcW w:w="7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9"/>
              <w:numPr>
                <w:ilvl w:val="0"/>
                <w:numId w:val="0"/>
              </w:numPr>
              <w:spacing w:before="120" w:after="120"/>
              <w:ind w:hanging="0" w:left="0" w:right="0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lang w:val="en-US" w:eastAsia="zh-CN" w:bidi="ar-SA"/>
              </w:rPr>
              <w:t>строительно-монтажные работы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9"/>
              <w:numPr>
                <w:ilvl w:val="0"/>
                <w:numId w:val="0"/>
              </w:numPr>
              <w:spacing w:before="120" w:after="120"/>
              <w:ind w:hanging="0" w:left="0" w:right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lang w:eastAsia="zh-CN" w:bidi="ar-SA"/>
              </w:rPr>
            </w:pPr>
            <w:r>
              <w:rPr>
                <w:sz w:val="24"/>
                <w:szCs w:val="24"/>
                <w:lang w:val="en-US"/>
              </w:rPr>
              <w:t>ТТ</w:t>
            </w:r>
          </w:p>
        </w:tc>
        <w:tc>
          <w:tcPr>
            <w:tcW w:w="7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9"/>
              <w:numPr>
                <w:ilvl w:val="0"/>
                <w:numId w:val="0"/>
              </w:numPr>
              <w:spacing w:before="120" w:after="120"/>
              <w:ind w:hanging="0" w:left="0" w:righ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Технические требования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4"/>
        </w:numPr>
        <w:rPr/>
      </w:pPr>
      <w:bookmarkStart w:id="4" w:name="_Toc46743506"/>
      <w:bookmarkStart w:id="5" w:name="_Toc75446568"/>
      <w:r>
        <w:rPr/>
        <w:t>Наименование закупаемой продукции</w:t>
      </w:r>
      <w:bookmarkEnd w:id="4"/>
      <w:bookmarkEnd w:id="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 w:val="false"/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ab/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z w:val="26"/>
          <w:szCs w:val="26"/>
          <w:shd w:fill="auto" w:val="clear"/>
          <w:lang w:eastAsia="x-none"/>
        </w:rPr>
        <w:t xml:space="preserve">Поставка строительных смесей, строительных клеев, лакокрасочных материалов, гидроизоляции Нижегородской ГЭС </w:t>
      </w:r>
      <w:r>
        <w:rPr>
          <w:rFonts w:eastAsia="Calibri"/>
          <w:i/>
          <w:sz w:val="24"/>
          <w:szCs w:val="24"/>
          <w:lang w:eastAsia="x-none"/>
        </w:rPr>
        <w:t>»</w:t>
      </w:r>
      <w:r>
        <w:rPr>
          <w:rFonts w:eastAsia="Calibri"/>
          <w:i/>
          <w:lang w:eastAsia="x-none"/>
        </w:rPr>
        <w:br/>
      </w:r>
    </w:p>
    <w:p>
      <w:pPr>
        <w:pStyle w:val="Heading4"/>
        <w:numPr>
          <w:ilvl w:val="1"/>
          <w:numId w:val="4"/>
        </w:numPr>
        <w:spacing w:before="240" w:after="60"/>
        <w:ind w:hanging="431" w:left="431" w:right="0"/>
        <w:rPr/>
      </w:pPr>
      <w:bookmarkStart w:id="6" w:name="_Toc75446569"/>
      <w:bookmarkStart w:id="7" w:name="_Toc46743507"/>
      <w:r>
        <w:rPr/>
        <w:t xml:space="preserve">Цель </w:t>
      </w:r>
      <w:bookmarkEnd w:id="7"/>
      <w:r>
        <w:rPr>
          <w:lang w:val="ru-RU"/>
        </w:rPr>
        <w:t xml:space="preserve">использования закупаемой продукции </w:t>
      </w:r>
      <w:bookmarkEnd w:id="6"/>
    </w:p>
    <w:p>
      <w:pPr>
        <w:pStyle w:val="Normal"/>
        <w:spacing w:before="120" w:after="120"/>
        <w:ind w:firstLine="567" w:left="0" w:right="-2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Обеспечение  </w:t>
      </w:r>
      <w:r>
        <w:rPr>
          <w:bCs/>
          <w:sz w:val="26"/>
          <w:szCs w:val="26"/>
        </w:rPr>
        <w:t>СМР на</w:t>
      </w:r>
      <w:r>
        <w:rPr>
          <w:bCs/>
          <w:sz w:val="26"/>
          <w:szCs w:val="26"/>
        </w:rPr>
        <w:t xml:space="preserve"> Нижегородской ГЭС</w:t>
      </w:r>
      <w:r>
        <w:rPr>
          <w:sz w:val="26"/>
          <w:szCs w:val="26"/>
        </w:rPr>
        <w:t>.</w:t>
      </w:r>
    </w:p>
    <w:p>
      <w:pPr>
        <w:pStyle w:val="Heading4"/>
        <w:numPr>
          <w:ilvl w:val="1"/>
          <w:numId w:val="4"/>
        </w:numPr>
        <w:rPr/>
      </w:pPr>
      <w:bookmarkStart w:id="8" w:name="_Toc75446570"/>
      <w:bookmarkStart w:id="9" w:name="_Toc46743508"/>
      <w:r>
        <w:rPr/>
        <w:t>Существующее положение</w:t>
      </w:r>
      <w:bookmarkEnd w:id="9"/>
      <w:r>
        <w:rPr>
          <w:lang w:val="ru-RU"/>
        </w:rPr>
        <w:t xml:space="preserve"> </w:t>
      </w:r>
      <w:bookmarkEnd w:id="8"/>
    </w:p>
    <w:p>
      <w:pPr>
        <w:pStyle w:val="Normal"/>
        <w:rPr/>
      </w:pPr>
      <w:r>
        <w:rPr>
          <w:rStyle w:val="Style8"/>
          <w:b w:val="false"/>
          <w:bCs/>
          <w:i w:val="false"/>
          <w:iCs w:val="false"/>
          <w:sz w:val="26"/>
          <w:szCs w:val="26"/>
          <w:shd w:fill="auto" w:val="clear"/>
          <w:lang w:val="ru-RU"/>
        </w:rPr>
        <w:tab/>
        <w:t>Материалы закупаются для передачи подрядной организации (АО «Гидроремонт-ВКК») для выполнения строительно-монтажных работ по договору подряда.</w:t>
      </w:r>
    </w:p>
    <w:p>
      <w:pPr>
        <w:pStyle w:val="Heading4"/>
        <w:numPr>
          <w:ilvl w:val="1"/>
          <w:numId w:val="4"/>
        </w:numPr>
        <w:rPr/>
      </w:pPr>
      <w:bookmarkStart w:id="10" w:name="_Toc75446571"/>
      <w:bookmarkStart w:id="11" w:name="_Hlk49857604"/>
      <w:bookmarkStart w:id="12" w:name="_Toc46743509"/>
      <w:r>
        <w:rPr/>
        <w:t xml:space="preserve">Информация в отношении исполнения договора, </w:t>
      </w:r>
      <w:bookmarkStart w:id="13" w:name="_Hlk46492347"/>
      <w:r>
        <w:rPr/>
        <w:t xml:space="preserve">которая должна быть учтена при подготовке заявки </w:t>
      </w:r>
      <w:bookmarkEnd w:id="13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1"/>
      <w:bookmarkEnd w:id="12"/>
      <w:r>
        <w:rPr>
          <w:lang w:val="ru-RU"/>
        </w:rPr>
        <w:t xml:space="preserve"> </w:t>
      </w:r>
      <w:bookmarkEnd w:id="10"/>
    </w:p>
    <w:p>
      <w:pPr>
        <w:pStyle w:val="Normal"/>
        <w:widowControl/>
        <w:suppressAutoHyphens w:val="true"/>
        <w:bidi w:val="0"/>
        <w:spacing w:before="120" w:after="120"/>
        <w:ind w:firstLine="426" w:left="0" w:right="-2"/>
        <w:jc w:val="both"/>
        <w:rPr>
          <w:rStyle w:val="Style8"/>
        </w:rPr>
      </w:pPr>
      <w:r>
        <w:rPr/>
      </w:r>
    </w:p>
    <w:p>
      <w:pPr>
        <w:pStyle w:val="Normal"/>
        <w:spacing w:before="120" w:after="120"/>
        <w:ind w:firstLine="360" w:left="0" w:right="0"/>
        <w:jc w:val="both"/>
        <w:rPr/>
      </w:pPr>
      <w:r>
        <w:rPr>
          <w:rStyle w:val="Style8"/>
          <w:b w:val="false"/>
          <w:i w:val="false"/>
          <w:iCs w:val="false"/>
          <w:shd w:fill="auto" w:val="clear"/>
          <w:lang w:val="ru-RU"/>
        </w:rPr>
        <w:t>Заказчик выделяет площади для размещения материалов. Поставка материалов осуществляется на место размещение</w:t>
      </w:r>
      <w:r>
        <w:rPr>
          <w:rStyle w:val="Style8"/>
          <w:b w:val="false"/>
          <w:i w:val="false"/>
          <w:iCs w:val="false"/>
          <w:shd w:fill="auto" w:val="clear"/>
          <w:lang w:val="ru-RU"/>
        </w:rPr>
        <w:t>.</w:t>
      </w:r>
    </w:p>
    <w:p>
      <w:pPr>
        <w:pStyle w:val="Heading4"/>
        <w:numPr>
          <w:ilvl w:val="0"/>
          <w:numId w:val="0"/>
        </w:numPr>
        <w:ind w:hanging="0" w:left="432" w:right="0"/>
        <w:rPr>
          <w:rStyle w:val="Style8"/>
          <w:b w:val="false"/>
          <w:bCs/>
          <w:sz w:val="24"/>
          <w:szCs w:val="24"/>
          <w:lang w:val="ru-RU"/>
        </w:rPr>
      </w:pPr>
      <w:r>
        <w:rPr>
          <w:b w:val="false"/>
          <w:bCs/>
          <w:sz w:val="24"/>
          <w:szCs w:val="24"/>
          <w:lang w:val="ru-RU"/>
        </w:rPr>
      </w:r>
    </w:p>
    <w:p>
      <w:pPr>
        <w:pStyle w:val="Heading1"/>
        <w:keepLines/>
        <w:numPr>
          <w:ilvl w:val="0"/>
          <w:numId w:val="4"/>
        </w:numPr>
        <w:ind w:hanging="357" w:left="357" w:right="0"/>
        <w:jc w:val="center"/>
        <w:rPr>
          <w:iCs/>
          <w:caps/>
          <w:lang w:val="ru-RU"/>
        </w:rPr>
      </w:pPr>
      <w:bookmarkStart w:id="14" w:name="_Toc75446573"/>
      <w:bookmarkStart w:id="15" w:name="_Toc51339693"/>
      <w:r>
        <w:rPr>
          <w:iCs/>
        </w:rPr>
        <w:t>Требования к продукции</w:t>
      </w:r>
      <w:bookmarkEnd w:id="14"/>
      <w:bookmarkEnd w:id="15"/>
    </w:p>
    <w:p>
      <w:pPr>
        <w:pStyle w:val="Heading4"/>
        <w:numPr>
          <w:ilvl w:val="1"/>
          <w:numId w:val="4"/>
        </w:numPr>
        <w:rPr/>
      </w:pPr>
      <w:bookmarkStart w:id="16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6"/>
    </w:p>
    <w:p>
      <w:pPr>
        <w:pStyle w:val="Heading3"/>
        <w:numPr>
          <w:ilvl w:val="2"/>
          <w:numId w:val="4"/>
        </w:numPr>
        <w:rPr>
          <w:lang w:val="ru-RU"/>
        </w:rPr>
      </w:pPr>
      <w:bookmarkStart w:id="17" w:name="_Toc75446575"/>
      <w:r>
        <w:rPr>
          <w:lang w:val="ru-RU"/>
        </w:rPr>
        <w:t>Перечень и объем закупаемой продукции</w:t>
      </w:r>
      <w:bookmarkEnd w:id="17"/>
    </w:p>
    <w:p>
      <w:pPr>
        <w:pStyle w:val="Heading1"/>
        <w:keepLines/>
        <w:numPr>
          <w:ilvl w:val="0"/>
          <w:numId w:val="0"/>
        </w:numPr>
        <w:spacing w:before="240" w:after="60"/>
        <w:ind w:hanging="0" w:left="0" w:right="0"/>
        <w:rPr>
          <w:sz w:val="24"/>
          <w:szCs w:val="24"/>
          <w:lang w:val="ru-RU"/>
        </w:rPr>
      </w:pPr>
      <w:bookmarkStart w:id="18" w:name="_Toc75446576"/>
      <w:bookmarkStart w:id="19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9"/>
      <w:r>
        <w:rPr>
          <w:sz w:val="24"/>
          <w:szCs w:val="24"/>
          <w:lang w:val="ru-RU"/>
        </w:rPr>
        <w:t>и объем закупаемой продукции</w:t>
      </w:r>
      <w:bookmarkEnd w:id="18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5381"/>
        <w:gridCol w:w="2169"/>
        <w:gridCol w:w="1416"/>
      </w:tblGrid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hanging="0" w:left="360"/>
              <w:rPr/>
            </w:pPr>
            <w:r>
              <w:rPr/>
              <w:t>1.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/>
                <w:i/>
                <w:iCs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/>
                <w:iCs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Поставка строительных смесей, строительных клеев, лакокрасочных материалов, гидроизоляции Нижегородской ГЭС </w:t>
            </w:r>
          </w:p>
          <w:p>
            <w:pPr>
              <w:pStyle w:val="Normal"/>
              <w:widowControl w:val="false"/>
              <w:suppressAutoHyphens w:val="true"/>
              <w:rPr>
                <w:rStyle w:val="Style8"/>
              </w:rPr>
            </w:pPr>
            <w:r>
              <w:rPr/>
            </w:r>
          </w:p>
        </w:tc>
        <w:tc>
          <w:tcPr>
            <w:tcW w:w="3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соответствии со спецификацией (Приложение №1 к Техническим требованиям)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 w:left="0" w:right="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 w:left="0" w:right="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 w:left="0" w:right="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4"/>
        </w:numPr>
        <w:rPr>
          <w:lang w:val="ru-RU"/>
        </w:rPr>
      </w:pPr>
      <w:bookmarkStart w:id="20" w:name="_Toc75446578"/>
      <w:bookmarkStart w:id="21" w:name="_Toc51339696"/>
      <w:r>
        <w:rPr>
          <w:lang w:val="ru-RU"/>
        </w:rPr>
        <w:t xml:space="preserve">Требования </w:t>
      </w:r>
      <w:bookmarkEnd w:id="21"/>
      <w:r>
        <w:rPr>
          <w:lang w:val="ru-RU"/>
        </w:rPr>
        <w:t>к срокам поставки продукции и оказания сопутствующих услуг</w:t>
      </w:r>
      <w:bookmarkEnd w:id="20"/>
    </w:p>
    <w:p>
      <w:pPr>
        <w:pStyle w:val="Heading1"/>
        <w:keepLines/>
        <w:numPr>
          <w:ilvl w:val="0"/>
          <w:numId w:val="0"/>
        </w:numPr>
        <w:spacing w:before="240" w:after="60"/>
        <w:ind w:hanging="0" w:left="0" w:right="0"/>
        <w:rPr>
          <w:sz w:val="24"/>
          <w:szCs w:val="24"/>
          <w:lang w:val="ru-RU"/>
        </w:rPr>
      </w:pPr>
      <w:bookmarkStart w:id="22" w:name="_Toc75446579"/>
      <w:bookmarkStart w:id="23" w:name="_Toc50125127"/>
      <w:bookmarkStart w:id="24" w:name="_Toc51339697"/>
      <w:bookmarkStart w:id="25" w:name="_Toc50125126_Копия_1"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6" w:name="_Hlk50465284"/>
      <w:r>
        <w:rPr>
          <w:sz w:val="24"/>
          <w:szCs w:val="24"/>
        </w:rPr>
        <w:t xml:space="preserve">Требования по срокам </w:t>
      </w:r>
      <w:bookmarkEnd w:id="23"/>
      <w:bookmarkEnd w:id="24"/>
      <w:bookmarkEnd w:id="26"/>
      <w:r>
        <w:rPr>
          <w:sz w:val="24"/>
          <w:szCs w:val="24"/>
          <w:lang w:val="ru-RU"/>
        </w:rPr>
        <w:t>поставки продукции</w:t>
      </w:r>
      <w:bookmarkEnd w:id="22"/>
      <w:r>
        <w:rPr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4770"/>
        <w:gridCol w:w="2205"/>
        <w:gridCol w:w="2246"/>
      </w:tblGrid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rPr/>
            </w:pPr>
            <w:r>
              <w:rPr/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>
                <w:rStyle w:val="Style8"/>
                <w:b w:val="false"/>
                <w:bCs/>
                <w:i/>
                <w:iCs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shd w:fill="auto" w:val="clear"/>
                <w:em w:val="none"/>
                <w:lang w:val="en-US"/>
              </w:rPr>
              <w:t xml:space="preserve">Поставка строительных смесей, строительных клеев, лакокрасочных материалов, гидроизоляции Нижегородской ГЭС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 xml:space="preserve">Не позднее </w:t>
            </w:r>
            <w:r>
              <w:rPr>
                <w:i/>
                <w:iCs/>
                <w:sz w:val="24"/>
                <w:szCs w:val="24"/>
                <w:lang w:val="en-US"/>
              </w:rPr>
              <w:t>15</w:t>
            </w:r>
            <w:r>
              <w:rPr>
                <w:i/>
                <w:iCs/>
                <w:sz w:val="24"/>
                <w:szCs w:val="24"/>
                <w:lang w:val="en-US"/>
              </w:rPr>
              <w:t>.</w:t>
            </w:r>
            <w:r>
              <w:rPr>
                <w:i/>
                <w:iCs/>
                <w:sz w:val="24"/>
                <w:szCs w:val="24"/>
                <w:lang w:val="en-US"/>
              </w:rPr>
              <w:t>10</w:t>
            </w:r>
            <w:r>
              <w:rPr>
                <w:i/>
                <w:iCs/>
                <w:sz w:val="24"/>
                <w:szCs w:val="24"/>
                <w:lang w:val="en-US"/>
              </w:rPr>
              <w:t>.2026</w:t>
            </w:r>
          </w:p>
        </w:tc>
      </w:tr>
    </w:tbl>
    <w:p>
      <w:pPr>
        <w:pStyle w:val="Heading1"/>
        <w:numPr>
          <w:ilvl w:val="0"/>
          <w:numId w:val="0"/>
        </w:numPr>
        <w:ind w:hanging="0" w:left="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hanging="0" w:left="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hanging="0" w:left="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hanging="0" w:left="0" w:right="0"/>
        <w:rPr>
          <w:sz w:val="24"/>
          <w:szCs w:val="24"/>
        </w:rPr>
      </w:pPr>
      <w:r>
        <w:rPr>
          <w:sz w:val="24"/>
          <w:szCs w:val="24"/>
        </w:rPr>
      </w:r>
      <w:bookmarkStart w:id="27" w:name="_Toc46743510_Копия_1"/>
      <w:bookmarkStart w:id="28" w:name="_Toc46743510_Копия_1"/>
      <w:bookmarkEnd w:id="28"/>
    </w:p>
    <w:p>
      <w:pPr>
        <w:pStyle w:val="Heading4"/>
        <w:numPr>
          <w:ilvl w:val="1"/>
          <w:numId w:val="4"/>
        </w:numPr>
        <w:rPr/>
      </w:pPr>
      <w:bookmarkStart w:id="29" w:name="_Toc51339698"/>
      <w:bookmarkStart w:id="30" w:name="_Toc75446581"/>
      <w:bookmarkStart w:id="31" w:name="_Toc46743511"/>
      <w:r>
        <w:rPr/>
        <w:t xml:space="preserve">Требования к </w:t>
      </w:r>
      <w:bookmarkEnd w:id="31"/>
      <w:r>
        <w:rPr>
          <w:lang w:val="ru-RU"/>
        </w:rPr>
        <w:t>качеству продукции</w:t>
      </w:r>
      <w:bookmarkEnd w:id="30"/>
    </w:p>
    <w:p>
      <w:pPr>
        <w:pStyle w:val="Heading1"/>
        <w:keepLines/>
        <w:numPr>
          <w:ilvl w:val="0"/>
          <w:numId w:val="0"/>
        </w:numPr>
        <w:spacing w:before="240" w:after="60"/>
        <w:ind w:hanging="0" w:left="0" w:righ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2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2"/>
      <w:r>
        <w:rPr>
          <w:sz w:val="24"/>
          <w:szCs w:val="24"/>
        </w:rPr>
        <w:t xml:space="preserve"> </w:t>
      </w:r>
      <w:bookmarkEnd w:id="29"/>
    </w:p>
    <w:p>
      <w:pPr>
        <w:pStyle w:val="Normal"/>
        <w:rPr>
          <w:b w:val="false"/>
        </w:rPr>
      </w:pPr>
      <w:r>
        <w:rPr>
          <w:rStyle w:val="Style8"/>
          <w:b w:val="false"/>
        </w:rPr>
        <w:t xml:space="preserve"> </w:t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tbl>
      <w:tblPr>
        <w:tblW w:w="979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3745"/>
        <w:gridCol w:w="5255"/>
      </w:tblGrid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firstLine="142" w:left="-117" w:right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 xml:space="preserve">Требования к техническим и функциональным характеристикам каждой позиции продукции представлены в Приложении № 1 к настоящим Техническим требованиям. 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firstLine="142" w:left="-117" w:right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Требование к перечню материалов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Запасные части и материалы, приобретаются Подрядчиком самостоятельно согласно спецификациям материалов, являющимся приложением к настоящим ТТ (Приложение №1 к Техническим требованиям).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firstLine="142" w:left="-117" w:right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Требование к происхождению материалов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поставляемые и применяемые запасные части и материалы должны быть новыми и не использованными ранее.</w:t>
            </w:r>
          </w:p>
        </w:tc>
      </w:tr>
      <w:tr>
        <w:trPr/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firstLine="142" w:left="-117" w:right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Требования к изменениям в номенклатуре, марках материалов</w:t>
            </w:r>
          </w:p>
        </w:tc>
        <w:tc>
          <w:tcPr>
            <w:tcW w:w="5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Изменения в номенклатуре, марках, поставляемых материалов и запчастей допускается при условии письменного согласования с заказчиком и последующим заключением дополнительного соглашения к договору.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firstLine="142" w:left="-117" w:right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Продукция должна быть доставлена Поставщиком по адресу: </w:t>
            </w:r>
            <w:r>
              <w:rPr>
                <w:i w:val="false"/>
                <w:iCs w:val="false"/>
                <w:sz w:val="24"/>
                <w:szCs w:val="24"/>
              </w:rPr>
              <w:t>606520 Нижегородская обл., Городецкий р-н, г. Заволжье, ул. Привокзальная, д.14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firstLine="142" w:left="-117" w:right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eastAsia="Calibri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Документы, передаваемые вместе с материалами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eastAsia="Calibri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Calibri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Calibri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технические паспорта;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Calibri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Calibri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упаковочные листы, упаковочные ярлыки;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Calibri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Calibri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товарную накладную унифицированной формы ТОРГ-12 в 2 экз.;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eastAsia="Calibri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протоколы заводских испытаний.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firstLine="142" w:left="-117" w:right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стандартам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 должны соответствовать действующим государственным стандартам, СТО, ТУ, иметь соответствующую сертификацию.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firstLine="142" w:left="-117" w:right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в отношении режима прохода/проезда на территорию Заказчика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 материала осуществляется в рабочие дни  с 08:00 по 14:00 с предъявлением к осмотру транспорта и поставляемых материалов.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firstLine="142" w:left="-117" w:right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организации поставки материалов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организации приемки на объектах заказчика материалов Поставщик обязуется заранее, не менее чем за два рабочих дня дать информацию о времени доставке и характере поставляемой продукции.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 материала осуществляется в рабочие дни  с 08:00 по 14:00 .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</w:tr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firstLine="142" w:left="-117" w:right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1"/>
        <w:keepLines/>
        <w:numPr>
          <w:ilvl w:val="0"/>
          <w:numId w:val="4"/>
        </w:numPr>
        <w:ind w:hanging="357" w:left="357" w:right="0"/>
        <w:jc w:val="center"/>
        <w:rPr>
          <w:lang w:val="ru-RU"/>
        </w:rPr>
      </w:pPr>
      <w:bookmarkStart w:id="33" w:name="_Toc75446584"/>
      <w:r>
        <w:rPr>
          <w:lang w:val="ru-RU"/>
        </w:rPr>
        <w:t xml:space="preserve">Требования к документации по ценообразованию на этапе закупки </w:t>
      </w:r>
      <w:bookmarkEnd w:id="3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numPr>
          <w:ilvl w:val="1"/>
          <w:numId w:val="4"/>
        </w:numPr>
        <w:spacing w:before="0" w:after="120"/>
        <w:jc w:val="both"/>
        <w:rPr>
          <w:i w:val="false"/>
          <w:i w:val="false"/>
          <w:iCs w:val="false"/>
        </w:rPr>
      </w:pPr>
      <w:r>
        <w:rPr>
          <w:bCs/>
          <w:i w:val="false"/>
          <w:iCs w:val="false"/>
          <w:sz w:val="24"/>
          <w:szCs w:val="24"/>
        </w:rPr>
        <w:t>Не требуется</w:t>
      </w:r>
      <w:r>
        <w:br w:type="page"/>
      </w:r>
    </w:p>
    <w:p>
      <w:pPr>
        <w:pStyle w:val="Heading1"/>
        <w:keepLines/>
        <w:numPr>
          <w:ilvl w:val="0"/>
          <w:numId w:val="4"/>
        </w:numPr>
        <w:ind w:hanging="357" w:left="357" w:right="0"/>
        <w:jc w:val="center"/>
        <w:rPr>
          <w:iCs/>
          <w:caps/>
        </w:rPr>
      </w:pPr>
      <w:bookmarkStart w:id="34" w:name="_Toc46743519"/>
      <w:bookmarkStart w:id="35" w:name="_Toc51339699"/>
      <w:bookmarkStart w:id="36" w:name="_Toc75446585"/>
      <w:r>
        <w:rPr>
          <w:iCs/>
        </w:rPr>
        <w:t>Приложения</w:t>
      </w:r>
      <w:bookmarkEnd w:id="34"/>
      <w:bookmarkEnd w:id="35"/>
      <w:bookmarkEnd w:id="3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/>
      </w:pPr>
      <w:r>
        <w:rPr>
          <w:rStyle w:val="Style8"/>
          <w:b w:val="false"/>
          <w:bCs/>
          <w:i w:val="false"/>
          <w:iCs w:val="false"/>
          <w:sz w:val="24"/>
          <w:szCs w:val="24"/>
          <w:shd w:fill="auto" w:val="clear"/>
        </w:rPr>
        <w:t>Приложение №1. Спецификация материалов.</w:t>
      </w:r>
    </w:p>
    <w:p>
      <w:pPr>
        <w:pStyle w:val="Normal"/>
        <w:ind w:hanging="0" w:left="0" w:right="0"/>
        <w:jc w:val="both"/>
        <w:rPr/>
      </w:pPr>
      <w:r>
        <w:rPr/>
      </w:r>
    </w:p>
    <w:p>
      <w:pPr>
        <w:pStyle w:val="Normal"/>
        <w:ind w:hanging="0" w:left="0" w:right="0"/>
        <w:jc w:val="both"/>
        <w:rPr>
          <w:rStyle w:val="Style8"/>
        </w:rPr>
      </w:pPr>
      <w:r>
        <w:rPr/>
      </w:r>
    </w:p>
    <w:sectPr>
      <w:headerReference w:type="default" r:id="rId4"/>
      <w:headerReference w:type="first" r:id="rId5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6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"/>
      <w:lvlJc w:val="left"/>
      <w:pPr>
        <w:tabs>
          <w:tab w:val="num" w:pos="0"/>
        </w:tabs>
        <w:ind w:left="0" w:firstLine="567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425" w:firstLine="567"/>
      </w:pPr>
      <w:rPr>
        <w:i w:val="false"/>
        <w:b w:val="fals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567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567"/>
      </w:pPr>
      <w:rPr/>
    </w:lvl>
    <w:lvl w:ilvl="4">
      <w:start w:val="1"/>
      <w:numFmt w:val="russianUpper"/>
      <w:suff w:val="nothing"/>
      <w:lvlText w:val="Приложение %5"/>
      <w:lvlJc w:val="left"/>
      <w:pPr>
        <w:tabs>
          <w:tab w:val="num" w:pos="0"/>
        </w:tabs>
        <w:ind w:left="0" w:hanging="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shadow w:val="false"/>
        <w:u w:val="none"/>
        <w:b w:val="false"/>
        <w:kern w:val="0"/>
        <w:iCs w:val="false"/>
        <w:bCs w:val="false"/>
        <w:em w:val="none"/>
        <w:vanish w:val="false"/>
      </w:rPr>
    </w:lvl>
    <w:lvl w:ilvl="5">
      <w:start w:val="1"/>
      <w:numFmt w:val="decimal"/>
      <w:lvlText w:val="%5.%6"/>
      <w:lvlJc w:val="left"/>
      <w:pPr>
        <w:tabs>
          <w:tab w:val="num" w:pos="0"/>
        </w:tabs>
        <w:ind w:left="0" w:firstLine="567"/>
      </w:pPr>
      <w:rPr/>
    </w:lvl>
    <w:lvl w:ilvl="6">
      <w:start w:val="1"/>
      <w:numFmt w:val="decimal"/>
      <w:lvlText w:val="%5.%6.%7"/>
      <w:lvlJc w:val="left"/>
      <w:pPr>
        <w:tabs>
          <w:tab w:val="num" w:pos="567"/>
        </w:tabs>
        <w:ind w:left="0" w:firstLine="567"/>
      </w:pPr>
      <w:rPr/>
    </w:lvl>
    <w:lvl w:ilvl="7">
      <w:start w:val="1"/>
      <w:numFmt w:val="decimal"/>
      <w:lvlText w:val="%5.%6.%7.%8"/>
      <w:lvlJc w:val="left"/>
      <w:pPr>
        <w:tabs>
          <w:tab w:val="num" w:pos="0"/>
        </w:tabs>
        <w:ind w:left="0" w:firstLine="567"/>
      </w:pPr>
      <w:rPr/>
    </w:lvl>
    <w:lvl w:ilvl="8">
      <w:start w:val="1"/>
      <w:numFmt w:val="none"/>
      <w:suff w:val="nothing"/>
      <w:lvlText w:val="-"/>
      <w:lvlJc w:val="left"/>
      <w:pPr>
        <w:tabs>
          <w:tab w:val="num" w:pos="0"/>
        </w:tabs>
        <w:ind w:left="0" w:firstLine="567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numPr>
        <w:ilvl w:val="0"/>
        <w:numId w:val="4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1"/>
        <w:numId w:val="4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1">
    <w:name w:val="Strong1"/>
    <w:qFormat/>
    <w:rPr>
      <w:b/>
      <w:bCs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1">
    <w:name w:val="Название Знак"/>
    <w:link w:val="15"/>
    <w:qFormat/>
    <w:rPr>
      <w:sz w:val="28"/>
    </w:rPr>
  </w:style>
  <w:style w:type="character" w:styleId="Style2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1">
    <w:name w:val="Подпункт Знак1"/>
    <w:link w:val="Style21"/>
    <w:qFormat/>
    <w:rPr>
      <w:sz w:val="28"/>
    </w:rPr>
  </w:style>
  <w:style w:type="character" w:styleId="Style5">
    <w:name w:val="Текст сноски Знак"/>
    <w:qFormat/>
    <w:rPr/>
  </w:style>
  <w:style w:type="character" w:styleId="Style6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7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Подподпункт Знак"/>
    <w:link w:val="Style29"/>
    <w:qFormat/>
    <w:rPr>
      <w:sz w:val="26"/>
      <w:szCs w:val="26"/>
    </w:rPr>
  </w:style>
  <w:style w:type="character" w:styleId="3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>
    <w:name w:val="Верхний колонтитул Знак"/>
    <w:qFormat/>
    <w:rPr>
      <w:sz w:val="24"/>
      <w:szCs w:val="24"/>
    </w:rPr>
  </w:style>
  <w:style w:type="character" w:styleId="Style11">
    <w:name w:val="Текст примечания Знак"/>
    <w:link w:val="Annotationtext"/>
    <w:qFormat/>
    <w:rPr/>
  </w:style>
  <w:style w:type="character" w:styleId="Style12">
    <w:name w:val="Текст концевой сноски Знак"/>
    <w:basedOn w:val="DefaultParagraphFont"/>
    <w:qFormat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>
    <w:name w:val="Пункт2 Знак"/>
    <w:link w:val="24"/>
    <w:qFormat/>
    <w:rPr>
      <w:b/>
      <w:sz w:val="28"/>
    </w:rPr>
  </w:style>
  <w:style w:type="character" w:styleId="12">
    <w:name w:val="УРОВЕНЬ_1. Знак"/>
    <w:link w:val="19"/>
    <w:qFormat/>
    <w:rPr>
      <w:rFonts w:eastAsia="Calibri"/>
      <w:caps/>
      <w:sz w:val="28"/>
      <w:szCs w:val="28"/>
      <w:lang w:eastAsia="en-US"/>
    </w:rPr>
  </w:style>
  <w:style w:type="character" w:styleId="13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>
    <w:name w:val="Основной текст с отступом 3 Знак"/>
    <w:link w:val="BodyTextIndent3"/>
    <w:qFormat/>
    <w:rPr>
      <w:sz w:val="16"/>
      <w:szCs w:val="16"/>
    </w:rPr>
  </w:style>
  <w:style w:type="character" w:styleId="Style14">
    <w:name w:val="Ссылка указателя"/>
    <w:qFormat/>
    <w:rPr/>
  </w:style>
  <w:style w:type="character" w:styleId="LineNumber">
    <w:name w:val="Line Number"/>
    <w:rPr/>
  </w:style>
  <w:style w:type="character" w:styleId="WW8Num7z0">
    <w:name w:val="WW8Num7z0"/>
    <w:qFormat/>
    <w:rPr/>
  </w:style>
  <w:style w:type="character" w:styleId="WW8Num7z1">
    <w:name w:val="WW8Num7z1"/>
    <w:qFormat/>
    <w:rPr>
      <w:b w:val="false"/>
      <w:i w:val="false"/>
    </w:rPr>
  </w:style>
  <w:style w:type="character" w:styleId="WW8Num7z4">
    <w:name w:val="WW8Num7z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vanish w:val="false"/>
      <w:spacing w:val="0"/>
      <w:kern w:val="0"/>
      <w:position w:val="0"/>
      <w:sz w:val="24"/>
      <w:sz w:val="24"/>
      <w:u w:val="none"/>
      <w:vertAlign w:val="baseline"/>
      <w:em w:val="none"/>
    </w:rPr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Style17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18">
    <w:name w:val="Раздел положения"/>
    <w:basedOn w:val="Normal"/>
    <w:autoRedefine/>
    <w:qFormat/>
    <w:pPr>
      <w:numPr>
        <w:ilvl w:val="0"/>
        <w:numId w:val="2"/>
      </w:numPr>
      <w:spacing w:before="80" w:after="80"/>
      <w:jc w:val="center"/>
    </w:pPr>
    <w:rPr>
      <w:b/>
      <w:sz w:val="32"/>
      <w:szCs w:val="32"/>
    </w:rPr>
  </w:style>
  <w:style w:type="paragraph" w:styleId="Style19">
    <w:name w:val="Подраздел раздела положения"/>
    <w:basedOn w:val="Normal"/>
    <w:autoRedefine/>
    <w:qFormat/>
    <w:pPr>
      <w:numPr>
        <w:ilvl w:val="1"/>
        <w:numId w:val="2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4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hanging="0" w:left="360" w:right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hanging="0" w:left="283" w:right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hanging="0" w:left="283" w:right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hanging="0" w:left="-567" w:right="-766"/>
      <w:jc w:val="center"/>
    </w:pPr>
    <w:rPr>
      <w:b/>
      <w:bCs/>
      <w:sz w:val="24"/>
      <w:szCs w:val="20"/>
    </w:rPr>
  </w:style>
  <w:style w:type="paragraph" w:styleId="Style21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hanging="1134" w:left="1134" w:right="0"/>
      <w:jc w:val="both"/>
    </w:pPr>
    <w:rPr>
      <w:szCs w:val="20"/>
      <w:lang w:val="x-none" w:eastAsia="x-none"/>
    </w:rPr>
  </w:style>
  <w:style w:type="paragraph" w:styleId="24">
    <w:name w:val="Пункт2"/>
    <w:basedOn w:val="Normal"/>
    <w:link w:val="22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uppressAutoHyphens w:val="true"/>
      <w:snapToGrid w:val="false"/>
      <w:spacing w:before="240" w:after="120"/>
      <w:ind w:hanging="1134" w:left="1134" w:right="0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hanging="0" w:left="280" w:right="0"/>
    </w:pPr>
    <w:rPr>
      <w:rFonts w:cs="Calibri"/>
      <w:sz w:val="20"/>
      <w:szCs w:val="20"/>
    </w:rPr>
  </w:style>
  <w:style w:type="paragraph" w:styleId="Style22">
    <w:name w:val="Раздел регламента"/>
    <w:basedOn w:val="Normal"/>
    <w:qFormat/>
    <w:pPr/>
    <w:rPr/>
  </w:style>
  <w:style w:type="paragraph" w:styleId="Style23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6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hanging="0" w:left="1960" w:right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hanging="0" w:left="840" w:right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ind w:hanging="0" w:left="560" w:right="0"/>
    </w:pPr>
    <w:rPr>
      <w:rFonts w:cs="Calibri"/>
      <w:sz w:val="20"/>
      <w:szCs w:val="20"/>
    </w:rPr>
  </w:style>
  <w:style w:type="paragraph" w:styleId="25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24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qFormat/>
    <w:pPr>
      <w:numPr>
        <w:ilvl w:val="0"/>
        <w:numId w:val="0"/>
      </w:numPr>
      <w:ind w:firstLine="709" w:left="1066" w:right="0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hanging="0" w:left="720" w:right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5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>
    <w:name w:val="Нумерованный список ур3"/>
    <w:basedOn w:val="Normal"/>
    <w:qFormat/>
    <w:pPr>
      <w:numPr>
        <w:ilvl w:val="2"/>
        <w:numId w:val="3"/>
      </w:numPr>
      <w:jc w:val="both"/>
    </w:pPr>
    <w:rPr>
      <w:rFonts w:ascii="Garamond" w:hAnsi="Garamond"/>
      <w:sz w:val="24"/>
      <w:szCs w:val="20"/>
    </w:rPr>
  </w:style>
  <w:style w:type="paragraph" w:styleId="ListBullet4">
    <w:name w:val="List Bullet 4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>
    <w:name w:val="Нумерованный список ур2"/>
    <w:basedOn w:val="Normal"/>
    <w:qFormat/>
    <w:pPr>
      <w:numPr>
        <w:ilvl w:val="1"/>
        <w:numId w:val="3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7">
    <w:name w:val="Абзац списка1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/>
      <w:sz w:val="22"/>
      <w:szCs w:val="22"/>
      <w:lang w:eastAsia="en-US"/>
    </w:rPr>
  </w:style>
  <w:style w:type="paragraph" w:styleId="Style27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>
    <w:name w:val="Таблица шапка"/>
    <w:basedOn w:val="Normal"/>
    <w:qFormat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29">
    <w:name w:val="Подподпункт"/>
    <w:basedOn w:val="Style21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 w:right="0"/>
    </w:pPr>
    <w:rPr>
      <w:sz w:val="26"/>
      <w:szCs w:val="26"/>
      <w:lang w:val="ru-RU" w:eastAsia="ru-RU"/>
    </w:rPr>
  </w:style>
  <w:style w:type="paragraph" w:styleId="Style30">
    <w:name w:val="УРОВЕНЬ_(а)"/>
    <w:basedOn w:val="ListParagraph"/>
    <w:qFormat/>
    <w:pPr>
      <w:numPr>
        <w:ilvl w:val="3"/>
        <w:numId w:val="5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5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5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>
    <w:name w:val="УРОВЕНЬ_Абзац_тип3"/>
    <w:basedOn w:val="ListParagraph"/>
    <w:link w:val="31"/>
    <w:qFormat/>
    <w:pPr>
      <w:numPr>
        <w:ilvl w:val="7"/>
        <w:numId w:val="5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>
    <w:name w:val="УРОВЕНЬ_Подпись"/>
    <w:basedOn w:val="ListParagraph"/>
    <w:qFormat/>
    <w:pPr>
      <w:keepNext w:val="true"/>
      <w:numPr>
        <w:ilvl w:val="5"/>
        <w:numId w:val="5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>
    <w:name w:val="Стиль Заголовок 1 + по ширине"/>
    <w:basedOn w:val="Heading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hanging="567" w:left="567" w:right="0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>
    <w:name w:val="Заголовок 2 КВВ"/>
    <w:basedOn w:val="Normal"/>
    <w:qFormat/>
    <w:pPr>
      <w:keepNext w:val="true"/>
      <w:numPr>
        <w:ilvl w:val="0"/>
        <w:numId w:val="6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>
    <w:name w:val="Таблица текст"/>
    <w:basedOn w:val="Normal"/>
    <w:qFormat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9">
    <w:name w:val="УРОВЕНЬ_1."/>
    <w:basedOn w:val="ListParagraph"/>
    <w:link w:val="12"/>
    <w:qFormat/>
    <w:pPr>
      <w:keepNext w:val="true"/>
      <w:keepLines/>
      <w:numPr>
        <w:ilvl w:val="0"/>
        <w:numId w:val="0"/>
      </w:numPr>
      <w:spacing w:lineRule="auto" w:line="276" w:before="240" w:after="120"/>
      <w:ind w:hanging="0" w:left="0" w:righ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hanging="0" w:left="1120" w:right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hanging="0" w:left="1400" w:right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hanging="0" w:left="1680" w:right="0"/>
    </w:pPr>
    <w:rPr>
      <w:rFonts w:ascii="Calibri" w:hAnsi="Calibri" w:cs="Calibr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29">
    <w:name w:val="!Ур2"/>
    <w:qFormat/>
    <w:pPr>
      <w:widowControl/>
      <w:numPr>
        <w:ilvl w:val="0"/>
        <w:numId w:val="10"/>
      </w:numPr>
      <w:tabs>
        <w:tab w:val="clear" w:pos="708"/>
        <w:tab w:val="left" w:pos="851" w:leader="none"/>
        <w:tab w:val="left" w:pos="1134" w:leader="none"/>
        <w:tab w:val="left" w:pos="1418" w:leader="none"/>
      </w:tabs>
      <w:suppressAutoHyphens w:val="true"/>
      <w:kinsoku w:val="true"/>
      <w:overflowPunct w:val="true"/>
      <w:autoSpaceDE w:val="true"/>
      <w:bidi w:val="0"/>
      <w:spacing w:before="120" w:after="120"/>
      <w:jc w:val="both"/>
      <w:outlineLvl w:val="1"/>
    </w:pPr>
    <w:rPr>
      <w:rFonts w:ascii="Times New Roman" w:hAnsi="Times New Roman" w:eastAsia="Times New Roman" w:cs="Times New Roman"/>
      <w:color w:val="000000"/>
      <w:kern w:val="0"/>
      <w:sz w:val="28"/>
      <w:szCs w:val="22"/>
      <w:lang w:val="ru-RU" w:eastAsia="zh-CN" w:bidi="ar-SA"/>
    </w:rPr>
  </w:style>
  <w:style w:type="numbering" w:styleId="110">
    <w:name w:val="Стиль1"/>
    <w:qFormat/>
  </w:style>
  <w:style w:type="numbering" w:styleId="210">
    <w:name w:val="Стиль2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2914</TotalTime>
  <Application>AlterOffice/2026.2.0.0$Linux_X86_64 LibreOffice_project/bc4ef1adf80b36c7a6365f8ed6cbf29021361edd</Application>
  <AppVersion>15.0000</AppVersion>
  <Pages>8</Pages>
  <Words>733</Words>
  <Characters>5080</Characters>
  <CharactersWithSpaces>5686</CharactersWithSpaces>
  <Paragraphs>135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2021-04-05T15:04:00Z</dcterms:created>
  <dc:creator>Быстров Олег Геннадьевич</dc:creator>
  <dc:description/>
  <dc:language>ru-RU</dc:language>
  <cp:lastModifiedBy/>
  <cp:lastPrinted>2006-07-26T14:04:00Z</cp:lastPrinted>
  <dcterms:modified xsi:type="dcterms:W3CDTF">2026-08-26T14:26:44Z</dcterms:modified>
  <cp:revision>42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