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27.xml" ContentType="application/vnd.openxmlformats-officedocument.wordprocessingml.header+xml"/>
  <Override PartName="/word/footer42.xml" ContentType="application/vnd.openxmlformats-officedocument.wordprocessingml.footer+xml"/>
  <Override PartName="/word/header26.xml" ContentType="application/vnd.openxmlformats-officedocument.wordprocessingml.header+xml"/>
  <Override PartName="/word/footer41.xml" ContentType="application/vnd.openxmlformats-officedocument.wordprocessingml.footer+xml"/>
  <Override PartName="/word/header25.xml" ContentType="application/vnd.openxmlformats-officedocument.wordprocessingml.header+xml"/>
  <Override PartName="/word/footer40.xml" ContentType="application/vnd.openxmlformats-officedocument.wordprocessingml.footer+xml"/>
  <Override PartName="/word/header24.xml" ContentType="application/vnd.openxmlformats-officedocument.wordprocessingml.header+xml"/>
  <Override PartName="/word/header29.xml" ContentType="application/vnd.openxmlformats-officedocument.wordprocessingml.header+xml"/>
  <Override PartName="/word/footer21.xml" ContentType="application/vnd.openxmlformats-officedocument.wordprocessingml.footer+xml"/>
  <Override PartName="/word/header28.xml" ContentType="application/vnd.openxmlformats-officedocument.wordprocessingml.header+xml"/>
  <Override PartName="/word/footer43.xml" ContentType="application/vnd.openxmlformats-officedocument.wordprocessingml.foot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styles.xml" ContentType="application/vnd.openxmlformats-officedocument.wordprocessingml.styles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0.xml" ContentType="application/vnd.openxmlformats-officedocument.wordprocessingml.header+xml"/>
  <Override PartName="/word/header16.xml" ContentType="application/vnd.openxmlformats-officedocument.wordprocessingml.header+xml"/>
  <Override PartName="/word/footer31.xml" ContentType="application/vnd.openxmlformats-officedocument.wordprocessingml.footer+xml"/>
  <Override PartName="/word/header15.xml" ContentType="application/vnd.openxmlformats-officedocument.wordprocessingml.header+xml"/>
  <Override PartName="/word/footer30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6.xml" ContentType="application/vnd.openxmlformats-officedocument.wordprocessingml.header+xml"/>
  <Override PartName="/word/footer29.xml" ContentType="application/vnd.openxmlformats-officedocument.wordprocessingml.footer+xml"/>
  <Override PartName="/word/document.xml" ContentType="application/vnd.openxmlformats-officedocument.wordprocessingml.document.main+xml"/>
  <Override PartName="/word/footer25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27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footer24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6.xml" ContentType="application/vnd.openxmlformats-officedocument.wordprocessingml.footer+xml"/>
  <Override PartName="/word/footer23.xml" ContentType="application/vnd.openxmlformats-officedocument.wordprocessingml.foot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header35.xml" ContentType="application/vnd.openxmlformats-officedocument.wordprocessingml.header+xml"/>
  <Override PartName="/word/footer33.xml" ContentType="application/vnd.openxmlformats-officedocument.wordprocessingml.footer+xml"/>
  <Override PartName="/word/header18.xml" ContentType="application/vnd.openxmlformats-officedocument.wordprocessingml.header+xml"/>
  <Override PartName="/word/header14.xml" ContentType="application/vnd.openxmlformats-officedocument.wordprocessingml.header+xml"/>
  <Override PartName="/word/header31.xml" ContentType="application/vnd.openxmlformats-officedocument.wordprocessingml.header+xml"/>
  <Override PartName="/word/header36.xml" ContentType="application/vnd.openxmlformats-officedocument.wordprocessingml.header+xml"/>
  <Override PartName="/word/footer3.xml" ContentType="application/vnd.openxmlformats-officedocument.wordprocessingml.footer+xml"/>
  <Override PartName="/word/footer35.xml" ContentType="application/vnd.openxmlformats-officedocument.wordprocessingml.footer+xml"/>
  <Override PartName="/word/header32.xml" ContentType="application/vnd.openxmlformats-officedocument.wordprocessingml.header+xml"/>
  <Override PartName="/word/header40.xml" ContentType="application/vnd.openxmlformats-officedocument.wordprocessingml.header+xml"/>
  <Override PartName="/word/fontTable.xml" ContentType="application/vnd.openxmlformats-officedocument.wordprocessingml.fontTable+xml"/>
  <Override PartName="/word/footer6.xml" ContentType="application/vnd.openxmlformats-officedocument.wordprocessingml.footer+xml"/>
  <Override PartName="/word/footer14.xml" ContentType="application/vnd.openxmlformats-officedocument.wordprocessingml.footer+xml"/>
  <Override PartName="/word/footer11.xml" ContentType="application/vnd.openxmlformats-officedocument.wordprocessingml.footer+xml"/>
  <Override PartName="/word/header39.xml" ContentType="application/vnd.openxmlformats-officedocument.wordprocessingml.header+xml"/>
  <Override PartName="/word/footer10.xml" ContentType="application/vnd.openxmlformats-officedocument.wordprocessingml.footer+xml"/>
  <Override PartName="/word/header38.xml" ContentType="application/vnd.openxmlformats-officedocument.wordprocessingml.header+xml"/>
  <Override PartName="/word/footer5.xml" ContentType="application/vnd.openxmlformats-officedocument.wordprocessingml.footer+xml"/>
  <Override PartName="/word/footer13.xml" ContentType="application/vnd.openxmlformats-officedocument.wordprocessingml.footer+xml"/>
  <Override PartName="/word/header46.xml" ContentType="application/vnd.openxmlformats-officedocument.wordprocessingml.header+xml"/>
  <Override PartName="/word/header37.xml" ContentType="application/vnd.openxmlformats-officedocument.wordprocessingml.header+xml"/>
  <Override PartName="/word/header45.xml" ContentType="application/vnd.openxmlformats-officedocument.wordprocessingml.header+xml"/>
  <Override PartName="/word/header43.xml" ContentType="application/vnd.openxmlformats-officedocument.wordprocessingml.head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5.xml" ContentType="application/vnd.openxmlformats-officedocument.wordprocessingml.footer+xml"/>
  <Override PartName="/word/theme/theme1.xml" ContentType="application/vnd.openxmlformats-officedocument.theme+xml"/>
  <Override PartName="/word/footer39.xml" ContentType="application/vnd.openxmlformats-officedocument.wordprocessingml.footer+xml"/>
  <Override PartName="/word/footer38.xml" ContentType="application/vnd.openxmlformats-officedocument.wordprocessingml.footer+xml"/>
  <Override PartName="/word/header12.xml" ContentType="application/vnd.openxmlformats-officedocument.wordprocessingml.header+xml"/>
  <Override PartName="/word/header34.xml" ContentType="application/vnd.openxmlformats-officedocument.wordprocessingml.header+xml"/>
  <Override PartName="/word/footer1.xml" ContentType="application/vnd.openxmlformats-officedocument.wordprocessingml.footer+xml"/>
  <Override PartName="/word/footer32.xml" ContentType="application/vnd.openxmlformats-officedocument.wordprocessingml.footer+xml"/>
  <Override PartName="/word/header17.xml" ContentType="application/vnd.openxmlformats-officedocument.wordprocessingml.header+xml"/>
  <Override PartName="/word/settings.xml" ContentType="application/vnd.openxmlformats-officedocument.wordprocessingml.settings+xml"/>
  <Override PartName="/word/header42.xml" ContentType="application/vnd.openxmlformats-officedocument.wordprocessingml.header+xml"/>
  <Override PartName="/word/header33.xml" ContentType="application/vnd.openxmlformats-officedocument.wordprocessingml.header+xml"/>
  <Override PartName="/word/header41.xml" ContentType="application/vnd.openxmlformats-officedocument.wordprocessingml.header+xml"/>
  <Override PartName="/word/footer37.xml" ContentType="application/vnd.openxmlformats-officedocument.wordprocessingml.footer+xml"/>
  <Override PartName="/word/footer36.xml" ContentType="application/vnd.openxmlformats-officedocument.wordprocessingml.footer+xml"/>
  <Override PartName="/word/header9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embeddings/oleObject1.xlsx" ContentType="application/vnd.openxmlformats-officedocument.spreadsheetml.sheet"/>
  <Override PartName="/word/embeddings/oleObject2.xlsx" ContentType="application/vnd.openxmlformats-officedocument.spreadsheetml.sheet"/>
  <Override PartName="/word/embeddings/oleObject3.xlsx" ContentType="application/vnd.openxmlformats-officedocument.spreadsheetml.sheet"/>
  <Override PartName="/word/embeddings/oleObject4.xlsx" ContentType="application/vnd.openxmlformats-officedocument.spreadsheetml.sheet"/>
  <Override PartName="/word/embeddings/oleObject5.xlsx" ContentType="application/vnd.openxmlformats-officedocument.spreadsheetml.sheet"/>
  <Override PartName="/word/embeddings/oleObject6.xlsx" ContentType="application/vnd.openxmlformats-officedocument.spreadsheetml.sheet"/>
  <Override PartName="/word/header44.xml" ContentType="application/vnd.openxmlformats-officedocument.wordprocessingml.header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header19.xml" ContentType="application/vnd.openxmlformats-officedocument.wordprocessingml.header+xml"/>
  <Override PartName="/word/footer34.xml" ContentType="application/vnd.openxmlformats-officedocument.wordprocessingml.footer+xml"/>
  <Override PartName="/word/header30.xml" ContentType="application/vnd.openxmlformats-officedocument.wordprocessingml.header+xml"/>
  <Override PartName="/word/footer9.xml" ContentType="application/vnd.openxmlformats-officedocument.wordprocessingml.footer+xml"/>
  <Override PartName="/word/footer17.xml" ContentType="application/vnd.openxmlformats-officedocument.wordprocessingml.footer+xml"/>
  <Override PartName="/word/footnotes.xml" ContentType="application/vnd.openxmlformats-officedocument.wordprocessingml.footnotes+xml"/>
  <Override PartName="/word/footer28.xml" ContentType="application/vnd.openxmlformats-officedocument.wordprocessingml.footer+xml"/>
  <Override PartName="/word/header5.xml" ContentType="application/vnd.openxmlformats-officedocument.wordprocessingml.header+xml"/>
  <Override PartName="/word/footer22.xml" ContentType="application/vnd.openxmlformats-officedocument.wordprocessingml.footer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120" w:after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12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120" w:after="0"/>
        <w:contextualSpacing/>
        <w:jc w:val="center"/>
        <w:rPr/>
      </w:pPr>
      <w:r>
        <w:rPr>
          <w:b/>
          <w:bCs/>
        </w:rPr>
        <w:t>Технические требования для комплексного договора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sectPr>
          <w:type w:val="nextPage"/>
          <w:pgSz w:w="11906" w:h="16838"/>
          <w:pgMar w:left="1701" w:right="1134" w:gutter="0" w:header="0" w:top="568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b/>
          <w:bCs/>
        </w:rPr>
      </w:pPr>
      <w:r>
        <w:rPr>
          <w:b/>
          <w:bCs/>
        </w:rPr>
        <w:t>«ОКПД2 — 43.21.10.140. Выполнение работ по созданию системы пожарной автоматики Загорской ГАЭС-2, в том числе проектирование, поставка, строительно-монтажные и пусконаладочные работы»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8"/>
              <w:vanish w:val="false"/>
              <w:rFonts w:eastAsia="Calibri"/>
            </w:rPr>
            <w:instrText xml:space="preserve"> TOC \z \o "1-3" \u \h</w:instrText>
          </w:r>
          <w:r>
            <w:rPr>
              <w:webHidden/>
              <w:rStyle w:val="Style18"/>
              <w:vanish w:val="false"/>
              <w:rFonts w:eastAsia="Calibri"/>
            </w:rPr>
            <w:fldChar w:fldCharType="separate"/>
          </w:r>
          <w:hyperlink w:anchor="_Toc240289517">
            <w:r>
              <w:rPr>
                <w:webHidden/>
                <w:rStyle w:val="Style18"/>
                <w:rFonts w:eastAsia="Calibri"/>
                <w:vanish w:val="false"/>
              </w:rPr>
              <w:t>1.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18">
            <w:r>
              <w:rPr>
                <w:webHidden/>
                <w:rStyle w:val="Style18"/>
                <w:rFonts w:eastAsia="Calibri"/>
                <w:iCs/>
                <w:vanish w:val="false"/>
              </w:rPr>
              <w:t>1.1.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19">
            <w:r>
              <w:rPr>
                <w:webHidden/>
                <w:rStyle w:val="Style18"/>
                <w:rFonts w:eastAsia="Calibri"/>
                <w:iCs/>
                <w:vanish w:val="false"/>
              </w:rPr>
              <w:t>1.2.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0">
            <w:r>
              <w:rPr>
                <w:webHidden/>
                <w:rStyle w:val="Style18"/>
                <w:rFonts w:eastAsia="Calibri"/>
                <w:iCs/>
                <w:vanish w:val="false"/>
              </w:rPr>
              <w:t>1.3.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1">
            <w:r>
              <w:rPr>
                <w:webHidden/>
                <w:rStyle w:val="Style18"/>
                <w:rFonts w:eastAsia="Calibri"/>
                <w:iCs/>
                <w:vanish w:val="false"/>
              </w:rPr>
              <w:t>1.4.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2">
            <w:r>
              <w:rPr>
                <w:webHidden/>
                <w:rStyle w:val="Style18"/>
                <w:rFonts w:eastAsia="Calibri"/>
                <w:vanish w:val="false"/>
              </w:rPr>
              <w:t>Таблица 3 – Перечень объектов Заказчика.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3">
            <w:r>
              <w:rPr>
                <w:webHidden/>
                <w:rStyle w:val="Style18"/>
                <w:rFonts w:eastAsia="Calibri"/>
                <w:iCs/>
                <w:vanish w:val="false"/>
              </w:rPr>
              <w:t>1.5.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4">
            <w:r>
              <w:rPr>
                <w:webHidden/>
                <w:rStyle w:val="Style18"/>
                <w:rFonts w:eastAsia="Calibri"/>
                <w:iCs/>
                <w:vanish w:val="false"/>
              </w:rPr>
              <w:t>1.6.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25">
            <w:r>
              <w:rPr>
                <w:webHidden/>
                <w:rStyle w:val="Style18"/>
                <w:rFonts w:eastAsia="Calibri"/>
                <w:vanish w:val="false"/>
              </w:rPr>
              <w:t>2.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6">
            <w:r>
              <w:rPr>
                <w:webHidden/>
                <w:rStyle w:val="Style18"/>
                <w:rFonts w:eastAsia="Calibri"/>
                <w:iCs/>
                <w:vanish w:val="false"/>
              </w:rPr>
              <w:t>2.1.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Требования к объемам и срокам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7">
            <w:r>
              <w:rPr>
                <w:webHidden/>
                <w:rStyle w:val="Style18"/>
                <w:rFonts w:eastAsia="Calibri"/>
                <w:vanish w:val="false"/>
              </w:rPr>
              <w:t>2.1.1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8">
            <w:r>
              <w:rPr>
                <w:webHidden/>
                <w:rStyle w:val="Style18"/>
                <w:rFonts w:eastAsia="Calibri"/>
                <w:vanish w:val="false"/>
              </w:rPr>
              <w:t>Таблица 4.1 Перечень и объем закупаемых МТР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29">
            <w:r>
              <w:rPr>
                <w:webHidden/>
                <w:rStyle w:val="Style18"/>
                <w:rFonts w:eastAsia="Calibri"/>
                <w:vanish w:val="false"/>
              </w:rPr>
              <w:t>Таблица 4.2 Перечень и объем закупаемых сопутствующих работ/услуг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0">
            <w:r>
              <w:rPr>
                <w:webHidden/>
                <w:rStyle w:val="Style18"/>
                <w:rFonts w:eastAsia="Calibri"/>
                <w:vanish w:val="false"/>
              </w:rPr>
              <w:t>2.1.2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Требования к срокам поставки МТР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1">
            <w:r>
              <w:rPr>
                <w:webHidden/>
                <w:rStyle w:val="Style18"/>
                <w:rFonts w:eastAsia="Calibri"/>
                <w:vanish w:val="false"/>
              </w:rPr>
              <w:t>Требования к срокам поставки МТР указаны в Таблице 5.1.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2">
            <w:r>
              <w:rPr>
                <w:webHidden/>
                <w:rStyle w:val="Style18"/>
                <w:rFonts w:eastAsia="Calibri"/>
                <w:vanish w:val="false"/>
              </w:rPr>
              <w:t>Требования к срокам выполнения сопутствующих работ/услуг указаны в Таблице 5.2.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3">
            <w:r>
              <w:rPr>
                <w:webHidden/>
                <w:rStyle w:val="Style18"/>
                <w:rFonts w:eastAsia="Calibri"/>
                <w:vanish w:val="false"/>
              </w:rPr>
              <w:t>Таблица 5.1 Требования к срокам поставки МТР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4">
            <w:r>
              <w:rPr>
                <w:webHidden/>
                <w:rStyle w:val="Style18"/>
                <w:rFonts w:eastAsia="Calibri"/>
                <w:vanish w:val="false"/>
              </w:rPr>
              <w:t>Таблица 5.2 Требования к срокам выполнения сопутствующих работ/услуг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5">
            <w:r>
              <w:rPr>
                <w:webHidden/>
                <w:rStyle w:val="Style18"/>
                <w:rFonts w:eastAsia="Calibri"/>
                <w:vanish w:val="false"/>
              </w:rPr>
              <w:t>2.2</w:t>
            </w:r>
            <w:r>
              <w:rPr>
                <w:rStyle w:val="Style18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6">
            <w:r>
              <w:rPr>
                <w:webHidden/>
                <w:rStyle w:val="Style18"/>
                <w:rFonts w:eastAsia="Calibri"/>
                <w:vanish w:val="false"/>
              </w:rPr>
              <w:t>Таблица 6.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40289537">
            <w:r>
              <w:rPr>
                <w:webHidden/>
                <w:rStyle w:val="Style18"/>
                <w:rFonts w:eastAsia="Calibri"/>
                <w:i/>
                <w:iCs/>
                <w:vanish w:val="false"/>
              </w:rPr>
              <w:t>Наименование продукции: ОКПД2 — 43.21.10.140. Выполнение комплекса работ по реализации систем пожарной автоматики Загорской ГАЭС-2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38">
            <w:r>
              <w:rPr>
                <w:webHidden/>
                <w:rStyle w:val="Style18"/>
                <w:rFonts w:eastAsia="Calibri"/>
                <w:vanish w:val="false"/>
              </w:rPr>
              <w:t>Приложение № 1 к Техническим требованиям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68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39">
            <w:r>
              <w:rPr>
                <w:webHidden/>
                <w:rStyle w:val="Style18"/>
                <w:rFonts w:eastAsia="Calibri"/>
                <w:vanish w:val="false"/>
              </w:rPr>
              <w:t>Перечень утверждаемой части документации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68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40">
            <w:r>
              <w:rPr>
                <w:webHidden/>
                <w:rStyle w:val="Style18"/>
                <w:rFonts w:eastAsia="Calibri"/>
                <w:vanish w:val="false"/>
              </w:rPr>
              <w:t>Приложение №2 к Техническим требованиям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70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41">
            <w:r>
              <w:rPr>
                <w:webHidden/>
                <w:rStyle w:val="Style18"/>
                <w:rFonts w:eastAsia="Calibri"/>
                <w:vanish w:val="false"/>
              </w:rPr>
              <w:t>Основные нормативные документы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70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42">
            <w:r>
              <w:rPr>
                <w:webHidden/>
                <w:rStyle w:val="Style18"/>
                <w:rFonts w:eastAsia="Calibri"/>
                <w:vanish w:val="false"/>
              </w:rPr>
              <w:t>Приложение №3 к Техническим требованиям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72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89543">
            <w:r>
              <w:rPr>
                <w:webHidden/>
                <w:rStyle w:val="Style18"/>
                <w:rFonts w:eastAsia="Calibri"/>
                <w:vanish w:val="false"/>
              </w:rPr>
              <w:t>Схемы структурные СПА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_Toc240289543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</w:rPr>
              <w:tab/>
              <w:t>72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8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284"/>
          <w:tab w:val="clear" w:pos="9911"/>
          <w:tab w:val="right" w:pos="9921" w:leader="dot"/>
        </w:tabs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3"/>
        </w:numPr>
        <w:ind w:hanging="0" w:left="0"/>
        <w:rPr>
          <w:lang w:val="ru-RU"/>
        </w:rPr>
      </w:pPr>
      <w:bookmarkStart w:id="0" w:name="_Toc233376314"/>
      <w:bookmarkStart w:id="1" w:name="_Toc75446566"/>
      <w:bookmarkStart w:id="2" w:name="_Toc240289517"/>
      <w:bookmarkStart w:id="3" w:name="_Toc51339692"/>
      <w:bookmarkStart w:id="4" w:name="_Toc235117289"/>
      <w:bookmarkStart w:id="5" w:name="_Toc184726118"/>
      <w:r>
        <w:rPr/>
        <w:t>Общие сведения</w:t>
      </w:r>
      <w:bookmarkEnd w:id="0"/>
      <w:bookmarkEnd w:id="1"/>
      <w:bookmarkEnd w:id="2"/>
      <w:bookmarkEnd w:id="3"/>
      <w:bookmarkEnd w:id="4"/>
      <w:bookmarkEnd w:id="5"/>
    </w:p>
    <w:p>
      <w:pPr>
        <w:pStyle w:val="Heading2"/>
        <w:numPr>
          <w:ilvl w:val="1"/>
          <w:numId w:val="3"/>
        </w:numPr>
        <w:rPr/>
      </w:pPr>
      <w:bookmarkStart w:id="6" w:name="_Toc46743505"/>
      <w:bookmarkStart w:id="7" w:name="_Toc235117290"/>
      <w:bookmarkStart w:id="8" w:name="_Toc184726119"/>
      <w:bookmarkStart w:id="9" w:name="_Toc240289518"/>
      <w:r>
        <w:rPr/>
        <w:t>Обозначения и сокращения</w:t>
      </w:r>
      <w:bookmarkEnd w:id="6"/>
      <w:bookmarkEnd w:id="7"/>
      <w:bookmarkEnd w:id="8"/>
      <w:bookmarkEnd w:id="9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6"/>
        <w:gridCol w:w="7514"/>
      </w:tblGrid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АМ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адресная метка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АРМ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автоматизированное рабочее место 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АСУ ТП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автоматизированная система управления технологическими процессами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АПЗ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автоматическая противопожарная защита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АУП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автоматическая установка пожаротушения 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АУП ГГ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автоматическая установка пожаротушения гидрогенератора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АУВП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автоматическая установка водяного пожаротушения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АУПП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автоматическая установка порошкового пожаротушения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ВОЛС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волоконно-оптический кабель 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Генеральный проектировщик / Генпроектировщик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«Институт Гидропроект»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ГК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групповой контроллер 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ДГУ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дизельгенераторная установка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ДЭС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дизельная электростанция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ЗаГАЭС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«Загорская ГАЭС» (Загорская ГАЭС)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ЗаГАЭС-2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«Загорская ГАЭС-2» (Загорская ГАЭС-2)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«Загорская ГАЭС-2»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ИБЭ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источник бесперебойного электропитания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исполнительная документация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ИП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извещатель пожарный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ИПДЛ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извещатель пожарный дымовой линейный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ИПР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извещатель пожарный ручной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контрольно-пропускной пункт 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КАУ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контроллер адресных устройств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МВК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модуль выхода с контролем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МДУ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модуль автоматики дымоудаления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МПО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модуль-преобразователь оптикоэлектронный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ПЗУ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пожарное запорное устройство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ППКП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прибор приемно-контрольный пожарный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ППКУП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прибор приемно-контрольный и управления пожарный 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РМ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релейный модуль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РЗА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релейная защита и автоматика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СОУЭ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система оповещения и управления эвакуацией людей при пожаре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свод правил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СПА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система пожарной автоматики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СПДВ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система противодымной вентиляции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СПС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система пожарной сигнализации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ТПУ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терминальный пульт управления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УДП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устройство дистанционного пуска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ШПА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шкаф пожарной автоматики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ШПА ГГ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шкаф пожарной автоматики гидрогенератора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ШУВ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шкаф управления вентилятором</w:t>
            </w:r>
          </w:p>
        </w:tc>
      </w:tr>
      <w:tr>
        <w:trPr>
          <w:cantSplit w:val="true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sz w:val="24"/>
                <w:szCs w:val="24"/>
              </w:rPr>
              <w:t>ШУЗ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шкаф управления задвижкой 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3"/>
        </w:numPr>
        <w:rPr/>
      </w:pPr>
      <w:bookmarkStart w:id="10" w:name="_Toc184726120"/>
      <w:bookmarkStart w:id="11" w:name="_Toc235117291"/>
      <w:bookmarkStart w:id="12" w:name="_Toc46743506"/>
      <w:bookmarkStart w:id="13" w:name="_Toc240289519"/>
      <w:r>
        <w:rPr/>
        <w:t>Наименование закупаемой продукции</w:t>
      </w:r>
      <w:bookmarkEnd w:id="10"/>
      <w:bookmarkEnd w:id="11"/>
      <w:bookmarkEnd w:id="12"/>
      <w:bookmarkEnd w:id="13"/>
    </w:p>
    <w:p>
      <w:pPr>
        <w:pStyle w:val="Normal"/>
        <w:ind w:firstLine="432"/>
        <w:jc w:val="both"/>
        <w:rPr/>
      </w:pPr>
      <w:r>
        <w:rPr>
          <w:rFonts w:eastAsia="Calibri"/>
          <w:sz w:val="24"/>
          <w:szCs w:val="24"/>
          <w:lang w:eastAsia="x-none"/>
        </w:rPr>
        <w:t>ОКПД2 — 43.21.10.140. Выполнение работ по созданию системы пожарной автоматики Загорской ГАЭС-2, в том числе проектирование, поставка, строительно-монтажные и пусконаладочные работы.</w:t>
      </w:r>
    </w:p>
    <w:p>
      <w:pPr>
        <w:pStyle w:val="Heading2"/>
        <w:numPr>
          <w:ilvl w:val="1"/>
          <w:numId w:val="3"/>
        </w:numPr>
        <w:rPr>
          <w:i/>
          <w:i/>
          <w:lang w:val="ru-RU"/>
        </w:rPr>
      </w:pPr>
      <w:bookmarkStart w:id="14" w:name="_Toc240289520"/>
      <w:bookmarkStart w:id="15" w:name="_Toc235117292"/>
      <w:bookmarkStart w:id="16" w:name="_Toc184726121"/>
      <w:bookmarkStart w:id="17" w:name="_Toc46743507"/>
      <w:r>
        <w:rPr/>
        <w:t xml:space="preserve">Цель </w:t>
      </w:r>
      <w:bookmarkEnd w:id="17"/>
      <w:r>
        <w:rPr/>
        <w:t>использования закупаемой продукции</w:t>
      </w:r>
      <w:bookmarkEnd w:id="14"/>
      <w:bookmarkEnd w:id="15"/>
      <w:bookmarkEnd w:id="16"/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Приобретение продукции проводится с целью оснащения Загорской ГАЭС-2 системой пожарной автоматики в составе: системы пожарной сигнализации, системы оповещения и управления эвакуацией людей при пожаре, автоматических установок пожаротушения, автоматической противопожарной защиты, и подготовки персонала для дальнейшей его эксплуатации.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состав продукции, помимо поставки оборудования и материалов, также входит разработка конструкторской и эксплуатационной документации, разработка программы приемо-сдаточных испытаний, разработка программного обеспечения (при необходимости), выполнение строительно-монтажных и пусконаладочных работ, обучение (техническое консультирование) персонала Заказчика, комиссионное участие в приемо-сдаточных испытаниях.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2"/>
        <w:numPr>
          <w:ilvl w:val="1"/>
          <w:numId w:val="3"/>
        </w:numPr>
        <w:rPr>
          <w:lang w:val="ru-RU"/>
        </w:rPr>
      </w:pPr>
      <w:bookmarkStart w:id="18" w:name="_Toc184726122"/>
      <w:bookmarkStart w:id="19" w:name="_Toc240289521"/>
      <w:bookmarkStart w:id="20" w:name="_Toc235117293"/>
      <w:r>
        <w:rPr>
          <w:lang w:val="ru-RU"/>
        </w:rPr>
        <w:t>Существующее положение</w:t>
      </w:r>
      <w:bookmarkEnd w:id="18"/>
      <w:bookmarkEnd w:id="19"/>
      <w:bookmarkEnd w:id="20"/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Загорская ГАЭС-2 сооружается в Сергиево-Посадском районе Московской области в 900 м выше по течению реки Куньи от находящейся в эксплуатации Загорской ГАЭС. Строительство осуществляется для нужд АО «Загорская ГАЭС-2» (далее — Заказчик).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Основные показатели Загорской ГАЭС-2 представлены в Таблице 1.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Климатические условия в месте расположения Загорской ГАЭС-2 представлены в Таблице 2.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Перечень объектов Заказчика указан в Таблице 3.</w:t>
      </w:r>
    </w:p>
    <w:p>
      <w:pPr>
        <w:pStyle w:val="Normal"/>
        <w:jc w:val="right"/>
        <w:rPr>
          <w:rFonts w:eastAsia="Calibri"/>
          <w:b/>
          <w:bCs/>
          <w:sz w:val="24"/>
          <w:szCs w:val="24"/>
          <w:lang w:eastAsia="x-none"/>
        </w:rPr>
      </w:pPr>
      <w:bookmarkStart w:id="21" w:name="_Toc223683816"/>
      <w:bookmarkStart w:id="22" w:name="_Toc234506872"/>
      <w:bookmarkStart w:id="23" w:name="_Toc234506769"/>
      <w:r>
        <w:rPr>
          <w:rFonts w:eastAsia="Calibri"/>
          <w:b/>
          <w:bCs/>
          <w:sz w:val="24"/>
          <w:szCs w:val="24"/>
          <w:lang w:eastAsia="x-none"/>
        </w:rPr>
        <w:t>Таблица 1 - Основные характеристики Загорской ГАЭС-2</w:t>
      </w:r>
      <w:bookmarkEnd w:id="21"/>
      <w:bookmarkEnd w:id="22"/>
      <w:bookmarkEnd w:id="23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9"/>
        <w:gridCol w:w="6128"/>
        <w:gridCol w:w="3064"/>
      </w:tblGrid>
      <w:tr>
        <w:trPr>
          <w:tblHeader w:val="true"/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Calibri" w:cs="Calibri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Calibri" w:cs="Calibri"/>
                <w:bCs/>
                <w:sz w:val="24"/>
                <w:szCs w:val="24"/>
              </w:rPr>
              <w:t>Параметр</w:t>
            </w:r>
          </w:p>
        </w:tc>
      </w:tr>
      <w:tr>
        <w:trPr>
          <w:tblHeader w:val="true"/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Calibri" w:cs="Calibri"/>
                <w:bCs/>
                <w:sz w:val="24"/>
                <w:szCs w:val="24"/>
              </w:rP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Calibri" w:cs="Calibri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Calibri" w:cs="Calibri"/>
                <w:bCs/>
                <w:sz w:val="24"/>
                <w:szCs w:val="24"/>
              </w:rPr>
              <w:t>3</w:t>
            </w:r>
          </w:p>
        </w:tc>
      </w:tr>
      <w:tr>
        <w:trPr>
          <w:trHeight w:val="454" w:hRule="atLeast"/>
          <w:cantSplit w:val="true"/>
        </w:trPr>
        <w:tc>
          <w:tcPr>
            <w:tcW w:w="7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1.1</w:t>
            </w:r>
          </w:p>
        </w:tc>
        <w:tc>
          <w:tcPr>
            <w:tcW w:w="61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Наименование ГАЭС</w:t>
            </w:r>
          </w:p>
        </w:tc>
        <w:tc>
          <w:tcPr>
            <w:tcW w:w="30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Загорская ГАЭС-2</w:t>
            </w:r>
          </w:p>
        </w:tc>
      </w:tr>
      <w:tr>
        <w:trPr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Установленная мощность ГАЭС-2, МВт:</w:t>
            </w:r>
          </w:p>
          <w:p>
            <w:pPr>
              <w:pStyle w:val="Normal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- в турбинном режиме</w:t>
            </w:r>
          </w:p>
          <w:p>
            <w:pPr>
              <w:pStyle w:val="Normal"/>
              <w:spacing w:before="0" w:after="120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- в насосном режиме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Не менее 840</w:t>
            </w:r>
          </w:p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Не более 1000</w:t>
            </w:r>
          </w:p>
        </w:tc>
      </w:tr>
      <w:tr>
        <w:trPr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1.3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Тип станции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Деривационная</w:t>
            </w:r>
          </w:p>
        </w:tc>
      </w:tr>
      <w:tr>
        <w:trPr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размеры машинного зала здания ГАЭС (Д×Ш), м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106,83×74,33</w:t>
            </w:r>
          </w:p>
        </w:tc>
      </w:tr>
      <w:tr>
        <w:trPr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Геометрические размеры монтажной площадки (Д×Ш), м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35,00×23,50</w:t>
            </w:r>
          </w:p>
        </w:tc>
      </w:tr>
      <w:tr>
        <w:trPr>
          <w:trHeight w:val="454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монтажной площадки, м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149,850</w:t>
            </w:r>
          </w:p>
        </w:tc>
      </w:tr>
    </w:tbl>
    <w:p>
      <w:pPr>
        <w:pStyle w:val="Normal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</w:r>
    </w:p>
    <w:p>
      <w:pPr>
        <w:pStyle w:val="Normal"/>
        <w:jc w:val="right"/>
        <w:rPr>
          <w:rFonts w:eastAsia="Calibri"/>
          <w:b/>
          <w:bCs/>
          <w:sz w:val="24"/>
          <w:szCs w:val="24"/>
          <w:lang w:eastAsia="x-none"/>
        </w:rPr>
      </w:pPr>
      <w:bookmarkStart w:id="24" w:name="_Toc223683817"/>
      <w:bookmarkStart w:id="25" w:name="_Toc234506770"/>
      <w:bookmarkStart w:id="26" w:name="_Toc234506873"/>
      <w:r>
        <w:rPr>
          <w:rFonts w:eastAsia="Calibri"/>
          <w:b/>
          <w:bCs/>
          <w:sz w:val="24"/>
          <w:szCs w:val="24"/>
          <w:lang w:eastAsia="x-none"/>
        </w:rPr>
        <w:t>Таблица 2 - Климатические условия</w:t>
      </w:r>
      <w:bookmarkEnd w:id="24"/>
      <w:bookmarkEnd w:id="25"/>
      <w:bookmarkEnd w:id="26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30"/>
        <w:gridCol w:w="6137"/>
        <w:gridCol w:w="3054"/>
      </w:tblGrid>
      <w:tr>
        <w:trPr>
          <w:tblHeader w:val="true"/>
          <w:trHeight w:val="465" w:hRule="atLeast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61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Значение</w:t>
            </w:r>
          </w:p>
        </w:tc>
      </w:tr>
      <w:tr>
        <w:trPr>
          <w:tblHeader w:val="true"/>
          <w:trHeight w:val="192" w:hRule="atLeast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>
        <w:trPr>
          <w:trHeight w:val="292" w:hRule="atLeast"/>
        </w:trPr>
        <w:tc>
          <w:tcPr>
            <w:tcW w:w="7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Сейсмичность района установки согласно СП 14.13330.2014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баллов по шкале MSK-64</w:t>
            </w:r>
          </w:p>
        </w:tc>
      </w:tr>
      <w:tr>
        <w:trPr>
          <w:trHeight w:val="220" w:hRule="atLeast"/>
        </w:trPr>
        <w:tc>
          <w:tcPr>
            <w:tcW w:w="7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Температура воздуха, ºС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согласно СП 131.13330.2018 «Строительная климатология». Актуализированная редакция СНиП 23-01-99*.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4" w:hRule="atLeast"/>
        </w:trPr>
        <w:tc>
          <w:tcPr>
            <w:tcW w:w="7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температура воздуха наиболее холодной пятидневки, °С, обеспеченностью 0,92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минус 28</w:t>
            </w:r>
          </w:p>
        </w:tc>
      </w:tr>
      <w:tr>
        <w:trPr>
          <w:trHeight w:val="104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температура воздуха наиболее холодных суток, °С, обеспеченностью 0,98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минус 36</w:t>
            </w:r>
          </w:p>
        </w:tc>
      </w:tr>
      <w:tr>
        <w:trPr>
          <w:trHeight w:val="104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абсолютная минимальная температура воздуха, °С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минус 43</w:t>
            </w:r>
          </w:p>
        </w:tc>
      </w:tr>
      <w:tr>
        <w:trPr>
          <w:trHeight w:val="201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средняя месячная относительная влажность воздуха наиболее холодного месяца, %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>
        <w:trPr>
          <w:trHeight w:val="201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средняя максимальная температура воздуха наиболее теплого месяца, °С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+22,7</w:t>
            </w:r>
          </w:p>
        </w:tc>
      </w:tr>
      <w:tr>
        <w:trPr>
          <w:trHeight w:val="740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абсолютная максимальная температура воздуха, °С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+36</w:t>
            </w:r>
          </w:p>
        </w:tc>
      </w:tr>
      <w:tr>
        <w:trPr>
          <w:trHeight w:val="162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средняя месячная относительная влажность воздуха наиболее теплого месяца, %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>
        <w:trPr>
          <w:trHeight w:val="162" w:hRule="atLeast"/>
        </w:trPr>
        <w:tc>
          <w:tcPr>
            <w:tcW w:w="730" w:type="dxa"/>
            <w:vMerge w:val="continue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барометрическое давление, гПа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</w:t>
            </w:r>
          </w:p>
        </w:tc>
      </w:tr>
    </w:tbl>
    <w:p>
      <w:pPr>
        <w:pStyle w:val="Heading2"/>
        <w:tabs>
          <w:tab w:val="clear" w:pos="0"/>
        </w:tabs>
        <w:ind w:hanging="0" w:left="0"/>
        <w:jc w:val="right"/>
        <w:rPr/>
      </w:pPr>
      <w:r>
        <w:rPr/>
      </w:r>
    </w:p>
    <w:p>
      <w:pPr>
        <w:pStyle w:val="Heading2"/>
        <w:tabs>
          <w:tab w:val="clear" w:pos="0"/>
        </w:tabs>
        <w:spacing w:before="0" w:after="0"/>
        <w:ind w:hanging="0" w:left="0"/>
        <w:jc w:val="right"/>
        <w:rPr/>
      </w:pPr>
      <w:bookmarkStart w:id="27" w:name="_Toc240289522"/>
      <w:r>
        <w:rPr/>
        <w:t>Таблица 3 – Перечень объектов Заказчика.</w:t>
      </w:r>
      <w:bookmarkEnd w:id="27"/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08"/>
        <w:gridCol w:w="1425"/>
        <w:gridCol w:w="1922"/>
        <w:gridCol w:w="3120"/>
        <w:gridCol w:w="2946"/>
      </w:tblGrid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основного средства (в отношении которого выполняются работы)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>
        <w:trPr/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Загорская ГАЭС-2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141342, Московская область, г. Сергиев Посад, р.п. Богородское, строительная площадка Загорской ГАЭС-2 (д. 101)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пожарной автоматики (СПА) Загорской ГАЭС-2, ОКПД 2 26.30.50, код ОКОФ 330.26.30.50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Новое основное средство</w:t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Heading2"/>
        <w:numPr>
          <w:ilvl w:val="1"/>
          <w:numId w:val="3"/>
        </w:numPr>
        <w:rPr/>
      </w:pPr>
      <w:bookmarkStart w:id="28" w:name="_Toc240289523"/>
      <w:bookmarkStart w:id="29" w:name="_Toc235117294"/>
      <w:bookmarkStart w:id="30" w:name="_Toc54785614"/>
      <w:bookmarkStart w:id="31" w:name="_Toc184726123"/>
      <w:bookmarkStart w:id="32" w:name="_Toc46743509"/>
      <w:bookmarkStart w:id="33" w:name="_Hlk49857604"/>
      <w:r>
        <w:rPr/>
        <w:t xml:space="preserve">Информация в отношении исполнения договора, </w:t>
      </w:r>
      <w:bookmarkStart w:id="34" w:name="_Hlk46492347"/>
      <w:r>
        <w:rPr/>
        <w:t xml:space="preserve">которая должна быть учтена при подготовке заявки </w:t>
      </w:r>
      <w:bookmarkEnd w:id="34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28"/>
      <w:bookmarkEnd w:id="29"/>
      <w:bookmarkEnd w:id="30"/>
      <w:bookmarkEnd w:id="31"/>
      <w:bookmarkEnd w:id="32"/>
      <w:bookmarkEnd w:id="33"/>
    </w:p>
    <w:p>
      <w:pPr>
        <w:pStyle w:val="Heading2"/>
        <w:tabs>
          <w:tab w:val="clear" w:pos="0"/>
        </w:tabs>
        <w:spacing w:before="0" w:after="0"/>
        <w:ind w:hanging="0" w:left="431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  <w:t>Заказчик предоставит поставщику:</w:t>
      </w:r>
    </w:p>
    <w:p>
      <w:pPr>
        <w:pStyle w:val="Heading2"/>
        <w:tabs>
          <w:tab w:val="clear" w:pos="0"/>
        </w:tabs>
        <w:spacing w:before="0" w:after="0"/>
        <w:ind w:hanging="0" w:left="431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  <w:t>- площадку для разгрузки оборудования;</w:t>
      </w:r>
    </w:p>
    <w:p>
      <w:pPr>
        <w:pStyle w:val="Heading2"/>
        <w:tabs>
          <w:tab w:val="clear" w:pos="0"/>
        </w:tabs>
        <w:spacing w:before="0" w:after="0"/>
        <w:ind w:hanging="0" w:left="431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  <w:t>- места подключения временных коммуникаций.</w:t>
      </w:r>
    </w:p>
    <w:p>
      <w:pPr>
        <w:pStyle w:val="Heading2"/>
        <w:tabs>
          <w:tab w:val="clear" w:pos="0"/>
        </w:tabs>
        <w:spacing w:before="0" w:after="0"/>
        <w:ind w:hanging="0" w:left="431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  <w:t>- исходные данные по запросу Подрядчика.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Для выполнения работ Заказчик, на основании обращения Подрядчика, выдает технические условия и предоставляет Подрядчику точку подключения энергопринимающих устройств. Все работы по обеспечению систем энергоснабжения и учета энергоресурсов выполняется силами и средствами Подрядчика. Электроэнергия, потребляемая Подрядчиком, подлежит возмещению Заказчику в порядке и размерах, установленных Договором.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Все поставляемое электрооборудование должно быть включено в реестр промышленной продукции, произведенной на территории Российской Федерации или произведенной на территории государства – члена Евразийского экономического союза, предусмотренный постановлением Правительства Российской Федерации от 23.12.2024 № 1875, включено в единый реестр российской радиоэлектронной продукции, предусмотренный постановлением Правительства Российской Федерации от 10.07.2019 № 878.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Национальный режим предоставляется.</w:t>
      </w:r>
    </w:p>
    <w:p>
      <w:pPr>
        <w:pStyle w:val="Heading2"/>
        <w:numPr>
          <w:ilvl w:val="1"/>
          <w:numId w:val="3"/>
        </w:numPr>
        <w:rPr/>
      </w:pPr>
      <w:bookmarkStart w:id="35" w:name="_Toc240289524"/>
      <w:bookmarkStart w:id="36" w:name="_Toc184726124"/>
      <w:bookmarkStart w:id="37" w:name="_Toc235117295"/>
      <w:bookmarkStart w:id="38" w:name="_Toc54785615"/>
      <w:r>
        <w:rPr/>
        <w:t>Иные требования и сведения общего характера</w:t>
      </w:r>
      <w:bookmarkEnd w:id="35"/>
      <w:bookmarkEnd w:id="36"/>
      <w:bookmarkEnd w:id="37"/>
      <w:bookmarkEnd w:id="38"/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Подрядчик, до заключения договора, должен предоставить Заказчику информацию с указанием конкретных сроков изготовления и поставки оборудования, а также предлагаемые гарантийные сроки на результат работ.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hanging="0" w:left="0"/>
        <w:rPr/>
      </w:pPr>
      <w:bookmarkStart w:id="39" w:name="_Toc235117296"/>
      <w:bookmarkStart w:id="40" w:name="_Toc51339693"/>
      <w:bookmarkStart w:id="41" w:name="_Toc184726125"/>
      <w:bookmarkStart w:id="42" w:name="_Toc234506773"/>
      <w:bookmarkStart w:id="43" w:name="_Toc240289525"/>
      <w:r>
        <w:rPr/>
        <w:t>Требования к продукции</w:t>
      </w:r>
      <w:bookmarkEnd w:id="39"/>
      <w:bookmarkEnd w:id="40"/>
      <w:bookmarkEnd w:id="41"/>
      <w:bookmarkEnd w:id="42"/>
      <w:bookmarkEnd w:id="43"/>
    </w:p>
    <w:p>
      <w:pPr>
        <w:pStyle w:val="Heading2"/>
        <w:numPr>
          <w:ilvl w:val="1"/>
          <w:numId w:val="3"/>
        </w:numPr>
        <w:rPr/>
      </w:pPr>
      <w:bookmarkStart w:id="44" w:name="_Toc184726126"/>
      <w:bookmarkStart w:id="45" w:name="_Toc240289526"/>
      <w:bookmarkStart w:id="46" w:name="_Toc234506774"/>
      <w:bookmarkStart w:id="47" w:name="_Toc235117297"/>
      <w:r>
        <w:rPr/>
        <w:t>Требования к объемам и срокам</w:t>
      </w:r>
      <w:bookmarkEnd w:id="44"/>
      <w:bookmarkEnd w:id="45"/>
      <w:bookmarkEnd w:id="46"/>
      <w:bookmarkEnd w:id="47"/>
    </w:p>
    <w:p>
      <w:pPr>
        <w:pStyle w:val="Heading2"/>
        <w:numPr>
          <w:ilvl w:val="2"/>
          <w:numId w:val="10"/>
        </w:numPr>
        <w:rPr/>
      </w:pPr>
      <w:bookmarkStart w:id="48" w:name="_Toc235117298"/>
      <w:bookmarkStart w:id="49" w:name="_Toc184726127"/>
      <w:bookmarkStart w:id="50" w:name="_Toc234506775"/>
      <w:bookmarkStart w:id="51" w:name="_Toc240289527"/>
      <w:bookmarkStart w:id="52" w:name="_Toc75446575"/>
      <w:r>
        <w:rPr/>
        <w:t>Перечень и объем закупаемой продукции</w:t>
      </w:r>
      <w:bookmarkEnd w:id="48"/>
      <w:bookmarkEnd w:id="49"/>
      <w:bookmarkEnd w:id="50"/>
      <w:bookmarkEnd w:id="51"/>
      <w:bookmarkEnd w:id="52"/>
    </w:p>
    <w:p>
      <w:pPr>
        <w:pStyle w:val="Normal"/>
        <w:ind w:firstLine="709"/>
        <w:jc w:val="both"/>
        <w:rPr>
          <w:rFonts w:eastAsia="Calibri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Для достижения цели использования закупаемой продукции Подрядчик обязан вы-полнить следующие задачи</w:t>
      </w:r>
      <w:r>
        <w:rPr>
          <w:rFonts w:eastAsia="Calibri"/>
          <w:sz w:val="24"/>
          <w:szCs w:val="24"/>
          <w:lang w:eastAsia="x-none"/>
        </w:rPr>
        <w:t>: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разработку конструкторской документации (КД) на изготовление оборудования СПА;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проведение испытаний СПА на производственной площадке Подрядчика, в том числе, в присутствии Заказчика;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поставку (в том числе упаковку, страхование, транспортировку, разгрузку, перемещение по территории Заказчика) оборудования и комплектующих СПА (включая ЗИП). Комплексная поставка оборудования, материалов и комплектующих, включая ЗИП, должна быть выполнена с транспортировкой до места складирования.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разработку программного обеспечения (при необходимости);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выполнение строительно-монтажных и пусконаладочных работ на поставляемом оборудовании в соответствии с настоящими ТТ и приложениями к нему;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разработку индивидуальной программы приемо-сдаточных испытаний, ее согласование с Заказчиком. Проведение заводских испытаний и участие в рабочей комиссии при проведении приемо-сдаточных испытаний и комплексном опробовании на месте монтажа;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разработку эксплуатационной документации на оборудование, согласование документации с Заказчиком и Генеральным проектировщиком;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техническую подготовку (консультирование) персонала Заказчика к эксплуатации, техническому обслуживанию и ремонту оборудования СПА в объеме настоящих ТТ на производственной площадке Заказчика;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гарантийное обслуживание. Данный вид обслуживания должен быть организован Подрядчиком в течение гарантийного срока эксплуатации смонтированного оборудования.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Работы необходимо выполнить в таком объеме, который позволит начать эксплуатацию СПА без закупки Заказчиком дополнительных объемов каких-либо материалов, оборудования, работ и услуг. 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Подрядчик обязан выполнить полный объем работ, даже если оборудование или работа, которую необходимо провести, конкретно не указана в объеме поставок, в том случае, если эта работа не меняет характера поставки и не содержит общестроительных работ. 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объем работ по поставке настоящих ТТ не входит: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технологическое оборудование автоматических установок водяного пожаротушения: трубопроводы, насосы, задвижки, электрозадвижки, технологическое оборудование общеобменной и противодымной вентиляции: клапаны, вентиляторы, короба и т.д.;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оборудование пожаротушения гидрогенераторов: шкаф управления автоматической установкой пожаротушения гидрогенератора (ШПА ГГ), шкаф управления задвижкой (ШУЗ), автоматические пожарные извещатели в шахте гидрогенератора, магнитоконтактные извещатели на дверях в шахту, оборудование оповещения (учтено соответствующими ТТ) и т.д.;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шкафы управления насосами, вентиляторами, электрозадвижками;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системы пожаротушения дизельгенераторной установки водоприемника (далее ДГУ) – оборудование поставляется для ДГУ в комплекте в рамках отдельного титула ТТ.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Минимальный объем закупаемого оборудования российского происхождения должен соответствовать постановлению Правительства Российской Федерации от 23.12.2024 № 1875.Перечень и объем закупаемых материально-технических ресурсов (МТР) представлен в таблице 4.1.</w:t>
      </w:r>
    </w:p>
    <w:p>
      <w:pPr>
        <w:pStyle w:val="Heading2"/>
        <w:tabs>
          <w:tab w:val="clear" w:pos="0"/>
        </w:tabs>
        <w:ind w:hanging="0" w:left="0"/>
        <w:jc w:val="right"/>
        <w:rPr/>
      </w:pPr>
      <w:bookmarkStart w:id="53" w:name="_Toc240289528"/>
      <w:bookmarkStart w:id="54" w:name="_Toc75446576"/>
      <w:bookmarkStart w:id="55" w:name="_Toc184726128"/>
      <w:bookmarkStart w:id="56" w:name="_Toc234506776"/>
      <w:bookmarkStart w:id="57" w:name="_Toc235117299"/>
      <w:bookmarkStart w:id="58" w:name="_Toc51339695"/>
      <w:r>
        <w:rPr/>
        <w:t xml:space="preserve">Таблица 4.1 Перечень </w:t>
      </w:r>
      <w:bookmarkEnd w:id="58"/>
      <w:r>
        <w:rPr/>
        <w:t>и объем закупаем</w:t>
      </w:r>
      <w:bookmarkEnd w:id="54"/>
      <w:bookmarkEnd w:id="55"/>
      <w:bookmarkEnd w:id="56"/>
      <w:bookmarkEnd w:id="57"/>
      <w:r>
        <w:rPr/>
        <w:t>ых МТР</w:t>
      </w:r>
      <w:bookmarkEnd w:id="53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9"/>
        <w:gridCol w:w="4904"/>
        <w:gridCol w:w="2010"/>
        <w:gridCol w:w="2147"/>
      </w:tblGrid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9"/>
        <w:gridCol w:w="4904"/>
        <w:gridCol w:w="2010"/>
        <w:gridCol w:w="2147"/>
      </w:tblGrid>
      <w:tr>
        <w:trPr>
          <w:tblHeader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Здание СПК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станция АРМ с установленным программным обеспечением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индикации и управления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клавиатура+мышь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АВР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Групповой контроллер (ГК)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Контроллер адресных устройств (КАУ)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Терминальный пульт управления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ШПА.1.1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16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12В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ШПА.1.2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ШПА.ОВ.1.1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ШПА.ОВ.1.2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ШПА.ОВ.1.3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ШПА.ОВ.1.4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ШПА.ОВ.1.5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ШПА.ОВ.1.6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ШПА.ОВ.1.7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ШПА.ОВ.1.8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ШПА.ОВ.1.9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Релейный модуль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ШПА.ВП.1.1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ШПА.ВП.1.2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ШПА.ВП.1.3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1.1.19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ШПА.ВП.1.4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1.1.20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пожарной автоматики ШПА.ВП.1.5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Адресная метка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СОУЭ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1.1.21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управления оповещением пожарный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1.1.22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Пульт микрофонный на 20 зон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Оконечное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Автоматические и ручные пожарные извещатели: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дымовой оптико-электронный адресно-аналоговый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 базовый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дымовой оптико-электронный адресно-аналоговый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дымовой линейный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ручной электроконтактный адресный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дистанционного пуска электроконтактное адресное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и звуковые оповещатели: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комбинированный светозвуковой адресный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УХОДИ»)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НЕ ВХОДИ»)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«АВТОМАТИКА ОТКЛЮЧЕНА»)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1.5Вт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3Вт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6Вт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оконечный для трансляционной линии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 оборудование: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автоматики дымоудаления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Магнитоконтактный извещатель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1.2.19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1.2.20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Тестер адресных линий связи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 и материалы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1x2x0,75 (АЛС,</w:t>
            </w:r>
            <w:r>
              <w:rPr>
                <w:sz w:val="24"/>
                <w:szCs w:val="24"/>
                <w:lang w:val="en-US"/>
              </w:rPr>
              <w:t>PFM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(кабель-канале из самозатухающего ПВХ пластика)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2x2x0,75 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1x2x1,5 (СОУЭ).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связи СПЕЦЛАН UTP-5нг(А)-FRHF 4x2x0,52 (интерфейс </w:t>
            </w:r>
            <w:r>
              <w:rPr>
                <w:sz w:val="24"/>
                <w:szCs w:val="24"/>
                <w:lang w:val="en-US"/>
              </w:rPr>
              <w:t>DAP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(кабель-канале из самозатухающего ПВХ пластика)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КУНРС Внг(А)-FRLS 2х1,5 (питмние 12/24В).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1.3.6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оптический универсальный диэлектрический, не распространяющий горение, с низким дымовыделением (SM, 4 волокон) G.652.D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Здание ГАЭС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Контроллер адресных устройств (КАУ)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Терминальный пульт управления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ШПА.2.1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8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ШПА.2.2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8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ШПА.2.3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5" w:hRule="atLeast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ШПА.ОВ.2.3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ШПА.ОВ.2.4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ШПА.ОВ.2.5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ШПА.ОВ.2.6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ШПА.ОВ.2.7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ШПА.ОВ.2.8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ШПА.ОВ.2.9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ШПА.ОВ.2.10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ШПА.ВП.2.3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2.1.19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ШПА.ВП.2.4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ШПА.ВП.2.5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ШПА.ВП.2.6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ШПА.ВП.2.7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ШПА.ВП.2.8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IP65,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ШПА.ВП.2.9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ШПА.ВП.2.10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ШПА.ВП.2.13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2.1.29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ШПА.ВП.2.14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ШПА.2.4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16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12В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ШПА.ОВ.2.11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ШПА.ВП.2.15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ШПА.ВП.2.16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СОУЭ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системы оповещения,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Моноблок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контроллер управления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питания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 12В - 17 А/ч.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Полка усиленная для АКБ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Фальшпанель в шкаф 19" 3U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Фальшпанель в шкаф 19" 1U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 12В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Кожух для моноблоков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телекоммуникационный напольный, 22U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монтажный №2 (50 шт/уп) ЦМО (КМ-2-50) - (винт, шайба, гайка с защелкой), упаковка 50 шт.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вентиляторный, 2 вентилятора с терморегулятором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Силовой блок распределения питания по стойке оповещения на 3 выхода POWERCON разъемах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розеток 1U, 8 розеток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Коннектор powerCON (out)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Пульт микрофонный СОУЭ Sonar SRM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управления оповещением пожарный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2.1.37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управления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Оконечное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Автоматические и ручные пожарные извещатели: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Извещатель пожарный дымовой оптико-электронный адресно-аналоговый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 базовый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дымовой линейный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комбинированный дымовой оптико-электронный тепловой максимально-дифференциальный адресно-аналоговый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тепловой максимально-дифференциальный адресно-аналоговый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ручной электроконтактный адресный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дистанционного пуска электроконтактное адресное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и звуковые оповещатели: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комбинированный светозвуковой адресный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УХОДИ»)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НЕ ВХОДИ»)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«АВТОМАТИКА ОТКЛЮЧЕНА»)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1.5Вт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3Вт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6Вт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Громкоговоритель рупорный трансляционный, 100В, 10Вт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Громкоговоритель рупорный трансляционный, 100В, 30Вт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оконечный для трансляционной линии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 оборудование: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автоматики дымоудаления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2.2.19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2.2.20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2.2.21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2.2.22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монтажная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2.2.23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Магнитоконтактный извещатель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2.2.24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Тестер адресных линий связи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 и материалы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1x2x0,75 (АЛС,</w:t>
            </w:r>
            <w:r>
              <w:rPr>
                <w:sz w:val="24"/>
                <w:szCs w:val="24"/>
                <w:lang w:val="en-US"/>
              </w:rPr>
              <w:t>PFM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12695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(кабель-канале из самозатухающего ПВХ пластика)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1x2x0,75(управление).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2x2x0,75 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4x2x0,75 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(СОУЭ) 1x2x1,5.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связи СПЕЦЛАН UTP-5нг(А)-FRHF 4x2x0,52 (интерфейс </w:t>
            </w:r>
            <w:r>
              <w:rPr>
                <w:sz w:val="24"/>
                <w:szCs w:val="24"/>
                <w:lang w:val="en-US"/>
              </w:rPr>
              <w:t>DAP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составе комплектной ОКЛ (кабель-канале из самозатухающего ПВХ пластика) с кабеленесущими и крепежными материалами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2.3.7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КУНРС Внг(А)-FRLS 2х1,5 (питание 12/24В).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Здание Водоприемника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Контроллер адресных устройств (КАУ)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Терминальный пульт управления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ШПА.3.1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16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12В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ШПА.ОВ.3.1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ШПА.ОВ.3.2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ШПА.ОВ.3.3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ШПА.ОВ.3.4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ШПА.ОВ.3.5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ШПА.ВП.3.1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ШПА.ВП.3.2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СОУЭ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управления оповещением пожарный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3.1.12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Пульт микрофонный на 10 зон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Оконечное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Автоматические и ручные пожарные извещатели: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Извещатель пожарный дымовой оптико-электронный адресно-аналоговый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 базовый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дымовой линейный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ручной электроконтактный адресный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дистанционного пуска электроконтактное адресное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и звуковые оповещатели: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комбинированный светозвуковой адресный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УХОДИ»)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НЕ ВХОДИ»)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«АВТОМАТИКА ОТКЛЮЧЕНА»)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1.5Вт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3Вт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6Вт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Громкоговоритель рупорный трансляционный, 100В, 10Вт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оконечный для трансляционной линии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 оборудование: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автоматики дымоудаления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3.2.19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Магнитоконтактный извещатель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3.2.20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монтажная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3.2.21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Тестер адресных линий связи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 и материалы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3.3.1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1x2x0,75 (АЛС,</w:t>
            </w:r>
            <w:r>
              <w:rPr>
                <w:sz w:val="24"/>
                <w:szCs w:val="24"/>
                <w:lang w:val="en-US"/>
              </w:rPr>
              <w:t>PFM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(кабель-канале из самозатухающего ПВХ пластика)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3.3.2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2x2x0,75 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lang w:val="en-US"/>
              </w:rPr>
              <w:t>3.3.</w:t>
            </w:r>
            <w:r>
              <w:rPr/>
              <w:t>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1x2x1,5(СОУЭ).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жестких ПВХ трубах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lang w:val="en-US"/>
              </w:rPr>
              <w:t>3.3.</w:t>
            </w:r>
            <w:r>
              <w:rPr/>
              <w:t>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связи СПЕЦЛАН UTP-5нг(А)-FRHF 4x2x0,52 (интерфейсная </w:t>
            </w:r>
            <w:r>
              <w:rPr>
                <w:sz w:val="24"/>
                <w:szCs w:val="24"/>
                <w:lang w:val="en-US"/>
              </w:rPr>
              <w:t>DAP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составе комплектной ОКЛ (кабель-канале из самозатухающего ПВХ пластика) с кабеленесущими и крепежными материалами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>
                <w:lang w:val="en-US"/>
              </w:rPr>
              <w:t>3.3.</w:t>
            </w:r>
            <w:r>
              <w:rPr/>
              <w:t>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КУНРС Внг(А)-FRLS 2х1,5 (питание 12/24В).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Здание КПП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4.1.1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Контроллер адресных устройств (КАУ)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4.1.2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Терминальный пульт управления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4.1.3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ШПА.4.1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16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12В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СОУЭ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4.1.4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управления оповещением пожарный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4.1.5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Пульт микрофонный на 10 зон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Оконечное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Автоматические и ручные пожарные извещатели: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Извещатель пожарный дымовой оптико-электронный адресно-аналоговый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дымовой оптико-электронный адресно-аналоговый (для подвесного потолка)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 базовый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ручной электроконтактный адресный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и звуковые оповещатели: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пожарный речевой встраиваемый, 100В, 1.5Вт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оконечный для трансляционной линии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 оборудование: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4.2.7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Тестер адресных линий связи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4.3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 и материалы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4.3.1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связи КПСЭнг(A)-FRLS 1x2x0,75 (АЛС, </w:t>
            </w:r>
            <w:r>
              <w:rPr>
                <w:sz w:val="24"/>
                <w:szCs w:val="24"/>
                <w:lang w:val="en-US"/>
              </w:rPr>
              <w:t>PFM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(кабель-канале из самозатухающего ПВХ пластика)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4.3.2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2x2x0,75 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4.3.3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1x2x1,5 (СОУЭ).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4.3.4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связи СПЕЦЛАН UTP-5нг(А)-FRHF 4x2x0,52 (интерфейсная </w:t>
            </w:r>
            <w:r>
              <w:rPr>
                <w:sz w:val="24"/>
                <w:szCs w:val="24"/>
                <w:lang w:val="en-US"/>
              </w:rPr>
              <w:t>DAP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составе комплектной ОКЛ (кабель-канале из самозатухающего ПВХ пластика) с кабеленесущими и крепежными материалами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4.3.5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КУНРС Внг(А)-FRLS 2х1,5 (питание 12/24В).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Здание ДЭС ГАЭС-СПК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5.1.1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Контроллер адресных устройств (КАУ)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5.1.2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Терминальный пульт управления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5.1.3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ШПА.5.1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16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преобразователь оптико-электронный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резервного питания на 24В с 2 АКБ по 40 Ач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5.1.4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компонентный ШПА.5.2 в сборе, в составе: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Шкаф, IP54, 230В, кросс оптический 16 ОВ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релейный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Оконечное оборудование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Автоматические и ручные пожарные извещатели: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5.2.1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Извещатель пожарный дымовой оптико-электронный адресно-аналоговый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5.2.2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 базовый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5.2.3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комбинированный дымовой оптико-электронный тепловой максимально-дифференциальный адресно-аналоговый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5.2.4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Извещатель пожарный ручной электроконтактный адресный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>
                <w:rFonts w:eastAsia="Times New Roman"/>
              </w:rPr>
            </w:pPr>
            <w:r>
              <w:rPr/>
              <w:t>5.2.5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дистанционного пуска электроконтактное адресное со встроенным изолятором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и звуковые оповещатели: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комбинированный светозвуковой адресный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УХОДИ»)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«ПОЖАР НЕ ВХОДИ»)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Оповещатель охранно-пожарный световой (табличка: «АВТОМАТИКА ОТКЛЮЧЕНА»)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 оборудование: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автоматики дымоудаления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4 шлейфа)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Метка адресная (на 1 шлейф)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 короткого замыкания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выхода с контролем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Магнитоконтактный извещатель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Кнопка "Стоп"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5.2.18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Тестер адресных линий связи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Технологическое оборудование АУПП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порошкового пожаротушения "лавина"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Сгон Ду50 в/к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Отвод сталь 57х3,0 (Ду50)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Крестовина 57х2,5 (Ду50)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сталь 57х3,0-25х1,6  (Ду50х20)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сталь 57х3,0-45х2,5  (Ду50х40)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Крестовина 45х2,5 (Ду40)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сталь 45х2,5-32х2,0 (Ду40х25)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сталь 45х2,5-38х2,0 (Ду40х32)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Тройник сталь 42,4х2,6 (Ду32)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сталь 38х2,0-32х2,0 (Ду32х25)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Угольник чугун Ду25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Насадок-распылитель НР-25.6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Труба 57х3,5 (Ду50)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Труба 45х2,5 (Ду40)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38х3 (Ду32)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5.3.17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30х2,5 (Ду25)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 и материалы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5.4.1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1x2x0,75 (АЛС,</w:t>
            </w:r>
            <w:r>
              <w:rPr>
                <w:sz w:val="24"/>
                <w:szCs w:val="24"/>
                <w:lang w:val="en-US"/>
              </w:rPr>
              <w:t>PFM</w:t>
            </w:r>
            <w:r>
              <w:rPr>
                <w:sz w:val="24"/>
                <w:szCs w:val="24"/>
              </w:rPr>
              <w:t>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5.4.2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КПСЭнг(A)-FRLS 2x2x0,75 (управление).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5.4.3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связи КУНРС Внг(А)-FRLS 2х1,5 (питание 12/24В). Прокладка: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60" w:left="360"/>
              <w:jc w:val="center"/>
              <w:rPr/>
            </w:pPr>
            <w:r>
              <w:rPr/>
              <w:t>-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комплектной ОКЛ (гибкая гофрированная ПВХ) с кабеленесущими и крепежными материалами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Указанное в Таблице 4.1 количество оборудования, типы, характеристики должны быть уточнены по результатам разработки рабочей документации.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Подрядчик обязан обеспечить полную комплектность поставляемого оборудования, необходимую для его монтажа, пусконаладки, ввода в промышленную эксплуатацию и безупречного функционирования в течение гарантийного срока. Если для нормальной работы системы требуется оборудование, программное обеспечение, расходные материалы или работы, не указанные напрямую в Таблице 4.1 и настоящих Технических требований, Подрядчик обязан включить их в объем поставки и представить Заказчику их обоснованный перечень.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Указанные в Таблице 4.1 характеристики, длины кабелей и элементы ОКЛ являются ориентировочными. Точные закупочные длины, конфигурация трасс и спецификация монтажных материалов определяются Подрядчиком на основании рабочей документации (РД) и проектов производства работ (ППР). В объем поставки в обязательном порядке входят: силовые и контрольные кабели шкафов управления с медными жилами (в исполнении, не распространяющем горение); все сопутствующие материалы для монтажа и прокладки кабельных линий (крепления, метизы, уплотнительные и окрасочные материалы, огнезащитные покрытия и теплоизоляция).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Все поставляемые комплектующие и оборудование должны быть новыми (не бывшими в употреблении, серийными изделиями последней разработки), с установленным программным обеспечением актуальной (последней) версии. Версия поставляемого ЗИП должна строго соответствовать аппаратным и программным версиям модулей системы на момент ввода в эксплуатацию.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объем поставки должен входить: комплект гарантийного ЗИП, объем которого должен гарантировать соблюдение проектных показателей готовности и оперативное устранение неисправностей в течение всего гарантийного периода (подтверждается прилагаемыми расчетами надежности). Комплект специнструмента и приборов, необходимых для монтажа, наладки, технического обслуживания и ремонта системы (включая специализированные тестеры для извещателей, калибраторы и проверочные устройства).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составе эксплуатационной документации Исполнитель обязан представить спецификацию гарантийного комплекта ЗИП, а также согласованный с Заказчиком перечень и регламент закупки ЗИП, необходимого для дальнейшей эксплуатации системы на протяжении всего срока службы (или на 5 лет пост-гарантийной эксплуатации).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Перечень и объем закупаемых сопутствующих работ/услуг указан в таблице 4.2.</w:t>
      </w:r>
    </w:p>
    <w:p>
      <w:pPr>
        <w:pStyle w:val="Heading2"/>
        <w:tabs>
          <w:tab w:val="clear" w:pos="0"/>
        </w:tabs>
        <w:ind w:hanging="0" w:left="0"/>
        <w:jc w:val="right"/>
        <w:rPr/>
      </w:pPr>
      <w:bookmarkStart w:id="59" w:name="_Toc184726129"/>
      <w:bookmarkStart w:id="60" w:name="_Toc235117300"/>
      <w:bookmarkStart w:id="61" w:name="_Toc234506777"/>
      <w:bookmarkStart w:id="62" w:name="_Toc240289529"/>
      <w:bookmarkStart w:id="63" w:name="_Toc75446577"/>
      <w:r>
        <w:rPr/>
        <w:t>Таблица 4.2 Перечень и объем закупаемых сопутствующих работ/услуг</w:t>
      </w:r>
      <w:bookmarkEnd w:id="59"/>
      <w:bookmarkEnd w:id="60"/>
      <w:bookmarkEnd w:id="61"/>
      <w:bookmarkEnd w:id="62"/>
      <w:bookmarkEnd w:id="63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9"/>
        <w:gridCol w:w="4904"/>
        <w:gridCol w:w="2010"/>
        <w:gridCol w:w="2147"/>
      </w:tblGrid>
      <w:tr>
        <w:trPr/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9"/>
        <w:gridCol w:w="4904"/>
        <w:gridCol w:w="2010"/>
        <w:gridCol w:w="2147"/>
      </w:tblGrid>
      <w:tr>
        <w:trPr>
          <w:tblHeader w:val="true"/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Разработка конструкторской документации (КД) на изготовление оборудования СПА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Разработка программного обеспечения (при необходимости)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Пусконаладочные работы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персонала Заказчика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Проведение испытаний СПА на производственной площадке Подрядчика / Завода-изготовителя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Разработка индивидуальной программы приемо-сдаточных испытаний, согласование ее с Заказчиком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Участие в рабочей комиссии при проведении приемо-сдаточных испытаний и комплексном опробовании на месте монтажа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Разработка эксплуатационной документации на оборудование, согласование документации с Заказчиком и Генпроектировщиком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true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rPr>
                <w:bCs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Гарантийное обслуживание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spacing w:lineRule="auto" w:line="2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После окончания строительно-монтажных и пусконаладочных работ подготовить к работе с поставляемым оборудованием эксплуатационный персонал на объекте Заказчика согласно условиям настоящих ТТ.</w:t>
      </w:r>
    </w:p>
    <w:p>
      <w:pPr>
        <w:pStyle w:val="Normal"/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2"/>
        <w:numPr>
          <w:ilvl w:val="2"/>
          <w:numId w:val="10"/>
        </w:numPr>
        <w:rPr/>
      </w:pPr>
      <w:bookmarkStart w:id="64" w:name="_Toc235117301"/>
      <w:bookmarkStart w:id="65" w:name="_Toc184726130"/>
      <w:bookmarkStart w:id="66" w:name="_Toc234506778"/>
      <w:bookmarkStart w:id="67" w:name="_Toc240289530"/>
      <w:bookmarkStart w:id="68" w:name="_Toc75446578"/>
      <w:r>
        <w:rPr/>
        <w:t>Требования к срокам поставки МТР и оказания сопутствующих услуг</w:t>
      </w:r>
      <w:bookmarkEnd w:id="64"/>
      <w:bookmarkEnd w:id="65"/>
      <w:bookmarkEnd w:id="66"/>
      <w:bookmarkEnd w:id="67"/>
      <w:bookmarkEnd w:id="68"/>
    </w:p>
    <w:p>
      <w:pPr>
        <w:pStyle w:val="Heading2"/>
        <w:tabs>
          <w:tab w:val="clear" w:pos="0"/>
        </w:tabs>
        <w:spacing w:before="0" w:after="0"/>
        <w:ind w:firstLine="454" w:left="0"/>
        <w:rPr>
          <w:b w:val="false"/>
          <w:bCs w:val="false"/>
        </w:rPr>
      </w:pPr>
      <w:bookmarkStart w:id="69" w:name="_Toc240289531"/>
      <w:r>
        <w:rPr>
          <w:b w:val="false"/>
          <w:bCs w:val="false"/>
        </w:rPr>
        <w:t>Требования к срокам поставки МТР указаны в Таблице 5.1.</w:t>
      </w:r>
      <w:bookmarkEnd w:id="69"/>
    </w:p>
    <w:p>
      <w:pPr>
        <w:pStyle w:val="Normal"/>
        <w:numPr>
          <w:ilvl w:val="0"/>
          <w:numId w:val="0"/>
        </w:numPr>
        <w:ind w:firstLine="454" w:left="0"/>
        <w:outlineLvl w:val="1"/>
        <w:rPr>
          <w:sz w:val="24"/>
          <w:szCs w:val="24"/>
        </w:rPr>
      </w:pPr>
      <w:bookmarkStart w:id="70" w:name="_Toc240289532"/>
      <w:r>
        <w:rPr>
          <w:sz w:val="24"/>
          <w:szCs w:val="24"/>
        </w:rPr>
        <w:t>Требования к срокам выполнения сопутствующих работ/услуг указаны в Таблице 5.2.</w:t>
      </w:r>
      <w:bookmarkEnd w:id="70"/>
    </w:p>
    <w:p>
      <w:pPr>
        <w:pStyle w:val="Heading2"/>
        <w:tabs>
          <w:tab w:val="clear" w:pos="0"/>
        </w:tabs>
        <w:ind w:hanging="0" w:left="0"/>
        <w:jc w:val="right"/>
        <w:rPr/>
      </w:pPr>
      <w:bookmarkStart w:id="71" w:name="_Toc234506779"/>
      <w:bookmarkStart w:id="72" w:name="_Toc235117302"/>
      <w:bookmarkStart w:id="73" w:name="_Toc51339697"/>
      <w:bookmarkStart w:id="74" w:name="_Toc50125127"/>
      <w:bookmarkStart w:id="75" w:name="_Toc240289533"/>
      <w:bookmarkStart w:id="76" w:name="_Toc184726131"/>
      <w:r>
        <w:rPr/>
        <w:t xml:space="preserve">Таблица 5.1 </w:t>
      </w:r>
      <w:bookmarkStart w:id="77" w:name="_Toc46743510"/>
      <w:bookmarkStart w:id="78" w:name="_Hlk50465284"/>
      <w:bookmarkEnd w:id="73"/>
      <w:bookmarkEnd w:id="74"/>
      <w:r>
        <w:rPr/>
        <w:t xml:space="preserve">Требования к срокам </w:t>
      </w:r>
      <w:bookmarkEnd w:id="78"/>
      <w:r>
        <w:rPr/>
        <w:t xml:space="preserve">поставки </w:t>
      </w:r>
      <w:bookmarkEnd w:id="71"/>
      <w:bookmarkEnd w:id="72"/>
      <w:bookmarkEnd w:id="76"/>
      <w:r>
        <w:rPr/>
        <w:t>МТР</w:t>
      </w:r>
      <w:bookmarkEnd w:id="75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43"/>
        <w:gridCol w:w="2592"/>
        <w:gridCol w:w="3024"/>
        <w:gridCol w:w="3161"/>
      </w:tblGrid>
      <w:tr>
        <w:trPr/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360"/>
              <w:rPr/>
            </w:pPr>
            <w:r>
              <w:rPr/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материалы системы пожарной автоматики (указанные в Таблице 4.1)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завершения разработки программного обеспечения, указанной в пункте 2 Таблицы 5.2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 (трех) календарных месяцев с даты начала поставки</w:t>
            </w:r>
            <w:bookmarkEnd w:id="77"/>
          </w:p>
        </w:tc>
      </w:tr>
    </w:tbl>
    <w:p>
      <w:pPr>
        <w:pStyle w:val="Heading2"/>
        <w:tabs>
          <w:tab w:val="clear" w:pos="0"/>
        </w:tabs>
        <w:ind w:hanging="0" w:left="0"/>
        <w:rPr/>
      </w:pPr>
      <w:r>
        <w:rPr/>
      </w:r>
    </w:p>
    <w:p>
      <w:pPr>
        <w:pStyle w:val="Heading2"/>
        <w:tabs>
          <w:tab w:val="clear" w:pos="0"/>
        </w:tabs>
        <w:ind w:hanging="0" w:left="0"/>
        <w:jc w:val="right"/>
        <w:rPr/>
      </w:pPr>
      <w:bookmarkStart w:id="79" w:name="_Toc234506780"/>
      <w:bookmarkStart w:id="80" w:name="_Toc235117303"/>
      <w:bookmarkStart w:id="81" w:name="_Toc240289534"/>
      <w:bookmarkStart w:id="82" w:name="_Toc184726132"/>
      <w:r>
        <w:rPr/>
        <w:t>Таблица 5.2 Требования к срокам выполнения сопутствующих работ/услуг</w:t>
      </w:r>
      <w:bookmarkEnd w:id="79"/>
      <w:bookmarkEnd w:id="80"/>
      <w:bookmarkEnd w:id="81"/>
      <w:bookmarkEnd w:id="82"/>
      <w:r>
        <w:br w:type="page"/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4"/>
        <w:gridCol w:w="2701"/>
        <w:gridCol w:w="2269"/>
        <w:gridCol w:w="2514"/>
        <w:gridCol w:w="1883"/>
      </w:tblGrid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Наименование работ/услуг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выполнения работ/услуг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выполнения работ/услуг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pacing w:val="-7"/>
                <w:sz w:val="24"/>
                <w:szCs w:val="24"/>
              </w:rPr>
              <w:t>Разработка конструкторской документации (КД) на изготовление оборудования СПА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Не позднее 1 (одного) месяца с даты, следующей за датой заключения договора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pacing w:val="-7"/>
                <w:sz w:val="24"/>
                <w:szCs w:val="24"/>
              </w:rPr>
              <w:t>Разработка программного обеспечения (при необходимости)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завершения разработки конструкторской документации, указанной в пункте 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Не позднее 1 (одного) календарного месяца с даты начала разработки программного обеспечения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Выполнение строительно-монтажных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 даты завершения поставки оборудования, указанной в Таблице 5.1.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Не позднее 3 (трех) календарных месяцев с даты начала строительно-монтажных работ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Выполнение пусконаладочных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 даты, следующей за датой завершения строительно-монтажных работ, указанных в пункте 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Не позднее 2 (двух) календарных месяцев с даты начала пусконаладочных работ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Обучение персонала Заказчика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 даты, следующей за датой завершения строительно-монтажных работ, указанных в пункте 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Не позднее 2 (двух) календарных месяцев с даты начала пусконаладочных работ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Проводится параллельно с выполнением пусконаладочных работ</w:t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pacing w:val="-7"/>
                <w:sz w:val="24"/>
                <w:szCs w:val="24"/>
              </w:rPr>
              <w:t>Проведение испытаний СПА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 даты, следующей за датой завершения пусконаладочных работ, указанной в пункте 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pacing w:val="-7"/>
                <w:sz w:val="24"/>
                <w:szCs w:val="24"/>
              </w:rPr>
              <w:t>Не позднее 7 (семи) рабочих дней с даты начала проведения испытаний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pacing w:val="-7"/>
                <w:sz w:val="24"/>
                <w:szCs w:val="24"/>
              </w:rPr>
              <w:t>Разработка индивидуальной программы приемо-сдаточных испытаний, согласование с Заказчиком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завершения испытаний, указанной в пункте 6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pacing w:val="-7"/>
                <w:sz w:val="24"/>
                <w:szCs w:val="24"/>
              </w:rPr>
              <w:t>Не позднее 7 (семи) рабочих дней с даты начала разработки программы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pacing w:val="-7"/>
                <w:sz w:val="24"/>
                <w:szCs w:val="24"/>
              </w:rPr>
              <w:t>Участие в рабочей комиссии при проведении приемо-сдаточных испытаний и комплексном опробовании на месте монтажа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pacing w:val="-7"/>
                <w:sz w:val="24"/>
                <w:szCs w:val="24"/>
              </w:rPr>
              <w:t xml:space="preserve">С даты, следующей за датой завершения разработки программы испытаний, указанной в пункте 7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По окончании </w:t>
            </w:r>
            <w:r>
              <w:rPr>
                <w:bCs/>
                <w:spacing w:val="-7"/>
                <w:sz w:val="24"/>
                <w:szCs w:val="24"/>
              </w:rPr>
              <w:t>приемо-сдаточных испытаний и подписания протокола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pacing w:val="-7"/>
                <w:sz w:val="24"/>
                <w:szCs w:val="24"/>
              </w:rPr>
              <w:t>Разработка эксплуатационной документации на оборудование, согласование документации с Заказчиком и генпроектировщиком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pacing w:val="-7"/>
                <w:sz w:val="24"/>
                <w:szCs w:val="24"/>
              </w:rPr>
              <w:t>С даты завершения поставки оборудования, указанной в Таблице 5.1.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pacing w:val="-7"/>
                <w:sz w:val="24"/>
                <w:szCs w:val="24"/>
              </w:rPr>
              <w:t>Не позднее даты завершения пусконаладочных работ, указанной в пункте 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Гарантийное обслуживание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Со дня ввода системы в эксплуатацию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До окончания гарантийного срока на результат работ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0" w:top="680" w:footer="992" w:bottom="1528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2"/>
        <w:numPr>
          <w:ilvl w:val="1"/>
          <w:numId w:val="10"/>
        </w:numPr>
        <w:rPr/>
      </w:pPr>
      <w:bookmarkStart w:id="83" w:name="_Toc235117304"/>
      <w:bookmarkStart w:id="84" w:name="_Toc234506781"/>
      <w:bookmarkStart w:id="85" w:name="_Toc184726133"/>
      <w:bookmarkStart w:id="86" w:name="_Toc240289535"/>
      <w:r>
        <w:rPr/>
        <w:t xml:space="preserve">Требования к </w:t>
      </w:r>
      <w:r>
        <w:rPr>
          <w:lang w:val="ru-RU"/>
        </w:rPr>
        <w:t>качеству продукции</w:t>
      </w:r>
      <w:bookmarkEnd w:id="83"/>
      <w:bookmarkEnd w:id="84"/>
      <w:bookmarkEnd w:id="85"/>
      <w:bookmarkEnd w:id="86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Требования к качеству продукции указаны в Таблице 6.</w:t>
      </w:r>
    </w:p>
    <w:p>
      <w:pPr>
        <w:pStyle w:val="Heading2"/>
        <w:tabs>
          <w:tab w:val="clear" w:pos="0"/>
        </w:tabs>
        <w:ind w:hanging="0" w:left="0"/>
        <w:jc w:val="right"/>
        <w:rPr/>
      </w:pPr>
      <w:bookmarkStart w:id="87" w:name="_Toc51339698"/>
      <w:bookmarkStart w:id="88" w:name="_Toc184726134"/>
      <w:bookmarkStart w:id="89" w:name="_Toc234506782"/>
      <w:bookmarkStart w:id="90" w:name="_Toc240289536"/>
      <w:bookmarkStart w:id="91" w:name="_Toc235117305"/>
      <w:r>
        <w:rPr/>
        <w:t xml:space="preserve">Таблица 6. Требования к </w:t>
      </w:r>
      <w:bookmarkEnd w:id="87"/>
      <w:r>
        <w:rPr/>
        <w:t>продукции</w:t>
      </w:r>
      <w:bookmarkEnd w:id="88"/>
      <w:bookmarkEnd w:id="89"/>
      <w:bookmarkEnd w:id="90"/>
      <w:bookmarkEnd w:id="91"/>
    </w:p>
    <w:p>
      <w:pPr>
        <w:pStyle w:val="Heading2"/>
        <w:tabs>
          <w:tab w:val="clear" w:pos="0"/>
        </w:tabs>
        <w:ind w:hanging="0" w:left="0"/>
        <w:rPr>
          <w:i/>
          <w:i/>
          <w:iCs/>
        </w:rPr>
      </w:pPr>
      <w:bookmarkStart w:id="92" w:name="_Toc240289537"/>
      <w:r>
        <w:rPr>
          <w:i/>
          <w:iCs/>
        </w:rPr>
        <w:t xml:space="preserve">Наименование продукции: </w:t>
      </w:r>
      <w:r>
        <w:rPr>
          <w:b w:val="false"/>
          <w:bCs w:val="false"/>
          <w:i/>
          <w:iCs/>
        </w:rPr>
        <w:t>ОКПД2 — 43.21.10.140. Выполнение комплекса работ по реализации систем пожарной автоматики Загорской ГАЭС-2</w:t>
      </w:r>
      <w:bookmarkEnd w:id="92"/>
    </w:p>
    <w:tbl>
      <w:tblPr>
        <w:tblStyle w:val="afffff1"/>
        <w:tblW w:w="153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3"/>
        <w:gridCol w:w="2617"/>
        <w:gridCol w:w="6240"/>
        <w:gridCol w:w="1874"/>
        <w:gridCol w:w="2146"/>
        <w:gridCol w:w="1664"/>
      </w:tblGrid>
      <w:tr>
        <w:trPr>
          <w:tblHeader w:val="true"/>
        </w:trPr>
        <w:tc>
          <w:tcPr>
            <w:tcW w:w="77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6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4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02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6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77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24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blHeader w:val="true"/>
        </w:trPr>
        <w:tc>
          <w:tcPr>
            <w:tcW w:w="7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2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14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7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Общие требования к закупаемому оборудованию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Оборудование должно иметь возможность использования на производственных объектах, иметь современную отработанную конструкцию, обеспечивающую высокие эксплуатационные характеристики, долгосрочную, надежную эксплуатацию и простоту в обслуживании.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Энергоснабжение потребителей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Кабельные линии системы пожарной автоматики (СПА), включая силовые и информационные (слаботочные) цепи в пределах поставляемого оборудования, должны выполняться исключительно огнестойкими кабелями с медными жилами в соответствии с требованиями ГОСТ 31565-2012 и СП 6.13130.2025.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зависимости от назначения защищаемых помещений для прокладки должны применяться кабели, не распространяющие горение при групповой прокладке: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- с низким дымо- и газовыделением — исполнение нг(А)-FRLS;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- не содержащие галогенов — исполнение нг(А)-FRHF.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Огнестойкость применяемых кабельных линий (время сохранения работоспособности в условиях прямого воздействия пожара) должна быть не менее времени, необходимого для выполнения системами противопожарной защиты своих функций и полной эвакуации людей в безопасную зону.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оборудованию СПА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Система противопожарной защиты предназначена для оперативного предотвращения пожароопасных ситуаций, тушения пожаров в зданиях и сооружениях Загорской ГАЭС-2.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СПА – это аппаратно-программный комплекс, который должен включать: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систему обнаружения пожара - пожарной сигнализации (СПС) адресно-аналогового типа;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систему оповещения о пожаре и управления эвакуацией (СОУЭ);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автоматизацию противопожарной защиты (АПЗ) для управления при пожаре общеобменной (далее ОВ) и противодымной вентиляцией (СПДВ) (в т.ч. противопожарными клапанами в составе ОВ и СПДВ), кондиционирования, порошкового пожаротушения (АУПП), системой контроля и управления доступом (СКУД), и контроля положения ремонтных задвижек и электрифицированных задвижек внутреннего противопожарного водопровода (далее ВПВ), управление автоматическими установками водяного пожаротушения распыленной водой, лифтами и т.п.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x-none" w:bidi="ar-SA"/>
              </w:rPr>
              <w:t>Архитектура системы (Уровни СПА)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составе СПА должна быть предусмотрена трехуровневая иерархическая структура со следующими параметрами межприборного взаимодействия: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x-none" w:bidi="ar-SA"/>
              </w:rPr>
              <w:t>Оборудование верхнего уровня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Автоматизированное рабочее место (АРМ СПА) на базе специализированного программного обеспечения, предназначенное для мониторинга, централизованной диспетчеризации и конфигурирования системы.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x-none" w:bidi="ar-SA"/>
              </w:rPr>
              <w:t>Оборудование среднего уровня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 среднего уровня формирует распределенный прибор приемно-контрольный и управления пожарный (ППКУП) и включает в себя следующие компоненты: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дублированные групповые контроллеры (ГК), функционирующие в режиме горячего резервирования. Данные устройства предназначены для сбора, обработки информации о состоянии защищаемого объекта, а также для формирования и трансляции управляющих команд на контроллеры адресных устройств. Групповые контроллеры обеспечивают взаимное безусловное резервирование, автоматическое переключение функций при отказе одного из них, объединенное межсетевое взаимодействие и отказоустойчивое хранение глобальной системной логики.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контроллеры адресных устройств (КАУ). Данные приборы предназначены для организации связи между адресными устройствами нижнего уровня и групповым контроллером в составе системы противопожарной защиты (СПЗ). В контроллеры средствами программирования загружается локальная программа управления выделенной зоной ответственности.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терминальные пульты индикации и управления (ТПУ) с сенсорным или информативным экраном для оперативного контроля и управления на объекте.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Информационный обмен между оборудованием верхнего уровня (АРМ СПА) и дублированными групповыми контроллерами должен осуществляться по проводной сети Ethernet с использованием кабеля типа «витая пара».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Связь внутри среднего уровня между групповыми контроллерами и контроллерами адресных устройств должна осуществляться по цифровой линии системного интерфейса, организованной по строго кольцевой топологии с поддержкой специализированного высокоскоростного протокола передачи данных PFM (или технического эквивалента) со скоростью обмена не менее 1024 Кбит/с.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x-none" w:bidi="ar-SA"/>
              </w:rPr>
              <w:t>Оборудование нижнего уровня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ab/>
              <w:t>Полевые оконечные устройства (извещатели, модули, исполнительные элементы) должны подключаться к приборам среднего уровня посредством адресных линий связи (АЛС) с контролем целостности цепей на обрыв и короткое замыкание.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ab/>
              <w:t>Состав оборудования нижнего уровня: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пожарные извещатели (адресно-аналоговые);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метки / модули контроля для мониторинга шлейфов сторонней сигнализации;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релейные модули передачи сигналов на исполнительные устройства СПА;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модули контроля и управления противопожарными клапанами;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звуковые и световые оповещатели адресного типа;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устройства дистанционного пуска (УДП) для ручного запуска АУПП, АУВП и СПДВ;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источники вторичного электропитания резервированные (ИВЭПР).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x-none" w:bidi="ar-SA"/>
              </w:rPr>
              <w:t>Требования к надежности и условиям эксплуатации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Связь и топология: Все подсистемы СПА должны быть связаны между собой для обмена данными в режиме реального времени. Межприборная связь оборудования верхнего и среднего уровня должна осуществляться по цифровой линии системного интерфейса, организованной по строго кольцевой топологии с поддержкой специализированного высокоскоростного протокола передачи данных PFM или технического эквивалента. Скорость обмена данными в кольцевом интерфейсе должна составлять не менее 1000 Кбит/с для обеспечения времени опроса всей системы не более 1 секунды. Сетевой протокол должен обеспечивать автоматическую реконфигурацию интерфейса (переход в режим двух независимых радиальных ветвей) при единичном обрыве линии без потери связи с приборами.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Протокол обмена: Оборудование должно обеспечивать защищенный протокол обмена по каналам связи между пультами, контроллерами и приборами для предотвращения несанкционированного доступа или подмены устройств.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Автономность: Оборудование должно обеспечивать полностью автоматический режим работы в штатных режимах без участия персонала.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Мониторинг электропитания: Резервированные источники питания (ИБЭ/ИВЭПР) в составе СПА должны передавать информацию об авариях сети, оставшейся емкости АКБ и расчетном времени работы по интерфейсу связи на ТПУ.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 xml:space="preserve">Помехозащищенность: Технические средства должны обладать устойчивостью к воздействиям электромагнитных помех не ниже 3-й степени жесткости по ГОСТ Р 53325-2012.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Сертификация: Оборудование должно быть промышленного изготовления, пройти заводские испытания и иметь актуальные сертификаты соответствия требованиям пожарной безопасности (ТР ЕАЭС 043/2017).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x-none" w:bidi="ar-SA"/>
              </w:rPr>
              <w:t>Интеграция с АСУ ТП и функционал системы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Интеграция СПА с АСУ ТП должна быть реализована по стандартным открытым протоколам МЭК 60870-5-104 или Modbus TCP/RTU (через соответствующие шлюзы).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Аппаратно-программный комплекс СПА должен обеспечивать: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сбор информации с адресно-аналоговых извещателей и адресных расширителей с точной локализацией;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контроль состояния шлейфов и каждого устройства в отдельности;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наличие функции самопроверки извещателей и возможность их индивидуальной выборочной проверки;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автоматическое управление подсистемами СПА (СПС, СОУЭ, АПЗ, АУП);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выдачу управляющих сигналов на смежные инженерные системы;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передачу перечня информационных сигналов в АСУ ТП на монитор оператора.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426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Функционал АРМ СПА и верхнего уровня: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создание и ведение базы данных охраняемого объекта;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программирование гибких сценариев управления и автоматических реакций системы на события;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занесение графических планов объекта с размещением на них логических объектов охраны (зона, раздел, группа разделов, точка доступа);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гибкая настройка выводимой аварийно-предупредительной сигнализации, резервирование сервера/АРМ, параллельное квитирование и аутентификация пользователей.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x-none" w:bidi="ar-SA"/>
              </w:rPr>
              <w:t>Сигнализация, индикация и журналирование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Оборудованием и АРМ СПА должна быть предусмотрена раздельная световая и звуковая сигнализация:</w:t>
            </w: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br/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tbl>
            <w:tblPr>
              <w:tblStyle w:val="afffff1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1890"/>
              <w:gridCol w:w="4133"/>
            </w:tblGrid>
            <w:tr>
              <w:trPr/>
              <w:tc>
                <w:tcPr>
                  <w:tcW w:w="189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Тип сигнализации</w:t>
                  </w:r>
                </w:p>
              </w:tc>
              <w:tc>
                <w:tcPr>
                  <w:tcW w:w="4133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Отображаемые события</w:t>
                  </w:r>
                </w:p>
              </w:tc>
            </w:tr>
            <w:tr>
              <w:trPr/>
              <w:tc>
                <w:tcPr>
                  <w:tcW w:w="1890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Световая и звуковая (Аварийная)</w:t>
                  </w:r>
                </w:p>
              </w:tc>
              <w:tc>
                <w:tcPr>
                  <w:tcW w:w="4133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Возникновение пожара (с указанием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места); пуск/неисправность насосов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пожаротушения; пуск вентиляторов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СПДВ и СОУЭ; неисправность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составных элементов СПА;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исчезновение напряжения на вводах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СПА.</w:t>
                  </w:r>
                </w:p>
              </w:tc>
            </w:tr>
            <w:tr>
              <w:trPr/>
              <w:tc>
                <w:tcPr>
                  <w:tcW w:w="1890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Световая (Информационная)</w:t>
                  </w:r>
                </w:p>
              </w:tc>
              <w:tc>
                <w:tcPr>
                  <w:tcW w:w="4133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Наличие напряжения на основном 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резервном вводах; отключение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звуковой сигнализации или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автоматического пуска; состояние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(открыто-закрыто) клапанов 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426" w:leader="none"/>
                    </w:tabs>
                    <w:suppressAutoHyphens w:val="true"/>
                    <w:spacing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pacing w:val="-7"/>
                      <w:kern w:val="0"/>
                      <w:sz w:val="20"/>
                      <w:szCs w:val="20"/>
                      <w:lang w:val="ru-RU" w:eastAsia="ru-RU" w:bidi="ar-SA"/>
                    </w:rPr>
                    <w:t>задвижек.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pacing w:val="-7"/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Логика работы интерфейса оператора: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действие аварийной и предупредительной сигнализации должно сопровождаться различными звуковыми сигналами, а на графических планах отображаться цветовой индикацией и миганием.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вновь появившийся сигнал мигает на мнемосхеме и в журналах до его квитирования (подтверждения просмотра оператором).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после квитирования мигание прекращается, однако параметр продолжает отображаться соответствующим статусу цветом до физического устранения причины (ухода сигнала).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журналирование: В архивах БД фиксируется время прихода сигнала, время и конкретное АРМ его квитирования, время нормализации состояния. Метки времени должны присваиваться на нижнем уровне с обеспечением интеграции с СОЕВ (системой обеспечения единого времени) станции.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x-none" w:bidi="ar-SA"/>
              </w:rPr>
              <w:t>Магистральные линии связи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Взаимосвязь для обмена информацией между оборудованием верхнего уровня ГК в здании СПК и контроллерами КАУ в зданиях ГАЭС, Водоприемника, КПП, ДЭС, должна осуществляться по оптоволоконной линии связи.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Для организации канала связи необходимо применять промышленные волоконно-оптические преобразователи интерфейсов. Данные устройства должны: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преобразовывать сигналы высокоскоростного кольцевого интерфейса (протокола PFM или технического эквивалента) в оптические сигналы и обратно;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обеспечивать надежную передачу данных на расстояние более 2 км без деградации параметров скорости и целостности пакетов.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оборудованию системы пожарной сигнализации (СПС)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 оборудования СПС должно входить: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оборудование среднего уровня: дублированные групповые контроллеры (выполняющие </w:t>
            </w: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функции центрального ППКУП) и контроллеры адресных устройств (выполняющие функции ППКП).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адресно-аналоговые пожарные извещатели: оптико-электронные дымовые, тепловые, многокритериальные (комбинированные, включающие дымовой и тепловой сенсоры);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линейные дымовые извещатели;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ручные пожарные извещатели;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метки и модули контроля (в том числе для подключения магнитоконтактных извещателей и устройств без цифрового интерфейса).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основном (автоматическом) режиме контроль и управление логикой СПС осуществляется аппаратно с помощью групповых контроллеров (ППКУП) среднего уровня, а оперативный мониторинг и управление — с помощью АРМ СПА верхнего уровня.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Типы пожарных извещателей для помещений различного функционального назначения должны соответствовать инерционности систем противопожарной защиты и превалирующим факторам пожара: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извещатели пожарные адресно-аналоговые дымовые — для защиты помещений с постоянным и временным пребыванием персонала, коридоров, пространств за фальшпотолками, технических и иных помещений, в которых на начальной стадии возгорания превалирующим фактором является дым.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извещатели пожарные многокритериальные (комбинированные) — для защиты зон со сложными условиями среды, требующих раннего обнаружения по совокупности признаков (дымовой и тепловой каналы).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извещатели пожарные адресные линейные дымовые — для защиты помещений с большой площадью и высотой перекрытий.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извещатели пожарные адресные ручные — для принудительного инициирования сигнала пожарной тревоги. Устанавливаются на путях эвакуации (в коридорах, холлах, на лестничных клетках и у выходов).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 СПС должно выполнять следующие функции: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достоверное и своевременное обнаружение пожара на ранней стадии;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сбор, обработка и графическое/текстовое представление информации дежурному персоналу на АРМ СПА и ТПУ;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взаимодействие с другими подсистемами противопожарной защиты (аппаратное формирование необходимых инициирующих сигналов управления), АСУ ТП и инженерными системами объекта.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контроллеры (ППКУП / ППКП) должны обеспечивать выполнение следующих функций: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обнаружение возгораний в защищаемых помещениях и выдача сигналов «Пожар» и «Внимание» с точной локализацией события (до конкретного извещателя);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аппаратная реализация алгоритмов защиты от ложных срабатываний (в том числе формирование сигнала о пожаре по срабатыванию двух и более извещателей в одной логической зоне в соответствии с требованиями алгоритма;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непрерывный опрос адресно-аналоговых извещателей по адресной линии связи;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измерение и анализ телеметрических данных извещателей (текущие значения задымленности среды, запыленности дымовой камеры, температуры);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автоматическая компенсация запыленности извещателей и формирование предупредительных сигналов о необходимости их технического обслуживания;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набор статистики и ведение энергонезависимого журнала событий для выработки мер повышения пожарной безопасности и организации технического обслуживания.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Требование к оборудованию автоматической пожарной защиты (АПЗ)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 оборудования АПЗ должно входить: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оборудование среднего уровня: контроллеры адресных устройств (ППКП) и приборы пожарные управления (ППУ);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релейные модули с различным количеством направлений (в том числе одноканальные и многоканальные/четырехканальные) для управления исполнительными устройствами с автоматическим контролем целостности линий связи;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специализированные модули контроля и управления противопожарными клапанами;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метки и модули ввода/вывода (расширители) для мониторинга состояния инженерных систем;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устройства дистанционного пуска (УДП) для ручного инициирования алгоритмов систем противодымной вентиляции (СПДВ).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При этом адресные релейные модули и модули ввода/вывода (метки) должны конструктивно объединяться в группы и размещаться в специализированных шкафах пожарной автоматики (ШПА).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 АПЗ должно обеспечивать выполнение следующих функций: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формирование управляющих сигналов на отключение систем общеобменной вентиляции и кондиционирования при пожаре в здании (с алгоритмической блокировкой отключения вытяжной вентиляции помещения аккумуляторной при условии отсутствия в ней возгорания);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автоматическое, дистанционное (с АРМ СПА, ГК и ТПУ) и местное управление, а также непрерывный контроль состояния (положения заслонок и исправности цепей) противопожарных клапанов систем СПДВ и 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непрерывный контроль состояния (положений «Открыто» / «Закрыто») ручных запорных устройств (ПЗУ) и задвижек ВПВ;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выдачу управляющих сигналов на лифтовое оборудование для автоматического опускания кабин на основной посадочный этаж (с последующим открытием и блокировкой дверей в открытом положении);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выдачу командных сигналов в СКУД для безусловной автоматической разблокировки дверей и иных преград на путях эвакуации и для обеспечения беспрепятственного доступа пожарных подразделений;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формирование команд на ручной (дистанционный) пуск алгоритмов систем противодымной вентиляции (СПДВ) от устройств дистанционного пуска (УДП), работающих независимо от автоматических пожарных извещателей;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аппаратную интеграцию с системой пожаротушения гидрогенераторов на релейном или программном уровне (выдача управляющих команд и прием сигналов состояния);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возможность программного и ручного (аппаратного) отключения и восстановления режима автоматического пуска систем АПЗ с обязательным формированием извещения об отключении автоматики на пультах управления и АРМ;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автоматический аппаратный контроль соединительных линий СПА, предназначенных для выдачи команд на включение установок противопожарной защиты, а также линий связи с исполнительными устройствами и звуковыми оповещателями на обрыв и короткое замыкание.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оборудованию системы оповещения и управления эвакуацией людей при пожаре (СОУЭ)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Система оповещения и управления эвакуацией людей при пожаре (СОУЭ) на объектах Загорской ГАЭС-2 должна быть выполнено на полностью совместимом с комплексом СПА оборудовании с установкой необходимого количества микрофонных консолей и стоечного оборудования. Основным способом оповещения является трансляция речевых сообщений.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 оборудования СОУЭ должно входить: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центральное оборудование управления и усиления. Выбор конструктивного исполнения центрального оборудования осуществляется на основании требуемой суммарной мощности трансляционных линий: в случае, если расчетная мощность системы позволяет использовать один прибор, применяются интегрированные устройства речевого оповещения настенного моноблочного исполнения (совмещающие функции управления и усиления звука); если расчетная мощность линий СОУЭ или логика зонирования требует применения нескольких приборов (усилителей), оборудование комплектуется в 19-дюймовых телекоммуникационных шкафах (стойках) со всей необходимой периферией: блоками управления, коммутаторами направлений, трансляционными усилителями мощности и блоками резервированного электропитания.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речевые оповещатели (громкоговорители) настенного, потолочного и рупорного типов (в зависимости от акустических характеристик и назначения защищаемых помещений).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удаленные пульты диспетчера (микрофонные консоли) для организации ручного управления эвакуацией.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встроенные коммуникационные интерфейсы для прямой программно-аппаратной интеграции оборудования СОУЭ непосредственно в кольцевую адресную линию связи (АЛС) приборов пожарной автоматики (без применения дополнительных внешних модулей сопряжения).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При формировании проектных спецификаций следует учитывать, что световые оповещатели (табло «Выход» и указатели направления эвакуации) не включаются в состав аппаратного комплекса СОУЭ, так как схемотехнически реализуются и запитываются в рамках организации общей сети аварийного эвакуационного освещения здания.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</w:t>
            </w: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 СОУЭ должно обеспечивать выполнение следующих функций: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трансляция предварительно записанных речевых сообщений о возникновении пожара и путях эвакуации в автоматическом режиме (по командным сигналам от приборов СПС);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зонированное речевое оповещение (при необходимости реализации сложных алгоритмов эвакуации);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оперативная трансляция речевых сообщений дежурным персоналом с помощью микрофонных консолей с безусловным приоритетом над автоматически транслируемыми сообщениями;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обеспечение требуемого нормами уровня звукового давления во всех помещениях с постоянным или временным пребыванием людей, достаточного для четкого и разборчивого восприятия речевой информации на фоне шумовой обстановки;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обеспечение непрерывного функционирования системы от резервных источников питания (АКБ) в дежурном режиме в течение 24 часов и в режиме «Пожар» — в течение времени, необходимого для завершения полной эвакуации людей из здания, но не менее 1 часа;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автоматический аппаратный контроль соединительных трансляционных линий (шлейфов) речевых оповещателей на обрыв и короткое замыкание;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автоматический контроль исправности основных узлов системы (усилителей, блоков питания, микрофонных линий) с передачей информации о неисправностях на центральный ППКУП и АРМ СПА.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автоматизации оборудования автоматических установок порошкового пожаротушения (АУПП)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Автоматизация установок порошкового пожаротушения предусматривается локально для защиты выделенных помещений здания дизельной электростанции (ДЭС) ГАЭС СПК. Настоящие требования распространяются на аппаратную часть автоматики, диспетчеризацию и формирование пусковых цепей.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 оборудования автоматизации АУПП должно входить: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оборудование среднего уровня: приборы пожарные управления (ППУ) / контроллеры управления пожаротушением;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модули выхода с контролем (МВК) для формирования электрического импульса запуска пиропатронов модулей порошкового пожаротушения (МПП) смежного раздела с обеспечением непрерывного контроля целостности пусковой цепи;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оповещатели световые (табло) адресные: «Автоматика отключена», «Порошок — не входи!», «Порошок — уходи!»;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оповещатель светозвуковой;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извещатели пожарные адресно-аналоговые (дымовые/тепловые/комбинированные);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устройства дистанционного пуска (УДП) пожаротушения;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метки контроля положения дверей (для подключения магнитоконтактных извещателей).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Количество модулей порошкового пожаротушения должно соответствовать защищаемой площади.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УДП должны быть защищены от случайного приведения их в действие (наличие защитной крышки), защищены от механических повреждений и иметь возможность опломбирования.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 автоматизации АУПП должно обеспечивать пусковой импульс на пиропатроны МПП должен с контролем (МВК) по команде от ППУ (или КАУ), инициируя процесс тушения.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Во всех режимах запуска при формировании сигнала «Пожар» в защищаемом направлении аппаратура управления должна выполнять следующие действия: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включать световое табло «Порошок — не входи!» перед входами в защищаемое помещение;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включать световое табло «Порошок — уходи!» и звуковой оповещатель внутри защищаемого помещения;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осуществлять задержку подачи огнетушащего вещества на время, необходимое для безопасной эвакуации людей из помещения (с сопровождающим звуковым отсчетом);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обеспечивать блокировку автоматического пуска: при открытых дверях защищаемого помещения (по сигналу от магнитоконтактных извещателей) запуск АУПП должен откладываться или блокироваться до их закрытия;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выдавать транзитный сигнал «Пожар» на центральный ППКУП по цифровому интерфейсу для аппаратного отключения общеобменной вентиляции, закрытия противопожарных клапанов и управления противодымной защитой (СПДВ);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передавать полный спектр информационных сигналов о состоянии автоматики (пуск, блокировка, неисправность) на АРМ СПА и в систему верхнего уровня АСУ ТП.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автоматизации установок водяного пожаротушения (АУВП)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Автоматизация установок водяного пожаротушения предусматривается для контроля состояния, управления исполнительными устройствами направлений и мониторинга распределительной сети трубопроводов защищаемых объектов Загорской ГАЭС-2.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Разработка механической и гидравлической частей АУВП, а также разработка и поставка шкафов управления пожарными насосами (ШУН) и шкафов управления электрифицированными задвижками (ШУЗ) выполняется в рамках ТТ водоснабжения и канализации. Настоящие требования распространяются исключительно на аппаратную часть автоматики пожаротушения, управление оповещением, диспетчеризацию и формирование управляющих сигналов на шкафы раздела ВК.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 оборудования автоматизации АУВП должно входить: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оборудование среднего уровня: приборы пожарные управления (ППУ) / контроллеры управления пожаротушением;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извещатели пожарные адресно-аналоговые (дымовые, комбинированные) для автоматического обнаружения возгорания и запуска алгоритмов пожаротушения;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релейные модули (в том числе одноканальные и многоканальные/четырехканальные) для выдачи управляющих сигналов на шкафы управления пожарными насосами;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модули контроля (метки) для интеграции с полевыми устройствами: универсальными сигнализаторами давления (СДУ), датчиками уровней в резервуарах и концевыми выключателями запорных устройств;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модули контроля (метки) для интеграции с полевыми устройствами: универсальными сигнализаторами давления (СДУ), датчиками уровней в резервуарах и концевыми выключателями запорных устройств;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оповещатели световые (табло) адресные: «Автоматика отключена», «Пожар – Не входить!», «Пожар — уходи!»;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оповещатель светозвуковой адресный;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устройства дистанционного пуска (УДП) пожаротушения;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адресные метки контроля положения дверей (для подключения магнитоконтактных извещателей).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ab/>
              <w:t>При этом адресные релейные модули и модули контроля (метки) должны конструктивно объединяться в группы и размещаться в специализированных шкафах пожарного управления (ШПУ).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ab/>
              <w:t>Оборудование автоматизации АУВП должно обеспечивать выполнение следующих алгоритмов и функций: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формирование управляющего сигнала на автоматический запуск установки водяного пожаротушения (выдача команд на открытие соответствующих клапанов/задвижек направления и запуск насосов через шкафы ВК) при срабатывании автоматических пожарных извещателей системы пожарной сигнализации (СПС) в защищаемом помещении;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включение светового табло «Пожар – Не входить!» перед входами в защищаемое помещение;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включение светового табло «Пожар — уходи!» и звуковых оповещателей внутри защищаемого помещения при обнаружении возгорания;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прием и обработка сигналов от универсальных сигнализаторов давления (СДУ) для контроля фактической подачи огнетушащего вещества по направлению;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непрерывный контроль (с помощью адресных меток) состояния пожарных запорных устройств (ПЗУ) на магистральных и распределительных трубопроводах на предмет их нахождения в полностью открытом состоянии;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передачу полного спектра информационных сигналов о состоянии автоматики (пуск, блокировка, срабатывание СДУ, положение задвижек и ПЗУ) на центральный ППКУП, АРМ СПА и в систему верхнего уровня АСУ ТП.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автоматизации установок порошкового пожаротушения ДЭС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Автоматизация установок порошкового пожаротушения предусматривается для контроля состояния, управления исполнительными устройствами направлений и мониторинга пожароопасных помещений здания стационарной дизельной электростанции (два машинных зала, помещение расходных баков и склад топлива).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Разработка технологической части АУПП (расчет количества, расстановка закачных модулей типа МПП-100-10 «Лавина» или их эквивалентов, распределительных трубопроводов и насадков-распылителей) выполняется в рамках раздела пожаротушения. Настоящие требования распространяются исключительно на аппаратную часть автоматики пожаротушения, реализуемую на базе оборудования адресной системы пожарной автоматики (СПА), управление оповещением, блокировки и формирование пусковых импульсов.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состав оборудования автоматизации АУПП должно входить: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оборудование среднего уровня: локальные контроллеры / приборы пожарные управления (ППУ);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извещатели пожарные адресно-аналоговые для автоматического обнаружения возгорания и запуска алгоритмов пожаротушения;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адресные модули ввода-вывода для выдачи стартового электрического импульса на пиропатроны (газогенерирующие элементы) модулей порошкового пожаротушения;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оповещатели световые (табло) адресные: «Автоматика ОТКЛЮЧЕНА», «Порошок НЕ ВХОДИ», «Порошок УХОДИ»;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оповещатели звуковые (сирены);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устройства дистанционного пуска (УДП) желтого цвета для ручного (местного) запуска пожаротушения;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магнитоконтактные извещатели (герконы) для контроля положения дверей.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При этом адресные модули ввода-вывода, управляющие пуском МПП, должны подключаться к кольцевой адресной линии связи (АЛС) и обеспечивать необходимые параметры постоянного тока для срабатывания пиропатронов (сила тока в импульсе не менее 0,5 А при напряжении 9-27 В), а также непрерывный контроль целостности цепи пуска.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Оборудование автоматизации АУПП должно обеспечивать выполнение следующих алгоритмов и функций: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формирование управляющего сигнала на автоматический пуск установки порошкового пожаротушения при переходе системы пожарной сигнализации (СПС) в режим «Пожар» по алгоритму С (подтвержденное срабатывание не менее двух автоматических пожарных извещателей в одной зоне контроля пожарной сигнализации защищаемого помещения);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включение световых табло «Порошок НЕ ВХОДИ» снаружи над входами в защищаемое помещение при обнаружении возгорания;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включение световых табло «Порошок УХОДИ» и звуковых сирен внутри защищаемого помещения;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отработку необходимой временной задержки для обеспечения безопасной эвакуации персонала до момента подачи стартового электрического сигнала на модули пожаротушения;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подачу пускового импульса на пиропатроны модулей МПП через адресный модуль управления по истечении времени задержки;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непрерывный контроль состояния дверных проемов (положение створок дверей) с помощью магнитоконтактных извещателей;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аппаратную блокировку автоматического пуска порошкового пожаротушения по данному направлению при открытии дверей в защищаемое помещение с включением светового табло «Автоматика ОТКЛЮЧЕНА» перед входом.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интеграции модульной ДГУ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Локальная система противопожарной защиты контейнера ДГУ Водоприемника поставляется комплектно в составе самой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установки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(ДГУ) по отдельным техническим требованиям (ТТ).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>В комплектном блок-контейнере ДГУ штатно должны быть предусмотрены: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локальная система пожарной сигнализации (СПС);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автоматическая установка пожаротушения (АУП) с применением модулей пожаротушения;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комбинированные светозвуковые оповещатели;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световые оповещатели (информационные табло), размещаемые внутри и снаружи контейнера.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Интеграция локальной пожарной автоматики блок-контейнера ДГУ с централизованной системой пожарной автоматики (СПА) объекта должна осуществляться на аппаратном уровне (посредством переключения «сухих контактов»).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Для обеспечения сопряжения систем в составе СПА должны быть предусмотрены адресные модули контроля (метки) и адресные релейные модули, устанавливаемые в непосредственной близости от шкафа управления ДГУ.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Локальный прибор приемно-контрольный (ППКУП) модульной ДГУ должен обеспечивать аппаратную выдачу на адресные метки централизованной СПА следующих состояний (информационных сигналов):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«Пожар»;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«Неисправность АУП».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В свою очередь, централизованная система пожарной автоматики (СПА) посредством адресных релейных модулей должна обеспечивать выдачу в шкаф управления ДГУ следующих управляющих сигналов: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«Аварийный останов» (отключение ДГУ при срабатывании пожарной автоматики);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«Запрет пуска» (блокировка автоматического запуска ДГУ при пожаре).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Дальнейшая трансляция полученных сигналов на уровень диспетчеризации (АРМ СПА), а также их передача в систему верхнего уровня (АСУ ТП по цифровым протоколам) осуществляется средствами центрального оборудования централизованной СПА.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‍‍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интеграции оборудования насосных станций пожаротушения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Насосная станция пожаротушения поставляется в комплекте со шкафами управления и выносным пультом управления насосами пожаротушения в рамках отдельных ТТ.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СПА должна иметь возможность осуществлять прием следующих сигналов от оборудования насосной станции: Пожар, Общая неисправность, Автоматика отключена, Пуск, Останов Пуска.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программному обеспечению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Общие требования к ПО и интерфейсу оператора: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для мониторинга состояния системы, отображения расположения оборудования на поэтажных планах, а также сбора и хранения всех данных СПА должно применяться специализированное программное обеспечение (ПО), устанавливаемое на автоматизированное рабочее место (АРМ СПА).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графический интерфейс оператора на центральных ППКУП (при наличии графического дисплея) и на мониторах АРМ СПА должен быть максимально унифицирован для исключения ошибок персонала.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объем и формат информации о состоянии СПА, необходимой для передачи и отображения в виде экранных форм в системе верхнего уровня (АСУ ТП), подлежат отдельному согласованию с Заказчиком.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426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Требования к алгоритмизации и пусконаладочным работам (ПНР):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алгоритмы управления системами противопожарной защиты должны обеспечивать своевременное включение исполнительных устройств для гарантированной эвакуации людей до наступления критических значений опасных факторов пожара и минимизации материальных потерь.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базовые алгоритмы разрабатываются на стадии рабочей документации (РД), а их финальная программная реализация (программирование логики работы СПА) и отладка осуществляются на этапе ПНР.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среде технологического программирования: c</w:t>
            </w: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>реда программирования контроллеров и настройки системы (лингвистическое обеспечение) должна быть ориентирована на инженеров-технологов и специалистов службы эксплуатации, не имеющих профессиональной подготовки в области IT-программирования и обеспечивать: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программирование логики прямого цифрового управления (логическое управление, защита, блокировки) с помощью интуитивно понятных графических языков (блок-схемы, структурные схемы преобразования информации, шаговые алгоритмы) со стандартизированными алгоритмическими блоками;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наличие системы мнемосхем, текстовых сообщений, контекстных меню и всплывающих подсказок;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возможность проведения регламентных работ, настройки, тестирования и диагностики оборудования с помощью простейших операций;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формирование баз данных, архивов, шаблонов отчетов с функцией фиксации (регистрации событий) любых изменений в настройках с указанием автора и примечаний;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функцию «самодокументирования» — возможность автоматической генерации отчетов с алгоритмами работы контроллеров в форматах, удобных для служб эксплуатации.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ab/>
              <w:t>Требования к информационной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Защита информации от несанкционированного доступа (НСД) должна обеспечиваться встроенными программными средствами (парольная защита, разграничение прав доступа) и организационными мероприятиями.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Производители оборудования обязаны предоставить декларации об отсутствии недокументированных возможностей (НДВ) для базового ПО и коммуникационных подсистем.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ab/>
              <w:t>Требования к лицензированию и сертификации: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должна быть обеспечена полная патентная чистота всех применяемых аппаратных устройств и программного обеспечения.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все составные части системы на момент поставки должны иметь действующие сертификаты соответствия требованиям пожарной безопасности и ТР ЕАЭС.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 СПА должно применяться исключительно лицензионное программное обеспечение. В комплект поставки оборудования в обязательном порядке включаются оригинальные дистрибутивы на все используемое ПО, а также полные пакеты лицензий (ключей защиты), необходимые для полнофункциональной работы системы без временных ограничений.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Требование к надежности оборудования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СПА должна создаваться как восстанавливаемая и ремонтопригодная система, рассчитанная на длительное функционирование, сохранять возможность управления при выходе из строя отдельных элементов и блоков (при условии одиночного отказа).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Приборы приемно-контрольные пожарные, приборы управления пожарные и другое оборудование, функционирующее в установках и системах пожарной автоматики, должны быть устойчивы к воздействию электромагнитных помех со степенью жесткости не ниже второй по ГОСТ Р 53325-2012.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Количественные показатели надежности для системы в целом: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система должна иметь среднюю наработку на отказ – не менее 20000 часов;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срок службы системы должен составлять не менее 10 лет с учетом периодического технического обслуживания;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объем и состав ЗИП должны быть достаточны для эксплуатации в течение 5 лет, восстановление ЗИП производится Подрядчиком по договору сервисного обслуживания.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коэффициент готовности (вероятность нахождения систем СПА объекта в любой момент определенного периода в работоспособном состоянии) – не менее 0,98.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время восстановления работоспособности программных и технических средств системы – 1 час.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Режим работы оборудования – круглосуточный.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426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Надежность СПА должна быть обеспечена: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применением высоконадежных технических средств;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применением средств высокой заводской готовности, прошедших наладку и тестирование в заводских условиях;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резервированием (дублирование) программных и технических средств системы;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использованием гальванической развязки;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самодиагностикой программно-технических средств вплоть до заменяемого элемента;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защитой от ввода ложной информации и вывода ложных управляющих воздействий;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использованием рациональных интерфейсов, позволяющих быстро и однозначно идентифицировать ситуацию;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организацией внутренней системы бесперебойного питания оборудования;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принятием мер по сохранению баз данных значений всех настраиваемых параметров и другой необходимой информации, на случай полной потери питания;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квалификацией обслуживающего персонала;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объемом ЗИП.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426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Достоверность информации должна быть обеспечена: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помехозащищенностью всех элементов измерительного канала;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качеством программного обеспечения.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Восстановление работоспособности должно обеспечиваться на местах эксплуатации и в сервисных центрах Изготовителя. Восстановление на месте эксплуатации должно осуществляться заменой вышедших из строя элементов новыми из комплекта ЗИП.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безопасности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505" w:left="505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безопасности оборудования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Оборудование должно удовлетворять требованиям безопасности, охраны труда и производственной санитарии.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Общие требования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компоненты системы пожарной автоматики (СПА) должны соответствовать общим требованиям безопасности труда при монтаже, наладке, эксплуатации и ремонте согласно ГОСТ 12.2.003-91.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оборудование должно быть полностью безопасно для обслуживающего персонала в части механических воздействий, уровня шума, а также создаваемых при работе электромагнитных, радиочастотных и электростатических полей.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Пожарная</w:t>
            </w: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 безопасность оборудования: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удельная пожарная нагрузка от технических средств (компонентов СПА) не должна превышать 160 МДж/м².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конструкция и схемотехника оборудования должны полностью исключать возможность его воспламенения при случайном коротком замыкании в цепях питания, а также при переполюсовке (неправильном включении полярности) электропитания.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ошибочное замыкание любых коммутационных клемм (за исключением клемм подключения силового питания) не должно приводить к необратимому аппаратному выходу из строя приборов СПА.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Электробезопасность</w:t>
            </w: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 и заземление: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все металлические части электроустановок, корпуса приборов, шкафов и металлоконструкций, которые в случае пробоя изоляции могут оказаться под напряжением, подлежат обязательному заземлению согласно ГОСТ 12.1.030-81.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приборы приемно-контрольные (ППКУП) и контроллеры должны иметь клемму защитного заземления (PE) с минимальным диаметром резьбы болта заземления М5 и контактной площадкой не менее 14 мм. При использовании устройств в пластиковых корпусах допускается подключение защитного заземления через трехполюсный соединитель сетевого питания.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переходное электрическое сопротивление заземления средств вычислительной техники и промышленных контроллеров (измеренное между болтом заземления и любой доступной металлической частью прибора) не должно превышать 0,1 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ab/>
              <w:t>Требования к сопротивлению изоляции: электрическое сопротивление изоляции токоведущих цепей оборудования относительно корпуса и друг друга при нормальных климатических условиях должно быть не менее 100 МОм.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ab/>
              <w:t>Изоляция цепей относительно корпуса и между собой должна выдерживать без пробоя в течение 1 минуты испытательное напряжение переменного тока (частотой 50 Гц):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для цепей с рабочим напряжением до 40 В — 250 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для цепей с рабочим напряжением свыше 100 В — 1000 В.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505" w:left="505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электропитанию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Электропитание инженерных систем, связанных с противопожарной защитой объекта (включая оборудование СПА, насосные станции водоснабжения, аварийное эвакуационное освещение и вентиляторы противодымной защиты), должно осуществляться по 1-категории надежности электроснабжения в соответствии с требованиями СП 6.13130.2025.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Основные требования к организации питания: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основное электропитание шкафов и приборов СПА должно осуществляться от сети переменного тока напряжением ~220 В (частотой 50 Гц).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двойной ввод питания центрального оборудования: для приборов центрального оборудования СПА (главных контроллеров, контроллеров адресных устройств, ШПА), конструктивно оснащенных двумя независимыми вводами электропитания и/или встроенным аппаратно-программным модулем АВР, должно быть предусмотрено прямое подключение к двум независимым линиям. Переключение между вводами в данном случае осуществляется внутренними средствами самих контроллеров.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защита от перезагрузки при переключениях: для обеспечения бесперебойной работы и предотвращения перезагрузки процессорных модулей оборудования в момент переключения внешних или внутренних вводов АВР (где технологический перерыв питания может составлять 0,3–0,8 сек), в шкафах пожарной автоматики (ШПА) должны быть предусмотрены резервированные источники вторичного электропитания (ИВЭПР) или источники бесперебойного питания (ИБП) с аккумуляторными батареями (АКБ). АКБ должны обеспечивать питание ШПА в дежурном режиме при переключении основного и резервного источников сетевого напряжения.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автономная работа: приборы приемно-контрольные (ППКУП) и ШПА в зданиях, где невозможна организация двух вводов питания от независимых источников (I категории), имеющие встроенные блоки питания, должны комплектоваться аккумуляторными батареями (емкость которых определяется расчетом в соответствии с паспортными данными завода-изготовителя). АКБ должны обеспечивать питание приборов в дежурном режиме при полном отключении основного и резервного источников сетевого напряжения на время, требуемое нормативной документацией.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аппаратный контроль: должен быть обеспечен непрерывный аппаратный контроль состояния всех источников питания (наличие напряжения на обоих вводах 220 В контроллеров, состояние внутренних и внешних АВР, исправность ИВЭПР/ИБП, уровень заряда и целостность цепи АКБ) с автоматической передачей соответствующих информационных сигналов о неисправностях на уровень диспетчеризации (АРМ СПА).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505" w:left="505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шкафам СПА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Каждый шкаф пожарной автоматики (ШПА) должен поставляться как единое, законченное изделие заводской готовности, укомплектованное в соответствии с требованиями действующей нормативно-технической документации (НТД).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зависимости от функционального назначения и состава оборудования, ШПА подразделяются на два основных типа исполнения: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Тип 1 (Активные шкафы управления с электропитанием): шкафы, требующие подключения к сети переменного тока (220 В). Включают в себя центральные приборы АПЗ, резервированные источники вторичного электропитания (ИВЭПР) с аккумуляторными батареями (АКБ/БР). Для данного типа должен быть предусмотрен аппаратный контроль состояния вводов электропитания и заряда АКБ с передачей информации на ППКУП. На дверях шкафа необходимо устанавливать сигнальные лампы индикации состояния вводов питания (с учетом требований эргономики). Шкаф должен иметь выходное реле обобщенного аварийного сигнала.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Тип 2 (Сигнальные шкафы коммутации без внешнего питания): шкафы, не требующие подключения к сети 220 В (питание оборудования осуществляется непосредственно от адресной линии связи). Включают в себя исключительно слаботочные устройства: адресные модули (АМ), релейные модули (РМ) и клеммные ряды.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Вне зависимости от типа (1 или 2) каждый ШПА в обязательном порядке должен оснащаться: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изоляторами короткого замыкания адресной линии связи (АЛС) для обеспечения отказоустойчивости и защиты кольцевых интерфейсов;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встроенным замком, надежно фиксирующим дверь в закрытом состоянии;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датчиком вскрытия корпуса шкафа (тампером) с выдачей сигнала на ППКУП.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>Общие конструктивные требования и условия эксплуатации: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степень защиты корпусов шкафов должна быть не менее IP54 в соответствии с ГОСТ 14254-2015. При этом для шкафов, размещаемых на потенциально затопляемых отметках сооружений ГАЭС, степень защиты корпуса должна быть не ниже IP65;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климатическое исполнение и категория размещения оборудования – УХЛ4 (для шкафов, размещаемых в отапливаемых помещениях) и не хуже УХЛ3 (для шкафов в неотапливаемых помещениях, на затопляемых отметках и в зонах с повышенной влажностью) в соответствии с ГОСТ 15150-69;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габариты и вариант установки шкафов (навесное или напольное исполнение) определяются заводом-изготовителем индивидуально, исходя из необходимого объема внутреннего наполнения на основании утверждаемых опросных листов;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конструкция шкафов должна обеспечивать открытие дверей на угол не менее 95°, при этом в зависимости от габаритов изделия необходимо предусматривать однодверное или двустворчатое (многодверное) исполнение;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шкафы, расположение аппаратов и устройств в них должны обеспечивать удобство и безопасность обслуживания, наблюдения за работой, подключения внешних цепей и проведения ремонтных работ.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>Требования к электромагнитной совместимости (ЭМС) и заземлению: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требования электробезопасности шкафов должны соответствовать ГОСТ IEC 61439-1-2024;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устройства должны быть устойчивы к электромагнитным помехам в соответствии с ГОСТ IEC 61000-6-5-2017;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электронное оборудование должно соответствовать группе по ЭМС окружающей среды, указанной изготовителем НКУ;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шкафы должны иметь медную шину заземления (PE) и элемент для заземления (болт/шпильку) внутри шкафа согласно ГОСТ 21130-75. Необходимо выполнить подключение всех металлических частей шкафа к шине заземления. В шкафах также должно выполняться заземление экранов контрольных кабелей с помощью специальных зажимов;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аппараты, подлежащие заземлению, должны соединяться с PE-шиной медными проводами сечением не менее 1,5 мм² (для однопроволочных) и 0,75 мм² (для многопроволочных жил). Электрическое сопротивление цепи заземления не должно превышать 0,05 Ом.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>Требования к внутреннему монтажу и клеммным рядам: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монтаж электрических цепей внутри шкафов должен выполняться исключительно проводами с медными жилами;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укладка монтажных проводов должна осуществляться в специальных перфорированных коробах (кабель-каналах) или, при необходимости, стягиваться в жгуты;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подключение аппаратов внутри шкафа к клеммным колодкам должно выполняться одним или двумя одинаковыми проводами общим сечением не более 3 мм², но не менее 1,5 мм² каждый (с обязательным использованием наконечников для многопроволочных жил);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для подключения внешних цепей должны предусматриваться ряды контактных наборных зажимов (клеммные ряды). Контактные соединения должны соответствовать классу 2;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колодки зажимов должны быть рассчитаны на подключение двух проводов сечением до 2,5 мм² каждый или одного провода от 1 мм² до 4 мм².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0"/>
                <w:szCs w:val="20"/>
                <w:lang w:val="ru-RU" w:eastAsia="ru-RU" w:bidi="ar-SA"/>
              </w:rPr>
              <w:t>Требования к маркировке и документации: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каждый ШПА должен иметь табличку с наименованием и позиционным обозначением по системе, принятой на Загорской ГАЭС-2 (согласовывается с Заказчиком);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 лицевой и оборотной сторонах шкафов должны быть предусмотрены места для функциональных надписей;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все внутренние аппараты, устройства и клеммы должны иметь четкие позиционные обозначения согласно электрической схеме. Данные обозначения должны располагаться на монтажной панели (конструкции шкафа) рядом с аппаратом или на специальных табличках-шильдах. Не допускается наносить позиционные обозначения непосредственно на корпуса самих аппаратов;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 внутренней стороне двери каждого шкафа должна быть надежно закреплена (приклеена или нанесена в виде несмываемой таблички) принципиальная электрическая схема шкафа и схема внешних подключений;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комплектно со шкафами автоматики Заказчику должен передаваться полный комплект конструкторской документации (КД) на каждое изделие.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505" w:left="505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электромагнитной совместимости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 размещении микроэлектронных и микропроцессорных устройств на территории подстанций, являющихся мощными источниками электромагнитных полей и помех, должна обеспечиваться их электромагнитная совместимость с жесткой электромагнитной обстановкой.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Для этого необходимо соблюдение двух обязательных условий: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оборудование, предназначенное к размещению на энергообъектах, должно проходить сертификационные или аттестационные испытания на устойчивость к воздействию внешних электромагнитных полей и помех по классу жесткости, определенными ГОСТ 30804.4.30-2013 и другими нормативными документами;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на энергообъектах уровни электромагнитных полей и помех не должны превышать значений, соответствующих порогу устойчивой работы этих устройств.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Должна быть выполнена оценка реальной электромагнитной обстановки с целью определения ее соответствия существующим нормам. </w:t>
            </w:r>
            <w:r>
              <w:rPr>
                <w:rFonts w:eastAsia="Calibri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Для этого необходимо выполнить: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измерение сопротивления растеканию заземляющего устройства;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измерение сопротивления основания (связи с заземляющим устройством) высоковольтных аппаратов и устройств на ОРУ;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измерение помех при коммутационных операциях высоковольтного оборудования;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длительное измерение помех в тех же цепях при нормальном режиме работы объекта (мониторинг);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измерение составляющих электромагнитных полей (в нормальном режиме и при коммутационных операциях);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разработать рекомендации по улучшению состояния заземляющего устройства (контура) подстанции и системы грозозащиты по условиям ЭМС и рекомендации по обеспечению надежной работы проектируемого оборудования.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конструкции, изготовлению и материалам: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материалам оборудования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Применяемые для изготовления деталей и узлов оборудования СПА материалы и комплектующие изделия должны соответствовать требованиям условий эксплуатации и обеспечивать сохранение эксплуатационных качеств оборудования систем связи и его товарного вида.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 конструкции не должны применяться материалы, распространяющие горение и выделяющие ядовитые вещества.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Все материалы и комплектующие изделия должны иметь паспорта и сертификаты, выдаваемые предприятиями-изготовителями, подтверждающие соответствие их стандартам, техническим условиям или другой технической документации, утвержденной в установленном порядке. Они должны пройти входной контроль согласно нормативно-технической документации, действующей на предприятии-изготовителе.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кабельной продукции и материалам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Кабельные линии системы пожарной автоматики (СПА), включая силовые и информационные (слаботочные) цепи в пределах поставляемого оборудования, должны выполняться исключительно огнестойкими кабелями с медными жилами в соответствии с требованиями ГОСТ 31565-2012 и СП 6.13130.2025.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зависимости от назначения защищаемых помещений для прокладки должны применяться кабели, не распространяющие горение при групповой прокладке: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с низким дымо- и газовыделением — исполнение нг(А)-FRLS;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не содержащие галогенов — исполнение нг(А)-FRHF.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Огнестойкость применяемых кабельных линий (время сохранения работоспособности в условиях прямого воздействия пожара) должна быть не менее времени, необходимого для выполнения системами противопожарной защиты своих функций и полной эвакуации людей в безопасную зону.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Огнестойкая кабельная линия (ОКЛ)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Для предотвращения пожарной опасности в системах должны применяться сертифицированные ОКЛ, которые должны сохранять работоспособность в условиях пожара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Температура окружающего воздуха, ˚С</w:t>
              <w:br/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Предельная верхняя рабочая температура окружающей среды:+ 36˚С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Предельная нижняя рабочая температура окружающей среды: - 43˚С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Сейсмостойкость, баллов по шкале MSK-64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88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маркировке и упаковке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Подрядчиком должны быть установлены меры по идентификации и контролю оборудования и его составных частей (деталей, сборочных единиц и т.д.). С этой целью оборудование должно иметь маркировку и сопроводительную документацию, обеспечивающую их идентичность и контроль на всех стадиях их жизненного цикла и подтверждающую соблюдение требований соответствующих технологических процессов и нормативных документов.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Маркировку основного оборудования требуется наносить непосредственно на оборудование.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Содержание, место и способ маркировки изделия должны соответствовать требованиям нормативных документов, распространяющимися на конкретное изделие, и указываться в конструкторской документации на изделие. Способ нанесения маркировки должен обеспечивать ее читаемость, качество, не стираемость в процессе эксплуатации, транспортирования и хранения.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Маркировка оборудования СПА должна содержать: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наименование или товарный знак организации-изготовителя;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условное обозначение в соответствии с классификацией по максимальному количеству подключаемых адресных устройств и способу передачи информации о пожароопасной ситуации в защищаемых помещениях;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указание соответствия СПА требованиям настоящих норм;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порядковый номер по системе нумерации изготовителя;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год и месяц изготовления.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заводской номер изделия по системе нумерации организации-изготовителя;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массу;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индивидуальный код по KKS (функциональное обозначение) оборудованию -присваивается по согласованию с Генеральным проектировщиком;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другую информацию в соответствии с конструкторской документацией и/или договором на поставку.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Компоненты СПА должны быть упакованы в потребительскую тару в соответствии с требованиями ГОСТ 9.014-78.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Маркировка должна отвечать следующим требованиям: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быть четкой, разборчивой и не влиять на функционирования изделия;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маркировку не должны нарушать поверхностная обработка или покрытия, если указанную маркировку в процессе изготовления не заменяют другие идентификации;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маркировка должна быть устойчивой к воздействию механических и климатических внешних воздействующих факторов, к растворам и агрессивным средам, виды и характеристики которых должны быть установлены в конструкторской документации, стандартах и/или технических условиях на изделия конкретного типа.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Детали оборудования, которые по условиям эксплуатации могут оказаться под избыточным или вакуумметрическим давлением, должны иметь маркировку, в которой указывалось бы, как минимум, следующее: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марка материала;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 xml:space="preserve">номер сертификата или свидетельство об изготовлении;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номер плавки, номер партии и/или номера заголовки;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товарный знак изготовителя.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Маркировка груза (транспортная маркировка) должна содержать манипуляционные знаки, основные, дополнительные и информационные надписи. Требования к содержанию и нанесению транспортной маркировки грузов и правила обращения с грузом должны соответствовать нормативным документам.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Упаковка должна обеспечивать срок защиты без переконсервации три года.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Упаковка должна обеспечивать сохранность оборудования при транспортировке и производстве погрузочно-разгрузочных работ, при хранении до начала монтажа. Маркирование упаковочных мест должна быть выполнено на видных местах, и не должна повреждаться при транспортировке, хранении и сборке продукции. Каждая упаковка поставляемой продукции должна сопровождаться упаковочным листом.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Оборудование в упакованном виде должно выдерживать транспортирование без нарушения работоспособности воздушным и водными видами транспорта без ограничения расстояния и скорости, а также железнодорожным транспортом – на расстояние до 10000 км.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Оборудование в упакованном виде должно выдерживать транспортирование при температуре от минус 50</w:t>
            </w:r>
            <w:r>
              <w:rPr>
                <w:rFonts w:eastAsia="Symbol" w:cs="Symbol" w:ascii="Symbol" w:hAnsi="Symbol"/>
                <w:kern w:val="0"/>
                <w:sz w:val="20"/>
                <w:szCs w:val="20"/>
                <w:lang w:val="ru-RU" w:eastAsia="ru-RU" w:bidi="ar-SA"/>
              </w:rPr>
              <w:sym w:font="Symbol" w:char="f0b0"/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плюс 50</w:t>
            </w:r>
            <w:r>
              <w:rPr>
                <w:rFonts w:eastAsia="Symbol" w:cs="Symbol" w:ascii="Symbol" w:hAnsi="Symbol"/>
                <w:kern w:val="0"/>
                <w:sz w:val="20"/>
                <w:szCs w:val="20"/>
                <w:lang w:val="ru-RU" w:eastAsia="ru-RU" w:bidi="ar-SA"/>
              </w:rPr>
              <w:sym w:font="Symbol" w:char="f0b0"/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и относительной влажности до 100% при плюс 25</w:t>
            </w:r>
            <w:r>
              <w:rPr>
                <w:rFonts w:eastAsia="Symbol" w:cs="Symbol" w:ascii="Symbol" w:hAnsi="Symbol"/>
                <w:kern w:val="0"/>
                <w:sz w:val="20"/>
                <w:szCs w:val="20"/>
                <w:lang w:val="ru-RU" w:eastAsia="ru-RU" w:bidi="ar-SA"/>
              </w:rPr>
              <w:sym w:font="Symbol" w:char="f0b0"/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Способ упаковки оборудования должен отвечать требованиям международного стандарта по упаковке и должен гарантировать, что ни одна из деталей устройства не будет повреждена, деформирована или утеряна во время транспортировки.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Тара и упаковка должны входить в цену поставляемого Товара.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транспортировке и хранению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Транспортировка осуществляется на склад Заказчика средствами Подрядчика, включая погрузку-разгрузку в соответствии с ГОСТ 15150-69 и правилами перевозок грузов. На время транспортирования и хранения оборудования должно быть законсервировано и упаковано по инструкции завода-изготовителя.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Транспортирование компонентов СПА в транспортной упаковке должно осуществляться всеми видами наземного транспорта в закрытых транспортных средствах.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 отгрузки поставляемого оборудования производится проверка оборудования на соответствие настоящим ТТ. В случае отсутствия паспортов, инструкций по эксплуатации, несоответствия комплектности оборудования (по паспорту) поставляемое оборудование не принимается.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Размеры всех деталей и сборочных единиц должны позволять их доставку на место установки.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Компоненты СПА в упакованном виде должны храниться в крытых складских помещениях, обеспечивающих защиту от влияния влаги, солнечной радиации, вредных испарений и плесени.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Оборудование в транспортной упаковке изготовителя должно выдерживать хранение в условиях 2 (С) по ГОСТ 15150-69 в течение трех лет без переконсервации.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Срок сохраняемости оборудования должен составлять не менее 3 (трех) лет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Приемка и испытания комплектующего оборудования</w:t>
            </w:r>
          </w:p>
        </w:tc>
        <w:tc>
          <w:tcPr>
            <w:tcW w:w="62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согласно ГОСТ Р 53325-2012, а также утвержденным программам и методикам испытаний (ПМИ) завода-изготовителя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Эксплуатационные требования к оборудованию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Эксплуатация, монтаж комплектующего оборудования должны соответствовать требованиям Правил технической эксплуатации СПА, Правил организации технического обслуживания и ремонта объектов электроэнергетики, Правил устройств электроустановок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63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Цвета сигналов, размеры, форма и цвет знаков безопасности должны соответствовать ГОСТ Р 12.4.026-2015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Наличие в заводской документации требований по мерам безопасности, перечня составных частей и методов утилизации изделий, представляющих опасность для жизни, здоровью людей и окружающей среды после окончания срока службы оборудования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контрольно-измерительной аппаратуре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Состав контрольного и измерительного оборудования определяется производителями оборудования из условия обеспечения возможности проведения технического обслуживания и ремонта в ходе эксплуатации.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Контрольное и измерительное оборудование должно быть укомплектовано шнурами, переходниками и приспособлениями для подключения к испытуемому оборудования.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Контрольное и измерительное оборудование должно иметь соответствующие сертификаты.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Style35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88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Срок гарантии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Гарантийный срок на оборудование СПА и результат работ по монтажу систем должен составлять не менее 36 месяцев со дня его приемки в промышленную эксплуатацию (подписание акта приемки). В этот период Поставщик оборудования СПА должен производить гарантийный ремонт и обслуживание.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Обязательное наличие сервисного центра.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Гарантии распространяются на все поставляемое оборудование.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течение гарантийного срока должна быть обеспечена безвозмездная замена или ремонт вышедшего из строя оборудования, включая его тренспортировку. Доставка неисправного оборудования в сервисный центр для проведения ремонта и возвращение исправного, после ремонта, оборудования Поставщик осуществляет за свой счет.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Style35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Дополнительные требования к гарантийным обязательствам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 случае, если Заказчиком в период проведения работ или в течение Гарантийной эксплуатации будут обнаружены некачественно выполненные работы, несоответствия или дефекты оборудования, Подрядчик обязан своими силами и без увеличения цены договора в согласованный сторонами, а при отсутствии такого согласования в минимально возможный срок исправить некачественно выполненные работы, устранить недостатки или дефекты оборудования и монтажных работ для обеспечения их надлежащего качества, за исключением случаев, когда дефекты образовались по вине Заказчика в результате неправильного хранения или обслуживания. В случае исправления или замены дефектных частей или продукции в целом гарантии на продукцию продлеваются на время, в течении которого она не использовалась из-за обнаружения дефектов.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Подрядчик обязан в течение 10 (десяти) рабочих дней с момента получения извещения Заказчика о выявленных недостатках, несоответствий или дефектах направить своего уполномоченного представителя для участия в составлении рекламационного акта, фиксирующего недостатки, дефекты или несоответствия, согласования порядка и сроков их устранения.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 отказе Подрядчика от составления или подписания рекламационного акта об обнаружении недостатков, несоответствий или дефектов, либо в случае неявки представителей Подрядчика, Заказчик составляет односторонний акт на основе квалифицированной независимой экспертизы, привлекаемой им за счет Подрядчика.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Подрядчик осуществляет послегарантийное техническое сопровождение по поставленному им оборудованию и материалам в рамках отдельного контракта с Заказчиком.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Срок хранения шкафов с оборудованием с момента отгрузки до ввода в эксплуатацию до 36 месяцев за счет качества упаковки и консервации при сохранении гарантийного срока эксплуатации.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Изготовитель оборудования должен гарантировать официальным письмом: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ремонт оборудования – в течении срока службы;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поставку ЗИП – в течение срока службы;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время ремонта – не более 10 (десяти) рабочих дней, не включая время на транспортировку и таможенные оформления;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ремонт и поставку ЗИП по заявке Заказчика после истечения гарантийного срока.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426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В течение гарантийного срока должно быть безвозмездно обеспечено: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исправление не согласованных с Заказчиком организационно-технических решений;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замена или ремонт неисправного оборудования, включая его доставку.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 течение гарантийного срока должна быть обеспечена поддержка по телефону и электронной почте по поводу работы оборудования и программного обеспечения.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Показатели качества производственных процессов Изготовителя должны быть подтверждены сертификатами ISO.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Показатели качества оборудования должны быть описаны в конструкторской документации на оборудование и подтверждены протоколами испытаний, расчетами или натурными испытаниями. 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Style35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  <w:tab w:val="left" w:pos="2127" w:leader="none"/>
              </w:tabs>
              <w:suppressAutoHyphens w:val="true"/>
              <w:spacing w:before="0" w:after="0"/>
              <w:ind w:left="63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технической документации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Общие требования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Вся техническая документация, включая чертежи, схемы, спецификации, а также интерфейсы применяемого программного обеспечения, должна быть выполнена на русском языке и подготовлена в строгом соответствии с действующей нормативно-технической документацией (НТД).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Во всех документах должна применяться Международная система единиц физических величин (система СИ).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Сопроводительная документация (поставляемая вместе с оборудованием)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комплекте с поставляемым оборудованием Исполнитель обязан представить следующую документацию: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паспорта, руководства по эксплуатации (РЭ) и сертификаты соответствия на все компоненты системы;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полный перечень (спецификацию) оборудования и материалов комплектной поставки;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конструктивные чертежи шкафов управления: установочные чертежи, габаритные виды (фасады), схемы компоновки;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принципиальные и монтажные схемы управления, защиты и сигнализации (включая схемы подключения датчиков) с указанием технических характеристик элементов и параметров входных/выходных сигналов;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инструкции по проведению технического обслуживания и ремонта (ТОиР) с указанием требований к количеству и квалификации персонала;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руководства по установке ПО, конфигурированию, параметрированию и программированию устройств управления СПА;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альбом алгоритмов пожарной автоматики;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задания на параметрирование смежных систем (АСУ ТП) в части поставляемого оборудования (перечни и таблицы сигналов обмена);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6"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pacing w:val="-7"/>
                <w:kern w:val="0"/>
                <w:sz w:val="20"/>
                <w:szCs w:val="20"/>
                <w:lang w:val="ru-RU" w:eastAsia="ru-RU" w:bidi="ar-SA"/>
              </w:rPr>
              <w:t>комплект протоколов и актов: заводских испытаний оборудования, испытаний сопротивления изоляции кабельной продукции, а также индивидуальных и комплексных функциональных испытаний (на этапе ПНР).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432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Формат передачи документации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Утвержденная техническая документация должна быть передана Заказчику на бумажном носителе (в виде твердой копии в 1-м экземпляре), а также в электронном виде на защищенном носителе. Электронная версия должна включать скан-копии документов в формате PDF, а также исходные файлы в редактируемых форматах (AutoCAD, Visio, MS Word, MS Excel и др.).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Требование к соответствию оборудования нормативно-техническим документам </w:t>
            </w:r>
          </w:p>
        </w:tc>
        <w:tc>
          <w:tcPr>
            <w:tcW w:w="62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Изготовленное и поставленное оборудование должно соответствовать требованиям нормативно-технической документации ПАО РусГидро, ГОСТ, СП, Приложение Б к данным техническим требованиям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Наличие сертификатов соответствия на поставляемое оборудование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Оборудование должно быть сертифицировано на соответствие ГОСТ, нормам и Правилам РФ и другим действующим на территории РФ нормам и правилам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88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сопутствующим услугам: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1199" w:left="1214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строительно-монтажным работам / шеф-монтажу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Монтаж оборудования СПА осуществляется Подрядчиком своими силами, либо силами привлекаемых третьих лиц (Субподрядчиков).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 выполнения работ Подрядчик разрабатывает график выполнения работ и согласовывает его с Заказчиком.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рамках строительно-монтажных работ Подрядчик осуществляет входной контроль поставляемого и выдаваемого в монтаж оборудования и материалов (с составлением соответствующего акта).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Подрядчик осуществляет общетехнический и технологический контроль за ходом работ.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случае, если Подрядчик не является производителем поставляемого оборудования, необходимо выполнение шефмонтажных работ, в рамках которых будет обеспечиваться: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Технические консультации и сопровождение (надзор) работ, выполняемых специалистами монтажной организации;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Контроль качества выполненного монтажа, проверку в процессе монтажа и пусконаладочных работ соответствия выполненных работ требованиям ТТ, технической документации заводов – изготовителей;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Своевременная разработку и внесение изменений в конструкторскую документацию в соответствии с решениями, принятыми в процессе шефмонтажа;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Ведение журнала шефмонтажа, контроль за своевременным и качественным исполнением указаний, внесенных в журнал;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Участие в освидетельствовании оборудования и подписании актов на все основные монтажные, предпусковые и пусковые операции и скрытые работы, выполняемые заказчиком (его монтажной организацией) на оборудовании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предприятия-изготовителя;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Участие в оформлении и подписании прочей документации 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выполненные монтажные, предпусковые, пусковые и наладочные работы, предусмотренной предприятием-изготовителем и заказчиком: журналов, формуляров, паспортов, протоколов, технических решений, режимных карт, финансовых актов по договору на шефмонтаж и шефналадку и пр.;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Объем услуг шефмонтажа должен соответствовать требованиям настоящих ТТ, а также требованиям ГОСТ Р 56203-2014. (пункты 4.1, 4.2, 4.3, 4.6, 4.7, 4.8, 4.9, 4.10.) и требованиям ОСТ 108.002.128-80 (пункты 3.1, 3.2, 3.3)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1199" w:left="1214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проведению пусконаладочных работ / шеф-наладке</w:t>
            </w:r>
          </w:p>
        </w:tc>
        <w:tc>
          <w:tcPr>
            <w:tcW w:w="62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Проведение пусконаладочных работ осуществляется Подрядчиком своими силами, либо силами привлекаемых третьих лиц (Субподрядчиков).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случае, если Подрядчик не является производителем поставляемого оборудования, необходимо выполнение шеф-наладки, в рамках которой будет обеспечиваться: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комплекс наладочных работ по обеспечению работоспособности Оборудования, его доводке и наладке с целью подтверждения гарантийных технико-экономических показателей в соответствии со стандартами данных ТТ, а также проведение предпусковых и пусковых операций, испытаний Оборудования в соответствии с документацией Поставщика (предприятия-изготовителя) в рамках поставки предусмотренной данными ТТ;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техническое руководство над производством пусконаладочных работ персоналом заводов-изготовителей оборудования при вводе Оборудования в эксплуатацию;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Объем услуг шефналадки, должен соответствовать требованиям настоящих ТТ, а также требованиям ГОСТ Р 56203-2014. (пункты 4.1, 4.2, 4.3, 4.6, 4.7, 4.8, 4.9, 4.10.) и требованиям ОСТ 108.002.128-80 (пункты 3.1, 3.2, 3.3)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прочим услугам</w:t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1199" w:left="1214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Требования к приемосдаточным испытаниям 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Испытания производятся комиссией, в которую включаются представители Заказчика, Подрядчика и иных лиц (при необходимости).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 проведения испытаний Подрядчик должен предоставить комиссии комплект рабочей, эксплуатационной и отчетной документации в соответствии с действующими нормативными документами.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Автономные и комплексные испытания системы проводятся по программам и методикам испытаний (ПМИ), которые разрабатываются Подрядчиком, согласуются с Заказчиком. Результаты испытаний оформляются протоколами, которые утверждаются Заказчиком.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результатам автономных испытаний комиссией оформляется протокол, содержащий заключение о возможности допуска проверяемой системы к комплексным испытаниям.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результатам комплексных испытаний комиссией оформляется протокол, содержащий заключение о возможности приемки системы в опытную эксплуатацию, а также перечень необходимых доработок и рекомендуемые сроки их выполнения (при необходимости).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После успешных комплексных испытаний, система принимается в опытную эксплуатацию. Ввод в опытную эксплуатацию оформляется приказом Заказчика.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Опытная эксплуатация должна проводиться в соответствии с программой опытной эксплуатации, которая разрабатывается Подрядчиком.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Продолжительность опытной эксплуатации должна быть не менее 1 месяца.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Во время опытной эксплуатации эксплуатационный персонал Заказчика ведет рабочий журнал, в который заносятся сведения о продолжительности функционирования системы, отказах, сбоях, аварийных ситуациях, изменениях параметров объекта автоматизации, проводимых корректировках документации и программных средств, наладке технических средств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результатам опытной эксплуатации комиссией составляется акт о приемке подсистемы в постоянную эксплуатацию.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0" w:after="0"/>
              <w:ind w:hanging="1199" w:left="1214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прочим услугам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Организация обучения персонала Заказчика эксплуатации выключателей и комплектующего оборудования.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Техническое консультирование персонала Заказчика должно проводиться на объекте (строящейся ГАЭС) с момента начала монтажа основного и вспомогательного оборудования в рамках поставки и вплоть по завершения пусконаладочных работ.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итогу завершения оказания услуг оформляется акт об оказании услуг, подписываемый представителями Заказчика и Подрядчика.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14541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результатам выполнения работ / услуг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результату работ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Результатом работ является ввод системы пожарной автоматики в постоянную эксплуатацию, а также наличие всей необходимой для этого документации.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Документы, предоставляемые Заказчику</w:t>
            </w:r>
          </w:p>
        </w:tc>
        <w:tc>
          <w:tcPr>
            <w:tcW w:w="624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Акт сдачи-приемки выполненных Работ (по форме КС-2), Справка по форме КС-3 на бумажном носителе в 2-х экземплярах (для работ);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Акт о выполнении пусконаладочных работ на бумажном носителе в 2-х экземплярах (для пусконаладочных работ);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Акт о выполнении приемосдаточных испытаний на бумажном носителе в 2 (двух) экземплярах (на всех этапах);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-Акт КС-11 на бумажном носителе в 2-х экземплярах;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Передаточный документ (ТОРГ-12/УПД) (для поставляемых МТР);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конструкторская документация;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программы пусконаладочных работ на всех этапах;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протоколы, акты, технические отчеты;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руководства, инструкции, паспорта;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исполнительная документация по монтажу, исполнительные схемы;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2"/>
                <w:rFonts w:eastAsia="Times New Roman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документация, указанная в п.2.11.2. таблицы 3 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541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Прочие (дополнительные) требования </w:t>
            </w:r>
          </w:p>
        </w:tc>
      </w:tr>
      <w:tr>
        <w:trPr/>
        <w:tc>
          <w:tcPr>
            <w:tcW w:w="773" w:type="dxa"/>
            <w:tcBorders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привлекаемым субподрядчикам</w:t>
            </w:r>
          </w:p>
        </w:tc>
        <w:tc>
          <w:tcPr>
            <w:tcW w:w="6240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 привлечения к выполнению Работ субподрядчиков, Подрядчик обязан представить Заказчику на момент согласования договора с каждым Субподрядчиком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62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Подрядчик должен выполнять Работы силами квалифицированного и обученного персонала, имеющих соответствующий опыт и навыки при выполнении данного вида услуг. Персонал Подрядчика должен иметь все необходимые лицензии и удостоверения, подтверждающие возможность выполнения соответствующих типов работ (работы в действующих электроустановках и т.д.)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62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29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рамках допуска персонала Подрядчика на объекты АО «Загорская ГАЭС-2», им должны быть выполнены все мероприятия (до начала/во время/после окончания производства работ), обеспечивающие безопасность на рабочем месте, которые будут указаны в соответствующем Акте-допуске.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3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Организационно-технические мероприятия</w:t>
            </w:r>
          </w:p>
        </w:tc>
        <w:tc>
          <w:tcPr>
            <w:tcW w:w="62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Допуск персонала Подрядчика для выполнения работ осуществляется в соответствии с СП 48.13330.2019 «Организация строительства», требованиями Регламента допуска персонала подрядных организаций к выполнению работ на объектах Общества (Приложение №2 к Техническому заданию), утвержденного приказом АО «Загорская ГАЭС-2» от 06.03.2026 № ЗГАЭС2/83-0037 «Об утверждении Регламента процесса «Допуск персонала подрядных организаций на объекты АО «Загорская ГАЭС-2».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Необходимые разрешения и документы для выполнения Работ должны быть оформлены Подрядчиком заблаговременно. Для разрешения допуска на территорию Заказчика и оформления пропусков Подрядчик должен предоставить Заказчику список специалистов, которые будут выполнять Работы с указанием Ф.И.О., занимаемой должности, а также список автотранспорта.</w:t>
            </w: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992" w:right="567" w:gutter="0" w:header="0" w:top="680" w:footer="737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  <w:bookmarkStart w:id="93" w:name="_Toc240289538"/>
      <w:bookmarkStart w:id="94" w:name="_Toc240289538"/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ListParagraph"/>
        <w:keepNext w:val="true"/>
        <w:numPr>
          <w:ilvl w:val="0"/>
          <w:numId w:val="12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contextualSpacing w:val="false"/>
        <w:outlineLvl w:val="2"/>
        <w:rPr>
          <w:sz w:val="22"/>
        </w:rPr>
      </w:pPr>
      <w:r>
        <w:rPr>
          <w:rFonts w:eastAsia="新細明體" w:cs="Times New Roman" w:cstheme="majorBidi" w:eastAsiaTheme="majorEastAsia"/>
          <w:b/>
          <w:color w:val="000000" w:themeColor="text1"/>
          <w:sz w:val="22"/>
        </w:rPr>
        <w:t>Требования</w:t>
      </w:r>
      <w:r>
        <w:rPr>
          <w:b/>
          <w:bCs/>
          <w:sz w:val="22"/>
        </w:rPr>
        <w:t xml:space="preserve"> к документации по ценообразованию на этапе проведения конкурса.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ind w:hanging="0" w:left="0"/>
        <w:outlineLvl w:val="2"/>
        <w:rPr>
          <w:sz w:val="22"/>
        </w:rPr>
      </w:pPr>
      <w:r>
        <w:rPr>
          <w:sz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ind w:hanging="0" w:left="0"/>
        <w:outlineLvl w:val="2"/>
        <w:rPr>
          <w:sz w:val="22"/>
        </w:rPr>
      </w:pPr>
      <w:r>
        <w:rPr>
          <w:sz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ind w:firstLine="851" w:left="0"/>
        <w:outlineLvl w:val="2"/>
        <w:rPr>
          <w:sz w:val="22"/>
        </w:rPr>
      </w:pPr>
      <w:r>
        <w:rPr>
          <w:sz w:val="22"/>
        </w:rPr>
      </w:r>
    </w:p>
    <w:p>
      <w:pPr>
        <w:pStyle w:val="ListParagraph"/>
        <w:keepNext w:val="true"/>
        <w:numPr>
          <w:ilvl w:val="0"/>
          <w:numId w:val="12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contextualSpacing w:val="false"/>
        <w:outlineLvl w:val="2"/>
        <w:rPr>
          <w:sz w:val="22"/>
        </w:rPr>
      </w:pPr>
      <w:r>
        <w:rPr>
          <w:rFonts w:eastAsia="新細明體" w:cs="Times New Roman" w:cstheme="majorBidi" w:eastAsiaTheme="majorEastAsia"/>
          <w:b/>
          <w:color w:val="000000" w:themeColor="text1"/>
          <w:sz w:val="22"/>
        </w:rPr>
        <w:t>Требования</w:t>
      </w:r>
      <w:r>
        <w:rPr>
          <w:b/>
          <w:bCs/>
          <w:sz w:val="22"/>
        </w:rPr>
        <w:t xml:space="preserve"> к документации по ценообразованию на этапе исполнения договора.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142" w:leader="none"/>
          <w:tab w:val="left" w:pos="426" w:leader="none"/>
        </w:tabs>
        <w:spacing w:before="0" w:after="0"/>
        <w:ind w:hanging="0" w:left="360"/>
        <w:contextualSpacing w:val="false"/>
        <w:outlineLvl w:val="2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08"/>
          <w:tab w:val="left" w:pos="1935" w:leader="none"/>
        </w:tabs>
        <w:ind w:firstLine="709"/>
        <w:rPr>
          <w:sz w:val="22"/>
        </w:rPr>
      </w:pPr>
      <w:r>
        <w:rPr>
          <w:sz w:val="22"/>
        </w:rPr>
        <w:t>4.1. Разработка сметной документации осуществляется при исполнении договора в соответствии с договорными условиями и Приложением №1 к настоящим Техническим требованиям «Требования к оформлению и составлению сметной документации».</w:t>
      </w:r>
    </w:p>
    <w:p>
      <w:pPr>
        <w:pStyle w:val="Normal"/>
        <w:tabs>
          <w:tab w:val="clear" w:pos="708"/>
          <w:tab w:val="left" w:pos="1935" w:leader="none"/>
        </w:tabs>
        <w:ind w:firstLine="709"/>
        <w:rPr>
          <w:sz w:val="22"/>
        </w:rPr>
      </w:pPr>
      <w:r>
        <w:rPr>
          <w:sz w:val="22"/>
        </w:rPr>
        <w:t>4.2. В случае, если стоимость по разработанной смете Подрядчика будет превышать предельную стоимость, указанную в Договоре,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уменьшения. В случае, если стоимость по разработанной смете Подрядчика будет ниже стоимости, указанной в Договоре, взаиморасчеты будут осуществляться по данной смете без увеличения стоимости, указанной в Договоре.</w:t>
      </w:r>
      <w:r>
        <w:rPr>
          <w:rFonts w:eastAsia="新細明體" w:cs="Times New Roman" w:cstheme="majorBidi" w:eastAsiaTheme="majorEastAsia"/>
          <w:b/>
          <w:vanish/>
          <w:color w:val="000000" w:themeColor="text1"/>
          <w:sz w:val="22"/>
        </w:rPr>
        <w:t>Приложения</w:t>
      </w:r>
    </w:p>
    <w:p>
      <w:pPr>
        <w:pStyle w:val="Normal"/>
        <w:tabs>
          <w:tab w:val="clear" w:pos="708"/>
          <w:tab w:val="left" w:pos="1935" w:leader="none"/>
        </w:tabs>
        <w:ind w:firstLine="709"/>
        <w:rPr>
          <w:szCs w:val="24"/>
          <w:lang w:eastAsia="x-none"/>
        </w:rPr>
      </w:pPr>
      <w:r>
        <w:rPr>
          <w:szCs w:val="24"/>
          <w:lang w:eastAsia="x-none"/>
        </w:rPr>
      </w:r>
    </w:p>
    <w:p>
      <w:pPr>
        <w:pStyle w:val="ListParagraph"/>
        <w:keepNext w:val="true"/>
        <w:numPr>
          <w:ilvl w:val="0"/>
          <w:numId w:val="12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contextualSpacing w:val="false"/>
        <w:outlineLvl w:val="2"/>
        <w:rPr>
          <w:sz w:val="22"/>
        </w:rPr>
      </w:pPr>
      <w:r>
        <w:rPr>
          <w:rFonts w:eastAsia="新細明體" w:cs="Times New Roman" w:cstheme="majorBidi" w:eastAsiaTheme="majorEastAsia"/>
          <w:b/>
          <w:color w:val="000000" w:themeColor="text1"/>
          <w:sz w:val="22"/>
        </w:rPr>
        <w:t>Приложения</w:t>
      </w:r>
      <w:r>
        <w:rPr>
          <w:b/>
          <w:bCs/>
          <w:sz w:val="22"/>
        </w:rPr>
        <w:t>.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ind w:hanging="0" w:left="360"/>
        <w:contextualSpacing w:val="false"/>
        <w:outlineLvl w:val="2"/>
        <w:rPr>
          <w:sz w:val="22"/>
          <w:szCs w:val="22"/>
        </w:rPr>
      </w:pPr>
      <w:r>
        <w:rPr>
          <w:rFonts w:eastAsia="新細明體" w:cs="Times New Roman" w:cstheme="majorBidi" w:eastAsiaTheme="majorEastAsia"/>
          <w:color w:val="000000" w:themeColor="text1"/>
          <w:sz w:val="22"/>
          <w:szCs w:val="22"/>
        </w:rPr>
        <w:t xml:space="preserve">Приложение 1 </w:t>
      </w:r>
      <w:r>
        <w:rPr>
          <w:sz w:val="22"/>
          <w:szCs w:val="22"/>
        </w:rPr>
        <w:t>«Требования к оформлению и составлению сметной документации».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ind w:hanging="0" w:left="360"/>
        <w:contextualSpacing w:val="false"/>
        <w:outlineLvl w:val="2"/>
        <w:rPr>
          <w:sz w:val="22"/>
          <w:szCs w:val="22"/>
        </w:rPr>
      </w:pPr>
      <w:r>
        <w:rPr>
          <w:rFonts w:eastAsia="新細明體" w:cs="Times New Roman" w:cstheme="majorBidi" w:eastAsiaTheme="majorEastAsia"/>
          <w:color w:val="000000" w:themeColor="text1"/>
          <w:sz w:val="22"/>
          <w:szCs w:val="22"/>
        </w:rPr>
        <w:t xml:space="preserve">Приложение 2 </w:t>
      </w:r>
      <w:r>
        <w:rPr>
          <w:sz w:val="22"/>
          <w:szCs w:val="22"/>
        </w:rPr>
        <w:t>«Перечень утверждаемой части документации».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ind w:hanging="0" w:left="360"/>
        <w:contextualSpacing w:val="false"/>
        <w:outlineLvl w:val="2"/>
        <w:rPr>
          <w:sz w:val="22"/>
          <w:szCs w:val="22"/>
        </w:rPr>
      </w:pPr>
      <w:r>
        <w:rPr>
          <w:rFonts w:eastAsia="新細明體" w:cs="Times New Roman" w:cstheme="majorBidi" w:eastAsiaTheme="majorEastAsia"/>
          <w:color w:val="000000" w:themeColor="text1"/>
          <w:sz w:val="22"/>
          <w:szCs w:val="22"/>
        </w:rPr>
        <w:t xml:space="preserve">Приложение 3 </w:t>
      </w:r>
      <w:r>
        <w:rPr>
          <w:sz w:val="22"/>
          <w:szCs w:val="22"/>
        </w:rPr>
        <w:t>«Основные нормативные документы».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ind w:hanging="0" w:left="360"/>
        <w:contextualSpacing w:val="false"/>
        <w:outlineLvl w:val="2"/>
        <w:rPr>
          <w:sz w:val="22"/>
          <w:szCs w:val="22"/>
        </w:rPr>
      </w:pPr>
      <w:r>
        <w:rPr>
          <w:rFonts w:eastAsia="新細明體" w:cs="Times New Roman" w:cstheme="majorBidi" w:eastAsiaTheme="majorEastAsia"/>
          <w:color w:val="000000" w:themeColor="text1"/>
          <w:sz w:val="22"/>
          <w:szCs w:val="22"/>
        </w:rPr>
        <w:t xml:space="preserve">Приложение 4 </w:t>
      </w:r>
      <w:r>
        <w:rPr>
          <w:sz w:val="22"/>
          <w:szCs w:val="22"/>
        </w:rPr>
        <w:t>«Схемы структурные СПА».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426" w:leader="none"/>
        </w:tabs>
        <w:spacing w:before="0" w:after="0"/>
        <w:ind w:hanging="0" w:left="360"/>
        <w:contextualSpacing w:val="false"/>
        <w:outlineLvl w:val="2"/>
        <w:rPr>
          <w:sz w:val="22"/>
        </w:rPr>
      </w:pPr>
      <w:r>
        <w:rPr>
          <w:sz w:val="22"/>
        </w:rPr>
      </w:r>
      <w:bookmarkStart w:id="95" w:name="_GoBack"/>
      <w:bookmarkStart w:id="96" w:name="_GoBack"/>
      <w:bookmarkEnd w:id="96"/>
    </w:p>
    <w:p>
      <w:pPr>
        <w:pStyle w:val="Normal"/>
        <w:tabs>
          <w:tab w:val="clear" w:pos="708"/>
          <w:tab w:val="left" w:pos="1935" w:leader="none"/>
        </w:tabs>
        <w:ind w:left="57"/>
        <w:rPr>
          <w:sz w:val="22"/>
        </w:rPr>
      </w:pPr>
      <w:r>
        <w:rPr>
          <w:sz w:val="22"/>
        </w:rPr>
      </w:r>
      <w:r>
        <w:br w:type="page"/>
      </w:r>
    </w:p>
    <w:p>
      <w:pPr>
        <w:pStyle w:val="Normal"/>
        <w:spacing w:lineRule="auto" w:line="240" w:before="0" w:after="120"/>
        <w:contextualSpacing/>
        <w:jc w:val="right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Приложение № 1 </w:t>
      </w:r>
      <w:r>
        <w:rPr>
          <w:rFonts w:eastAsia="Calibri"/>
          <w:bCs/>
          <w:sz w:val="22"/>
          <w:szCs w:val="22"/>
        </w:rPr>
        <w:t>к Техническим требованиям</w:t>
      </w:r>
    </w:p>
    <w:p>
      <w:pPr>
        <w:pStyle w:val="Normal"/>
        <w:tabs>
          <w:tab w:val="clear" w:pos="708"/>
          <w:tab w:val="left" w:pos="567" w:leader="none"/>
          <w:tab w:val="left" w:pos="7513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Требования к оформлению и составлению сметной документации.</w:t>
      </w:r>
    </w:p>
    <w:p>
      <w:pPr>
        <w:pStyle w:val="ConsPlusNormal"/>
        <w:widowControl/>
        <w:tabs>
          <w:tab w:val="clear" w:pos="708"/>
          <w:tab w:val="left" w:pos="284" w:leader="none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Раздел 1. Требования к оформлению и составлению сметной документации на </w:t>
      </w:r>
      <w:r>
        <w:rPr>
          <w:rFonts w:cs="Times New Roman" w:ascii="Times New Roman" w:hAnsi="Times New Roman"/>
          <w:b/>
          <w:bCs/>
          <w:sz w:val="24"/>
          <w:szCs w:val="24"/>
        </w:rPr>
        <w:t>строительство и реконструкцию объектов капитального строительства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Style w:val="FootnoteReference"/>
          <w:rFonts w:cs="Times New Roman" w:ascii="Times New Roman" w:hAnsi="Times New Roman"/>
          <w:b/>
          <w:sz w:val="24"/>
          <w:szCs w:val="24"/>
        </w:rPr>
        <w:footnoteReference w:id="2"/>
      </w:r>
    </w:p>
    <w:p>
      <w:pPr>
        <w:pStyle w:val="ConsPlusNormal"/>
        <w:widowControl/>
        <w:tabs>
          <w:tab w:val="clear" w:pos="708"/>
          <w:tab w:val="left" w:pos="284" w:leader="none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1.</w:t>
        <w:tab/>
        <w:t xml:space="preserve">Основные условия ценообразования изложены в приложении №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к настоящим требованиям и являются неотъемлемой частью требований к составлению сметной документации.</w:t>
      </w:r>
    </w:p>
    <w:p>
      <w:pPr>
        <w:pStyle w:val="ConsPlusNormal"/>
        <w:widowControl/>
        <w:tabs>
          <w:tab w:val="clear" w:pos="708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2.</w:t>
        <w:tab/>
        <w:t>Использование</w:t>
      </w:r>
      <w:r>
        <w:rPr>
          <w:rFonts w:ascii="Times New Roman" w:hAnsi="Times New Roman"/>
          <w:sz w:val="24"/>
          <w:szCs w:val="24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4"/>
          <w:szCs w:val="24"/>
          <w:u w:val="single"/>
        </w:rPr>
        <w:t>не допускается</w:t>
      </w:r>
      <w:r>
        <w:rPr>
          <w:rFonts w:ascii="Times New Roman" w:hAnsi="Times New Roman"/>
          <w:sz w:val="24"/>
          <w:szCs w:val="24"/>
        </w:rPr>
        <w:t>, кроме случаев, прямо указанных в настоящих требованиях.</w:t>
      </w:r>
    </w:p>
    <w:p>
      <w:pPr>
        <w:pStyle w:val="ConsPlusNormal"/>
        <w:widowControl/>
        <w:tabs>
          <w:tab w:val="clear" w:pos="708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  <w:tab/>
        <w:t xml:space="preserve"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08.08.2022г № 648/пр. с учетом изменений и дополнений.</w:t>
      </w:r>
    </w:p>
    <w:p>
      <w:pPr>
        <w:pStyle w:val="Xmsolistparagraph"/>
        <w:shd w:val="clear" w:color="auto" w:fill="FFFFFF"/>
        <w:tabs>
          <w:tab w:val="clear" w:pos="708"/>
          <w:tab w:val="left" w:pos="1134" w:leader="none"/>
        </w:tabs>
        <w:spacing w:beforeAutospacing="0" w:before="0" w:afterAutospacing="0" w:after="0"/>
        <w:ind w:firstLine="567" w:left="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4.</w:t>
        <w:tab/>
        <w:t>Сметная цена материальных ресурсов и (или) оборудования (далее –МТР), закупаемых на территории региона субъекта Российской Федерации,</w:t>
      </w:r>
      <w:r>
        <w:rPr>
          <w:color w:val="1F497D"/>
          <w:shd w:fill="auto" w:val="clear"/>
        </w:rPr>
        <w:t xml:space="preserve"> </w:t>
      </w:r>
      <w:r>
        <w:rPr>
          <w:color w:val="000000"/>
          <w:shd w:fill="auto" w:val="clear"/>
        </w:rPr>
        <w:t>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 </w:t>
      </w:r>
      <w:r>
        <w:rPr>
          <w:i/>
          <w:sz w:val="24"/>
          <w:szCs w:val="24"/>
        </w:rPr>
        <w:t xml:space="preserve">отсутствии </w:t>
      </w:r>
      <w:r>
        <w:rPr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методами, предусмотренными Методикой ПЦ (методы без использования сметных нормативов)</w:t>
      </w:r>
    </w:p>
    <w:p>
      <w:pPr>
        <w:pStyle w:val="ConsPlusNormal"/>
        <w:tabs>
          <w:tab w:val="clear" w:pos="708"/>
          <w:tab w:val="left" w:pos="284" w:leader="none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</w:t>
        <w:tab/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>6.</w:t>
        <w:tab/>
        <w:t>Затраты на эксплуатацию строительной техники, не учтенной нормами и расценками, включенными в ФРСН, определяются Методами, предусмотренными Методикой ПЦ (методы без использования сметных нормативов) и включаются в Главу 9 ССР</w:t>
      </w:r>
      <w:r>
        <w:rPr>
          <w:b/>
          <w:color w:val="FF0000"/>
          <w:sz w:val="24"/>
          <w:szCs w:val="24"/>
        </w:rPr>
        <w:t>.</w:t>
      </w:r>
    </w:p>
    <w:p>
      <w:pPr>
        <w:pStyle w:val="ConsPlusNormal"/>
        <w:widowControl/>
        <w:tabs>
          <w:tab w:val="clear" w:pos="708"/>
          <w:tab w:val="left" w:pos="567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7.</w:t>
        <w:tab/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cs="Times New Roman" w:ascii="Times New Roman" w:hAnsi="Times New Roman"/>
          <w:i/>
          <w:color w:val="000000"/>
          <w:sz w:val="24"/>
          <w:szCs w:val="24"/>
          <w:shd w:fill="auto" w:val="clear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ибо указывается в примечании, через дополнительную информацию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(в ПК Гранд-Смета).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  <w:tab/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>9.</w:t>
        <w:tab/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</w:t>
        <w:tab/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</w:t>
        <w:tab/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12.</w:t>
        <w:tab/>
        <w:t xml:space="preserve">В </w:t>
      </w:r>
      <w:r>
        <w:rPr>
          <w:color w:val="000000"/>
          <w:sz w:val="24"/>
          <w:szCs w:val="24"/>
        </w:rPr>
        <w:t>ЛСР</w:t>
      </w:r>
      <w:r>
        <w:rPr>
          <w:sz w:val="24"/>
          <w:szCs w:val="24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ListParagraph"/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13.</w:t>
        <w:tab/>
        <w:t xml:space="preserve">В </w:t>
      </w:r>
      <w:r>
        <w:rPr>
          <w:color w:val="000000"/>
          <w:sz w:val="24"/>
          <w:szCs w:val="24"/>
        </w:rPr>
        <w:t>ЛСР</w:t>
      </w:r>
      <w:r>
        <w:rPr>
          <w:sz w:val="24"/>
          <w:szCs w:val="24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ListParagraph"/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14.</w:t>
        <w:tab/>
        <w:t>Сметная</w:t>
      </w:r>
      <w:r>
        <w:rPr>
          <w:sz w:val="24"/>
          <w:szCs w:val="24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. Методики определения сметной стоимости строительства: </w:t>
      </w:r>
    </w:p>
    <w:p>
      <w:pPr>
        <w:pStyle w:val="ConsPlusNormal"/>
        <w:widowControl w:val="false"/>
        <w:numPr>
          <w:ilvl w:val="0"/>
          <w:numId w:val="13"/>
        </w:numPr>
        <w:tabs>
          <w:tab w:val="clear" w:pos="708"/>
          <w:tab w:val="left" w:pos="709" w:leader="none"/>
          <w:tab w:val="left" w:pos="1134" w:leader="none"/>
        </w:tabs>
        <w:suppressAutoHyphens w:val="true"/>
        <w:bidi w:val="0"/>
        <w:spacing w:before="40" w:after="40"/>
        <w:ind w:firstLine="567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ConsPlusNormal"/>
        <w:widowControl w:val="false"/>
        <w:numPr>
          <w:ilvl w:val="0"/>
          <w:numId w:val="13"/>
        </w:numPr>
        <w:tabs>
          <w:tab w:val="clear" w:pos="708"/>
          <w:tab w:val="left" w:pos="709" w:leader="none"/>
          <w:tab w:val="left" w:pos="1134" w:leader="none"/>
        </w:tabs>
        <w:suppressAutoHyphens w:val="true"/>
        <w:bidi w:val="0"/>
        <w:spacing w:before="40" w:after="40"/>
        <w:ind w:firstLine="56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ConsPlusNormal"/>
        <w:tabs>
          <w:tab w:val="clear" w:pos="708"/>
          <w:tab w:val="left" w:pos="709" w:leader="none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Данные работы оформляются отдельными локальными сметами в соответствии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40" w:after="40"/>
        <w:ind w:firstLine="567" w:left="0"/>
        <w:contextualSpacing w:val="false"/>
        <w:jc w:val="both"/>
        <w:rPr/>
      </w:pPr>
      <w:r>
        <w:rPr>
          <w:sz w:val="24"/>
          <w:szCs w:val="24"/>
          <w:shd w:fill="auto" w:val="clear"/>
        </w:rPr>
        <w:t>15.</w:t>
        <w:tab/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соответствии со структурой пусконаладочных работ, приведенной в Общих положениях сборников на ПНР.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16.</w:t>
        <w:tab/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sz w:val="24"/>
          <w:szCs w:val="24"/>
        </w:rPr>
        <w:t>17.</w:t>
        <w:tab/>
        <w:t xml:space="preserve">В </w:t>
      </w:r>
      <w:r>
        <w:rPr>
          <w:color w:val="000000"/>
          <w:sz w:val="24"/>
          <w:szCs w:val="24"/>
        </w:rPr>
        <w:t>локальных</w:t>
      </w:r>
      <w:r>
        <w:rPr>
          <w:sz w:val="24"/>
          <w:szCs w:val="24"/>
        </w:rPr>
        <w:t xml:space="preserve"> сметных расчетах построчные и итоговые суммы </w:t>
      </w:r>
      <w:r>
        <w:rPr>
          <w:b/>
          <w:sz w:val="24"/>
          <w:szCs w:val="24"/>
          <w:u w:val="single"/>
        </w:rPr>
        <w:t>округлять:</w:t>
      </w:r>
    </w:p>
    <w:p>
      <w:pPr>
        <w:pStyle w:val="ConsPlusNormal"/>
        <w:widowControl w:val="false"/>
        <w:numPr>
          <w:ilvl w:val="0"/>
          <w:numId w:val="14"/>
        </w:numPr>
        <w:tabs>
          <w:tab w:val="clear" w:pos="708"/>
          <w:tab w:val="left" w:pos="709" w:leader="none"/>
          <w:tab w:val="left" w:pos="1134" w:leader="none"/>
        </w:tabs>
        <w:suppressAutoHyphens w:val="true"/>
        <w:bidi w:val="0"/>
        <w:spacing w:before="40" w:after="40"/>
        <w:ind w:firstLine="567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при ресурсно-индексном и ресурсным методах, а также в сметных расчетах на отдельные виды затрат - в рублях </w:t>
      </w:r>
      <w:r>
        <w:rPr>
          <w:rFonts w:cs="Times New Roman" w:ascii="Times New Roman" w:hAnsi="Times New Roman"/>
          <w:b/>
          <w:sz w:val="24"/>
          <w:szCs w:val="24"/>
        </w:rPr>
        <w:t>до целых единиц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"/>
        <w:widowControl w:val="false"/>
        <w:numPr>
          <w:ilvl w:val="0"/>
          <w:numId w:val="14"/>
        </w:numPr>
        <w:tabs>
          <w:tab w:val="clear" w:pos="708"/>
          <w:tab w:val="left" w:pos="709" w:leader="none"/>
          <w:tab w:val="left" w:pos="1134" w:leader="none"/>
        </w:tabs>
        <w:suppressAutoHyphens w:val="true"/>
        <w:bidi w:val="0"/>
        <w:spacing w:before="40" w:after="40"/>
        <w:ind w:firstLine="56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18.</w:t>
        <w:tab/>
        <w:t>Выходные</w:t>
      </w:r>
      <w:r>
        <w:rPr>
          <w:sz w:val="24"/>
          <w:szCs w:val="24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19.</w:t>
        <w:tab/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20.</w:t>
        <w:tab/>
        <w:t xml:space="preserve">При наличии двух и более сметных расчетов составлять ССР в текущем уровне цен </w:t>
      </w:r>
      <w:r>
        <w:rPr>
          <w:sz w:val="24"/>
          <w:szCs w:val="24"/>
        </w:rPr>
        <w:t xml:space="preserve">по форме </w:t>
      </w:r>
      <w:r>
        <w:rPr>
          <w:color w:val="000000"/>
          <w:sz w:val="24"/>
          <w:szCs w:val="24"/>
        </w:rPr>
        <w:t>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21.</w:t>
        <w:tab/>
        <w:t xml:space="preserve">В случае заключений дополнительных соглашений к договору (далее - д/с), ССР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4"/>
          <w:szCs w:val="24"/>
        </w:rPr>
        <w:t>ЛСР (</w:t>
      </w:r>
      <w:r>
        <w:rPr>
          <w:rFonts w:ascii="Times New Roman" w:hAnsi="Times New Roman"/>
          <w:color w:val="000000"/>
          <w:sz w:val="24"/>
          <w:szCs w:val="24"/>
        </w:rPr>
        <w:t xml:space="preserve">ЛС) к основному договору и ко всем заключенным д/с к нему. В итогах ССР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1.2 к </w:t>
      </w:r>
      <w:r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22.</w:t>
        <w:tab/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к Требованиям </w:t>
      </w:r>
      <w:r>
        <w:rPr>
          <w:rFonts w:ascii="Times New Roman" w:hAnsi="Times New Roman"/>
          <w:color w:val="000000"/>
          <w:sz w:val="24"/>
          <w:szCs w:val="24"/>
        </w:rPr>
        <w:t xml:space="preserve">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23.</w:t>
        <w:tab/>
        <w:t>ЛС являются приложениями к ССР. Нумерация приложений указывается по мере включения ЛС в ССР в накопительной форме - по порядку.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24.</w:t>
        <w:tab/>
        <w:t>Разнесение затрат (сумм ЛС) по графам и главам ССР осуществлять в соответствии с указаниями Методики определения сметной стоимости строительства.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25.</w:t>
        <w:tab/>
        <w:t xml:space="preserve">В ССР, построчные и итоговые суммы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указывать </w:t>
      </w:r>
      <w:r>
        <w:rPr>
          <w:rFonts w:ascii="Times New Roman" w:hAnsi="Times New Roman"/>
          <w:color w:val="000000"/>
          <w:sz w:val="24"/>
          <w:szCs w:val="24"/>
        </w:rPr>
        <w:t>в рублях с округлением до двух знаков после запятой. Величину НДС не указывать.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26.</w:t>
        <w:tab/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27.</w:t>
        <w:tab/>
        <w:t>Сметная документация должна быть представлена в двух вариантах:</w:t>
      </w:r>
    </w:p>
    <w:p>
      <w:pPr>
        <w:pStyle w:val="ConsPlusNormal"/>
        <w:widowControl w:val="false"/>
        <w:numPr>
          <w:ilvl w:val="0"/>
          <w:numId w:val="15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uppressAutoHyphens w:val="true"/>
        <w:bidi w:val="0"/>
        <w:spacing w:before="40" w:after="40"/>
        <w:ind w:firstLine="567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footnotePr>
            <w:numFmt w:val="decimal"/>
          </w:footnotePr>
          <w:type w:val="nextPage"/>
          <w:pgSz w:w="11906" w:h="16838"/>
          <w:pgMar w:left="1134" w:right="851" w:gutter="0" w:header="0" w:top="680" w:footer="737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ConsPlusNormal"/>
        <w:widowControl w:val="false"/>
        <w:numPr>
          <w:ilvl w:val="0"/>
          <w:numId w:val="15"/>
        </w:numPr>
        <w:tabs>
          <w:tab w:val="clear" w:pos="708"/>
          <w:tab w:val="left" w:pos="709" w:leader="none"/>
          <w:tab w:val="left" w:pos="851" w:leader="none"/>
        </w:tabs>
        <w:suppressAutoHyphens w:val="true"/>
        <w:bidi w:val="0"/>
        <w:spacing w:before="40" w:after="40"/>
        <w:ind w:firstLine="56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  <w:r>
        <w:br w:type="page"/>
      </w:r>
    </w:p>
    <w:p>
      <w:pPr>
        <w:pStyle w:val="ListParagraph"/>
        <w:suppressAutoHyphens w:val="true"/>
        <w:bidi w:val="0"/>
        <w:spacing w:lineRule="auto" w:line="240" w:before="0" w:after="0"/>
        <w:ind w:hanging="0" w:left="0" w:right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№1.1 </w:t>
      </w:r>
    </w:p>
    <w:p>
      <w:pPr>
        <w:pStyle w:val="ConsPlusNormal"/>
        <w:suppressAutoHyphens w:val="true"/>
        <w:bidi w:val="0"/>
        <w:spacing w:lineRule="auto" w:line="240"/>
        <w:ind w:hanging="0" w:left="0" w:right="0"/>
        <w:jc w:val="right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 Требования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suppressAutoHyphens w:val="true"/>
        <w:bidi w:val="0"/>
        <w:spacing w:lineRule="auto" w:line="240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9"/>
        <w:gridCol w:w="67"/>
        <w:gridCol w:w="1503"/>
        <w:gridCol w:w="538"/>
        <w:gridCol w:w="2614"/>
        <w:gridCol w:w="97"/>
        <w:gridCol w:w="11"/>
        <w:gridCol w:w="1404"/>
        <w:gridCol w:w="120"/>
        <w:gridCol w:w="13"/>
        <w:gridCol w:w="1543"/>
        <w:gridCol w:w="62"/>
        <w:gridCol w:w="14"/>
        <w:gridCol w:w="1693"/>
        <w:gridCol w:w="10"/>
        <w:gridCol w:w="32"/>
        <w:gridCol w:w="1776"/>
        <w:gridCol w:w="13"/>
        <w:gridCol w:w="271"/>
        <w:gridCol w:w="1533"/>
        <w:gridCol w:w="9"/>
        <w:gridCol w:w="106"/>
      </w:tblGrid>
      <w:tr>
        <w:trPr>
          <w:trHeight w:val="312" w:hRule="atLeast"/>
        </w:trPr>
        <w:tc>
          <w:tcPr>
            <w:tcW w:w="324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ОБРАЗЕЦ</w:t>
            </w:r>
          </w:p>
        </w:tc>
        <w:tc>
          <w:tcPr>
            <w:tcW w:w="2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1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635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__ от 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 Договору № _________ от ______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324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СОГЛАСОВАНО:</w:t>
            </w:r>
          </w:p>
        </w:tc>
        <w:tc>
          <w:tcPr>
            <w:tcW w:w="2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1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342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УТВЕРЖДАЮ: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324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___________________ФИО</w:t>
            </w:r>
          </w:p>
        </w:tc>
        <w:tc>
          <w:tcPr>
            <w:tcW w:w="2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1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342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___________________ФИО       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5969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"_______" _____________ 20___ г.</w:t>
            </w:r>
          </w:p>
        </w:tc>
        <w:tc>
          <w:tcPr>
            <w:tcW w:w="15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337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"______" ____________________ 20__ г.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5" w:hRule="atLeast"/>
        </w:trPr>
        <w:tc>
          <w:tcPr>
            <w:tcW w:w="113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78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Сводный сметный расчет в сумме:______</w:t>
            </w:r>
          </w:p>
        </w:tc>
        <w:tc>
          <w:tcPr>
            <w:tcW w:w="181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без НДС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44" w:hRule="atLeast"/>
        </w:trPr>
        <w:tc>
          <w:tcPr>
            <w:tcW w:w="113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СВОДНЫЙ СМЕТНЫЙ РАСЧЕТ </w:t>
            </w:r>
          </w:p>
        </w:tc>
        <w:tc>
          <w:tcPr>
            <w:tcW w:w="181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1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8" w:hRule="atLeast"/>
        </w:trPr>
        <w:tc>
          <w:tcPr>
            <w:tcW w:w="11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8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89" w:type="dxa"/>
            <w:gridSpan w:val="1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8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стройки)</w:t>
            </w:r>
          </w:p>
        </w:tc>
        <w:tc>
          <w:tcPr>
            <w:tcW w:w="181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1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986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55" w:hRule="atLeast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пп</w:t>
            </w:r>
          </w:p>
        </w:tc>
        <w:tc>
          <w:tcPr>
            <w:tcW w:w="21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2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667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руб.</w:t>
            </w:r>
          </w:p>
        </w:tc>
        <w:tc>
          <w:tcPr>
            <w:tcW w:w="18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сметная стоимость, руб.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строительных работ</w:t>
            </w:r>
          </w:p>
        </w:tc>
        <w:tc>
          <w:tcPr>
            <w:tcW w:w="161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монтажных работ</w:t>
            </w:r>
          </w:p>
        </w:tc>
        <w:tc>
          <w:tcPr>
            <w:tcW w:w="170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181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прочих</w:t>
            </w:r>
          </w:p>
        </w:tc>
        <w:tc>
          <w:tcPr>
            <w:tcW w:w="181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69" w:hRule="atLeast"/>
        </w:trPr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18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18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1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11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35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7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1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17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44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2. Основные объекты строительства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0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02-01-01</w:t>
            </w:r>
          </w:p>
        </w:tc>
        <w:tc>
          <w:tcPr>
            <w:tcW w:w="27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…</w:t>
            </w:r>
          </w:p>
        </w:tc>
        <w:tc>
          <w:tcPr>
            <w:tcW w:w="153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6" w:hRule="atLeast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Главе 2. "Основные объекты строительства"</w:t>
            </w:r>
          </w:p>
        </w:tc>
        <w:tc>
          <w:tcPr>
            <w:tcW w:w="15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1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Главам 1-12</w:t>
            </w:r>
          </w:p>
        </w:tc>
        <w:tc>
          <w:tcPr>
            <w:tcW w:w="15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1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144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Непредвиденные затраты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10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3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с учетом "Непредвиденные затраты"</w:t>
            </w:r>
          </w:p>
        </w:tc>
        <w:tc>
          <w:tcPr>
            <w:tcW w:w="15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1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сводному расчету</w:t>
            </w:r>
          </w:p>
        </w:tc>
        <w:tc>
          <w:tcPr>
            <w:tcW w:w="15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1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75" w:hRule="atLeast"/>
        </w:trPr>
        <w:tc>
          <w:tcPr>
            <w:tcW w:w="120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Составил:</w:t>
            </w:r>
          </w:p>
        </w:tc>
        <w:tc>
          <w:tcPr>
            <w:tcW w:w="315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7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6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8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206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0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5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99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06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206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0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Проверил:</w:t>
            </w:r>
          </w:p>
        </w:tc>
        <w:tc>
          <w:tcPr>
            <w:tcW w:w="315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7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60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8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724" w:hRule="atLeast"/>
        </w:trPr>
        <w:tc>
          <w:tcPr>
            <w:tcW w:w="1206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0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/>
              <w:object>
                <v:shapetype id="_x0000_tole_rId14" coordsize="21600,21600" o:spt="ole_rId1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4" type="_x0000_tole_rId14" style="width:68.3pt;height:43.8pt;mso-wrap-distance-right:0pt" filled="f" o:ole="">
                  <v:imagedata r:id="rId15" o:title=""/>
                </v:shape>
                <o:OLEObject Type="Embed" ProgID="Excel.Sheet.12" ShapeID="ole_rId14" DrawAspect="Icon" ObjectID="_578075262" r:id="rId14"/>
              </w:object>
            </w:r>
          </w:p>
        </w:tc>
        <w:tc>
          <w:tcPr>
            <w:tcW w:w="315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99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06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>
      <w:pPr>
        <w:pStyle w:val="Normal"/>
        <w:tabs>
          <w:tab w:val="clear" w:pos="708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  <w:r>
        <w:br w:type="page"/>
      </w:r>
    </w:p>
    <w:p>
      <w:pPr>
        <w:pStyle w:val="Normal"/>
        <w:spacing w:lineRule="auto" w:line="240" w:before="0" w:after="0"/>
        <w:ind w:firstLine="720" w:left="8646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№1.2 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ОБРАЗЕЦ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8"/>
        <w:gridCol w:w="198"/>
        <w:gridCol w:w="1300"/>
        <w:gridCol w:w="196"/>
        <w:gridCol w:w="2936"/>
        <w:gridCol w:w="213"/>
        <w:gridCol w:w="195"/>
        <w:gridCol w:w="1084"/>
        <w:gridCol w:w="1660"/>
        <w:gridCol w:w="221"/>
        <w:gridCol w:w="739"/>
        <w:gridCol w:w="826"/>
        <w:gridCol w:w="230"/>
        <w:gridCol w:w="481"/>
        <w:gridCol w:w="196"/>
        <w:gridCol w:w="755"/>
        <w:gridCol w:w="375"/>
        <w:gridCol w:w="20"/>
        <w:gridCol w:w="391"/>
        <w:gridCol w:w="395"/>
        <w:gridCol w:w="195"/>
        <w:gridCol w:w="1314"/>
      </w:tblGrid>
      <w:tr>
        <w:trPr>
          <w:trHeight w:val="78" w:hRule="atLeast"/>
        </w:trPr>
        <w:tc>
          <w:tcPr>
            <w:tcW w:w="2342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3344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96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22" w:type="dxa"/>
            <w:gridSpan w:val="9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УТВЕРЖДАЮ:</w:t>
            </w:r>
          </w:p>
        </w:tc>
      </w:tr>
      <w:tr>
        <w:trPr>
          <w:trHeight w:val="312" w:hRule="atLeast"/>
        </w:trPr>
        <w:tc>
          <w:tcPr>
            <w:tcW w:w="2342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 ФИО</w:t>
            </w:r>
          </w:p>
        </w:tc>
        <w:tc>
          <w:tcPr>
            <w:tcW w:w="3344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6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22" w:type="dxa"/>
            <w:gridSpan w:val="9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________________ФИО</w:t>
            </w:r>
          </w:p>
        </w:tc>
      </w:tr>
      <w:tr>
        <w:trPr>
          <w:trHeight w:val="312" w:hRule="atLeast"/>
        </w:trPr>
        <w:tc>
          <w:tcPr>
            <w:tcW w:w="5686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"___" _____________ 20__ г.</w:t>
            </w:r>
          </w:p>
        </w:tc>
        <w:tc>
          <w:tcPr>
            <w:tcW w:w="296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22" w:type="dxa"/>
            <w:gridSpan w:val="9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"___" _____________ 20__ г.</w:t>
            </w:r>
          </w:p>
        </w:tc>
      </w:tr>
      <w:tr>
        <w:trPr>
          <w:trHeight w:val="312" w:hRule="atLeast"/>
        </w:trPr>
        <w:tc>
          <w:tcPr>
            <w:tcW w:w="84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4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99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3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2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83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Сводный сметный расчет в сумме </w:t>
            </w:r>
          </w:p>
        </w:tc>
        <w:tc>
          <w:tcPr>
            <w:tcW w:w="231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руб. без НДС</w:t>
            </w:r>
          </w:p>
        </w:tc>
      </w:tr>
      <w:tr>
        <w:trPr>
          <w:trHeight w:val="312" w:hRule="atLeast"/>
        </w:trPr>
        <w:tc>
          <w:tcPr>
            <w:tcW w:w="64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27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229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64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08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4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3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i/>
                <w:iCs/>
                <w:sz w:val="20"/>
                <w:szCs w:val="20"/>
              </w:rPr>
              <w:t>(наименование стройки)</w:t>
            </w:r>
          </w:p>
        </w:tc>
        <w:tc>
          <w:tcPr>
            <w:tcW w:w="203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1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1123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13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4" w:hRule="atLeast"/>
        </w:trPr>
        <w:tc>
          <w:tcPr>
            <w:tcW w:w="64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3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1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4" w:hRule="atLeast"/>
        </w:trPr>
        <w:tc>
          <w:tcPr>
            <w:tcW w:w="64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3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1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пп</w:t>
            </w:r>
          </w:p>
        </w:tc>
        <w:tc>
          <w:tcPr>
            <w:tcW w:w="14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3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6975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руб.</w:t>
            </w:r>
          </w:p>
        </w:tc>
        <w:tc>
          <w:tcPr>
            <w:tcW w:w="231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 w:left="-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сметная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left="-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стоимость, руб</w:t>
            </w:r>
          </w:p>
        </w:tc>
      </w:tr>
      <w:tr>
        <w:trPr>
          <w:trHeight w:val="597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строитель-</w:t>
              <w:br/>
              <w:t>ных работ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монтажных работ</w:t>
            </w:r>
          </w:p>
        </w:tc>
        <w:tc>
          <w:tcPr>
            <w:tcW w:w="17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20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прочих</w:t>
            </w:r>
          </w:p>
        </w:tc>
        <w:tc>
          <w:tcPr>
            <w:tcW w:w="2315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595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8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32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92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8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37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15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312" w:hRule="atLeast"/>
        </w:trPr>
        <w:tc>
          <w:tcPr>
            <w:tcW w:w="1456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Глава 2. Основные объекты </w:t>
            </w:r>
          </w:p>
        </w:tc>
      </w:tr>
      <w:tr>
        <w:trPr>
          <w:trHeight w:val="312" w:hRule="atLeast"/>
        </w:trPr>
        <w:tc>
          <w:tcPr>
            <w:tcW w:w="1456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Сметы основного договора:</w:t>
            </w:r>
          </w:p>
        </w:tc>
      </w:tr>
      <w:tr>
        <w:trPr>
          <w:trHeight w:val="31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02-01-01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</w:t>
            </w:r>
          </w:p>
        </w:tc>
        <w:tc>
          <w:tcPr>
            <w:tcW w:w="313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1456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Исключить дополнительным соглашением №___</w:t>
            </w:r>
          </w:p>
        </w:tc>
      </w:tr>
      <w:tr>
        <w:trPr>
          <w:trHeight w:val="312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</w:t>
            </w:r>
          </w:p>
        </w:tc>
        <w:tc>
          <w:tcPr>
            <w:tcW w:w="313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исключено Дополнительным соглашением №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1456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Включить дополнительным соглашением №____</w:t>
            </w:r>
          </w:p>
        </w:tc>
      </w:tr>
      <w:tr>
        <w:trPr>
          <w:trHeight w:val="370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02-01-02/1</w:t>
            </w:r>
          </w:p>
        </w:tc>
        <w:tc>
          <w:tcPr>
            <w:tcW w:w="313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включено Дополнительным соглашением №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>
        <w:trPr>
          <w:trHeight w:val="222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Главе 2. "Основные объекты"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 сводному сметному расчету, без учета НДС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сумма основного договора (без НДС)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>
        <w:trPr>
          <w:trHeight w:val="771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ДС №___ от ___.__.20___г.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4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0  </w:t>
            </w:r>
          </w:p>
        </w:tc>
      </w:tr>
      <w:tr>
        <w:trPr>
          <w:trHeight w:val="375" w:hRule="atLeast"/>
        </w:trPr>
        <w:tc>
          <w:tcPr>
            <w:tcW w:w="64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Составил:</w:t>
            </w:r>
          </w:p>
        </w:tc>
        <w:tc>
          <w:tcPr>
            <w:tcW w:w="313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64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3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93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03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64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3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3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15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64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Проверил:</w:t>
            </w:r>
          </w:p>
        </w:tc>
        <w:tc>
          <w:tcPr>
            <w:tcW w:w="313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37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64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3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93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03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15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</w:tbl>
    <w:p>
      <w:pPr>
        <w:pStyle w:val="Normal"/>
        <w:tabs>
          <w:tab w:val="clear" w:pos="708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footnotePr>
            <w:numFmt w:val="decimal"/>
          </w:footnote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08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/>
        <w:object>
          <v:shapetype id="_x0000_tole_rId16" coordsize="21600,21600" o:spt="ole_rId1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6" type="_x0000_tole_rId16" style="width:79.4pt;height:50.45pt;mso-wrap-distance-right:0pt" filled="f" o:ole="">
            <v:imagedata r:id="rId17" o:title=""/>
          </v:shape>
          <o:OLEObject Type="Embed" ProgID="Excel.Sheet.12" ShapeID="ole_rId16" DrawAspect="Icon" ObjectID="_2027702526" r:id="rId16"/>
        </w:object>
      </w:r>
    </w:p>
    <w:p>
      <w:pPr>
        <w:pStyle w:val="Normal"/>
        <w:spacing w:lineRule="auto" w:line="240" w:before="0" w:after="0"/>
        <w:ind w:firstLine="720" w:left="5811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Приложение №1.3 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0"/>
          <w:szCs w:val="20"/>
        </w:rPr>
        <w:t>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от_______№_____ 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ОБРАЗЕЦ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5000" w:type="pct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76"/>
        <w:gridCol w:w="755"/>
        <w:gridCol w:w="757"/>
        <w:gridCol w:w="1134"/>
        <w:gridCol w:w="1135"/>
        <w:gridCol w:w="1512"/>
        <w:gridCol w:w="1513"/>
        <w:gridCol w:w="1888"/>
      </w:tblGrid>
      <w:tr>
        <w:trPr>
          <w:trHeight w:val="433" w:hRule="atLeast"/>
        </w:trPr>
        <w:tc>
          <w:tcPr>
            <w:tcW w:w="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3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шифр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подлежащая включению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подлежащая исключению</w:t>
            </w:r>
          </w:p>
        </w:tc>
        <w:tc>
          <w:tcPr>
            <w:tcW w:w="1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/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firstLine="720" w:left="5811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Приложение №1.4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0"/>
          <w:szCs w:val="20"/>
        </w:rPr>
        <w:t>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/>
        <w:t xml:space="preserve">к договору от_______№_____ </w:t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Сопоставительная ведомость объемов работ</w:t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tbl>
      <w:tblPr>
        <w:tblW w:w="10205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01"/>
        <w:gridCol w:w="671"/>
        <w:gridCol w:w="806"/>
        <w:gridCol w:w="1145"/>
        <w:gridCol w:w="868"/>
        <w:gridCol w:w="807"/>
        <w:gridCol w:w="805"/>
        <w:gridCol w:w="807"/>
        <w:gridCol w:w="805"/>
        <w:gridCol w:w="672"/>
        <w:gridCol w:w="536"/>
        <w:gridCol w:w="806"/>
        <w:gridCol w:w="1075"/>
      </w:tblGrid>
      <w:tr>
        <w:trPr/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 w:lef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3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1416" w:left="13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Примечание</w:t>
            </w:r>
          </w:p>
        </w:tc>
      </w:tr>
      <w:tr>
        <w:trPr/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720" w:left="-7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 w:lef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1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720" w:left="-8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увели</w:t>
            </w:r>
          </w:p>
          <w:p>
            <w:pPr>
              <w:pStyle w:val="ConsPlusNormal"/>
              <w:widowControl w:val="false"/>
              <w:ind w:firstLine="720" w:left="-8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снижение</w:t>
            </w:r>
          </w:p>
        </w:tc>
        <w:tc>
          <w:tcPr>
            <w:tcW w:w="8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footnotePr>
            <w:numFmt w:val="decimal"/>
          </w:footnotePr>
          <w:type w:val="nextPage"/>
          <w:pgSz w:w="11906" w:h="16838"/>
          <w:pgMar w:left="1701" w:right="1134" w:gutter="0" w:header="0" w:top="568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spacing w:lineRule="auto" w:line="240" w:before="0" w:after="0"/>
        <w:ind w:firstLine="720" w:left="5811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Приложение№1.5 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7"/>
        <w:gridCol w:w="116"/>
        <w:gridCol w:w="1113"/>
        <w:gridCol w:w="10"/>
        <w:gridCol w:w="86"/>
        <w:gridCol w:w="638"/>
        <w:gridCol w:w="57"/>
        <w:gridCol w:w="10"/>
        <w:gridCol w:w="622"/>
        <w:gridCol w:w="9"/>
        <w:gridCol w:w="740"/>
        <w:gridCol w:w="7"/>
        <w:gridCol w:w="543"/>
        <w:gridCol w:w="11"/>
        <w:gridCol w:w="592"/>
        <w:gridCol w:w="217"/>
        <w:gridCol w:w="9"/>
        <w:gridCol w:w="88"/>
        <w:gridCol w:w="12"/>
        <w:gridCol w:w="119"/>
        <w:gridCol w:w="9"/>
        <w:gridCol w:w="325"/>
        <w:gridCol w:w="268"/>
        <w:gridCol w:w="9"/>
        <w:gridCol w:w="303"/>
        <w:gridCol w:w="10"/>
        <w:gridCol w:w="423"/>
        <w:gridCol w:w="300"/>
        <w:gridCol w:w="7"/>
        <w:gridCol w:w="162"/>
        <w:gridCol w:w="10"/>
        <w:gridCol w:w="133"/>
        <w:gridCol w:w="957"/>
        <w:gridCol w:w="166"/>
        <w:gridCol w:w="9"/>
        <w:gridCol w:w="70"/>
        <w:gridCol w:w="8"/>
        <w:gridCol w:w="745"/>
        <w:gridCol w:w="115"/>
        <w:gridCol w:w="9"/>
        <w:gridCol w:w="100"/>
        <w:gridCol w:w="11"/>
        <w:gridCol w:w="377"/>
        <w:gridCol w:w="153"/>
        <w:gridCol w:w="9"/>
        <w:gridCol w:w="396"/>
        <w:gridCol w:w="9"/>
        <w:gridCol w:w="392"/>
        <w:gridCol w:w="193"/>
        <w:gridCol w:w="22"/>
        <w:gridCol w:w="111"/>
        <w:gridCol w:w="19"/>
        <w:gridCol w:w="121"/>
        <w:gridCol w:w="615"/>
        <w:gridCol w:w="16"/>
        <w:gridCol w:w="312"/>
        <w:gridCol w:w="769"/>
        <w:gridCol w:w="42"/>
        <w:gridCol w:w="935"/>
      </w:tblGrid>
      <w:tr>
        <w:trPr>
          <w:trHeight w:val="285" w:hRule="atLeast"/>
        </w:trPr>
        <w:tc>
          <w:tcPr>
            <w:tcW w:w="2890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591" w:type="dxa"/>
            <w:gridSpan w:val="9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779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3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8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14" w:type="dxa"/>
            <w:gridSpan w:val="1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5481" w:type="dxa"/>
            <w:gridSpan w:val="1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3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8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26" w:type="dxa"/>
            <w:gridSpan w:val="21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104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591" w:type="dxa"/>
            <w:gridSpan w:val="9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3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8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58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25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63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591" w:type="dxa"/>
            <w:gridSpan w:val="9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3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8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</w:tr>
      <w:tr>
        <w:trPr>
          <w:trHeight w:val="225" w:hRule="atLeast"/>
        </w:trPr>
        <w:tc>
          <w:tcPr>
            <w:tcW w:w="2890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1676" w:type="dxa"/>
            <w:gridSpan w:val="5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2890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370" w:type="dxa"/>
            <w:gridSpan w:val="1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ПК "ГРАНД-Смета 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013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2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2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58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04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0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91" w:type="dxa"/>
            <w:gridSpan w:val="9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3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8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2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8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4566" w:type="dxa"/>
            <w:gridSpan w:val="59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4566" w:type="dxa"/>
            <w:gridSpan w:val="59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4566" w:type="dxa"/>
            <w:gridSpan w:val="59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4566" w:type="dxa"/>
            <w:gridSpan w:val="59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>
        <w:trPr>
          <w:trHeight w:val="300" w:hRule="atLeast"/>
        </w:trPr>
        <w:tc>
          <w:tcPr>
            <w:tcW w:w="13631" w:type="dxa"/>
            <w:gridSpan w:val="58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Волжская ГЭС. ОРУ 220 кВ. Релейная защита и автоматика.Демонтажные работы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3631" w:type="dxa"/>
            <w:gridSpan w:val="58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(наименование работ и затрат)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Составлен </w:t>
            </w:r>
          </w:p>
        </w:tc>
        <w:tc>
          <w:tcPr>
            <w:tcW w:w="122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ресурсно-индексным</w:t>
            </w:r>
          </w:p>
        </w:tc>
        <w:tc>
          <w:tcPr>
            <w:tcW w:w="7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63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74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Основание</w:t>
            </w:r>
          </w:p>
        </w:tc>
        <w:tc>
          <w:tcPr>
            <w:tcW w:w="4771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ЭТЛ-13622-ЛС.1.ВОР</w:t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1" w:type="dxa"/>
            <w:gridSpan w:val="15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5" w:hRule="exac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889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Составлен(а) в текущем уровне цен </w:t>
            </w: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 xml:space="preserve">,    4 кв. 2025г  </w:t>
            </w:r>
          </w:p>
        </w:tc>
        <w:tc>
          <w:tcPr>
            <w:tcW w:w="918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73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5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1" w:type="dxa"/>
            <w:gridSpan w:val="4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216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791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74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37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5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5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7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63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791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75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791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машинистов</w:t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75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оборудования</w:t>
            </w:r>
          </w:p>
        </w:tc>
        <w:tc>
          <w:tcPr>
            <w:tcW w:w="791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75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240" w:hRule="atLeas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прочих затрат</w:t>
            </w:r>
          </w:p>
        </w:tc>
        <w:tc>
          <w:tcPr>
            <w:tcW w:w="791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50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75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195" w:hRule="exact"/>
        </w:trPr>
        <w:tc>
          <w:tcPr>
            <w:tcW w:w="92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0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4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4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№ 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72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91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1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4581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Сметная стоимость, руб.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9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722" w:type="dxa"/>
            <w:gridSpan w:val="10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17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213" w:type="dxa"/>
            <w:gridSpan w:val="1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581" w:type="dxa"/>
            <w:gridSpan w:val="2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73" w:hRule="atLeast"/>
        </w:trPr>
        <w:tc>
          <w:tcPr>
            <w:tcW w:w="9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722" w:type="dxa"/>
            <w:gridSpan w:val="10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17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73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изм</w:t>
            </w:r>
          </w:p>
        </w:tc>
        <w:tc>
          <w:tcPr>
            <w:tcW w:w="121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26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94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базисном уровне цен</w:t>
            </w:r>
          </w:p>
        </w:tc>
        <w:tc>
          <w:tcPr>
            <w:tcW w:w="6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99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текущем уровне цен</w:t>
            </w:r>
          </w:p>
        </w:tc>
        <w:tc>
          <w:tcPr>
            <w:tcW w:w="1216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в текущем уровне цен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22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1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6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16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footnotePr>
            <w:numFmt w:val="decimal"/>
          </w:footnote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Раздел 2. Требования к оформлению и составлению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сметной документации на выполнение проектных и изыскательских работ.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/>
      </w:pPr>
      <w:r>
        <w:rPr>
          <w:rFonts w:ascii="Times New Roman" w:hAnsi="Times New Roman"/>
          <w:sz w:val="24"/>
          <w:szCs w:val="24"/>
        </w:rPr>
        <w:t>1.</w:t>
        <w:tab/>
        <w:t>Настоящие требования разработаны для единого подхода к определению стоимости проектных и изыскательских работ (далее - ПИР).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</w:t>
        <w:tab/>
        <w:t>Затраты на проведение инженерных изысканий, подготовку проектной и рабочей документации определяются расчетами на основании сметных нормативов, сведения о которых включены в ФРСН.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/>
      </w:pPr>
      <w:r>
        <w:rPr>
          <w:sz w:val="24"/>
          <w:szCs w:val="24"/>
        </w:rPr>
        <w:t>3.</w:t>
        <w:tab/>
        <w:t xml:space="preserve">Сметы на ПИР составлять на основании технических требований (технического задания) заказчика, графиков производства работ, программы изысканий.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4.</w:t>
        <w:tab/>
        <w:t>Сметный расчет стоимости изыскательских работ составляется в соответствии с прилагаемой к сметному расчету программой изысканий. Программа изысканий составляется исполнителем на основе технического задания заказчика с учетом требований соответствующих нормативных документов, регламентирующих состав и объем изыскательских работ. По окончании изысканий составляется сметный расчет – исполнительная смета (необходимо предусмотреть условиями договора) на основе технического отчета по результатам изысканий в соответствии с составом и объемами фактически выполненных работ с учетом категории сложности их выполнения.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5.</w:t>
        <w:tab/>
        <w:t xml:space="preserve">Стоимость проектных работ на строительство, реконструкцию и техническое </w:t>
      </w:r>
      <w:r>
        <w:rPr>
          <w:sz w:val="24"/>
          <w:szCs w:val="24"/>
          <w:shd w:fill="auto" w:val="clear"/>
        </w:rPr>
        <w:t xml:space="preserve">перевооружение объектов производственного назначения определяется на основе Справочников базовых цен на соответствующие работы, входящих в ФРСН, «Методических указаний по применению Справочников базовых цен на проектные работы в строительстве», утвержденных Приказом Министерства регионального развития РФ от 29.12.2009 № 620 (далее - Методика №620) и Методики определения стоимости работ по подготовке проектной документации, утвержденной Приказом Министерства строительства и жилищно-коммунального хозяйства РФ от 1 октября 2021 г. N 707/пр. (далее – Методика №707) не противоречащим положениям Методики №620 и Справочникам базовых цен (далее – СБЦ) на проектные работы в строительстве .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6.</w:t>
        <w:tab/>
        <w:t xml:space="preserve">Стоимость изыскательских работ определять на основе «Методического пособия по определению стоимости инженерных изысканий для строительства», утвержденного письмом Госстроя России от 31.03.2004 № НЗ-2078/10 и внесенного в ФРСН нормативов или иного актуального документа. 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7.</w:t>
        <w:tab/>
        <w:t xml:space="preserve">При определении стоимости изыскательских работ </w:t>
      </w:r>
      <w:r>
        <w:rPr>
          <w:b/>
          <w:sz w:val="24"/>
          <w:szCs w:val="24"/>
        </w:rPr>
        <w:t>по согласованию с Заказчиком</w:t>
      </w:r>
      <w:r>
        <w:rPr>
          <w:sz w:val="24"/>
          <w:szCs w:val="24"/>
        </w:rPr>
        <w:t xml:space="preserve"> возможно применять следующие коэффициенты в соответствии с письмом ПАО «ПНИИИС» от 03.04.2014 №11/298:</w:t>
      </w:r>
    </w:p>
    <w:p>
      <w:pPr>
        <w:pStyle w:val="ListParagraph"/>
        <w:widowControl/>
        <w:numPr>
          <w:ilvl w:val="0"/>
          <w:numId w:val="16"/>
        </w:numPr>
        <w:tabs>
          <w:tab w:val="clear" w:pos="708"/>
          <w:tab w:val="left" w:pos="567" w:leader="none"/>
        </w:tabs>
        <w:suppressAutoHyphens w:val="true"/>
        <w:bidi w:val="0"/>
        <w:spacing w:lineRule="auto" w:line="240" w:before="0" w:after="0"/>
        <w:ind w:firstLine="624" w:left="0" w:right="0"/>
        <w:contextualSpacing/>
        <w:jc w:val="both"/>
        <w:rPr/>
      </w:pPr>
      <w:r>
        <w:rPr>
          <w:sz w:val="24"/>
          <w:szCs w:val="24"/>
        </w:rPr>
        <w:t>1,75 – «выполнение картографических работ с составлением планов (продольных профилей) в двух видах: на магнитном и бумажном носителях» (п. 15 е Общих указаний) - при наличии в технических требованиях указания о необходимости составления инженерно-топографических планов (продольных профилей) в двух видах (в электронном виде и на планшете на жесткой основе), либо при выявлении данных требований в процессе выполнения изысканий;</w:t>
      </w:r>
    </w:p>
    <w:p>
      <w:pPr>
        <w:pStyle w:val="ListParagraph"/>
        <w:widowControl/>
        <w:numPr>
          <w:ilvl w:val="0"/>
          <w:numId w:val="16"/>
        </w:numPr>
        <w:tabs>
          <w:tab w:val="clear" w:pos="708"/>
          <w:tab w:val="left" w:pos="567" w:leader="none"/>
        </w:tabs>
        <w:suppressAutoHyphens w:val="true"/>
        <w:bidi w:val="0"/>
        <w:spacing w:lineRule="auto" w:line="240" w:before="0" w:after="0"/>
        <w:ind w:firstLine="624" w:left="0" w:right="0"/>
        <w:contextualSpacing/>
        <w:jc w:val="both"/>
        <w:rPr/>
      </w:pPr>
      <w:r>
        <w:rPr>
          <w:sz w:val="24"/>
          <w:szCs w:val="24"/>
        </w:rPr>
        <w:t>1,2 – «выполнение камеральных и картографических работ с применением компьютерных технологий» (п. 15 д Общих указаний) – применяется при условии, что топографические планы выполняются только в электронном виде (распечатка является вариантом электронной версии);</w:t>
      </w:r>
    </w:p>
    <w:p>
      <w:pPr>
        <w:pStyle w:val="ListParagraph"/>
        <w:widowControl/>
        <w:numPr>
          <w:ilvl w:val="0"/>
          <w:numId w:val="16"/>
        </w:numPr>
        <w:tabs>
          <w:tab w:val="clear" w:pos="708"/>
          <w:tab w:val="left" w:pos="567" w:leader="none"/>
        </w:tabs>
        <w:suppressAutoHyphens w:val="true"/>
        <w:bidi w:val="0"/>
        <w:spacing w:lineRule="auto" w:line="240" w:before="0" w:after="0"/>
        <w:ind w:firstLine="624" w:left="0" w:right="0"/>
        <w:contextualSpacing/>
        <w:jc w:val="both"/>
        <w:rPr/>
      </w:pPr>
      <w:r>
        <w:rPr>
          <w:sz w:val="24"/>
          <w:szCs w:val="24"/>
        </w:rPr>
        <w:t>1,25 – «при выполнении полевых работ на территориях гидроэлектростанций» (п. 8 в Общих указаний) – на станциях Северного Кавказа и Амурской области;</w:t>
      </w:r>
    </w:p>
    <w:p>
      <w:pPr>
        <w:pStyle w:val="ListParagraph"/>
        <w:widowControl/>
        <w:numPr>
          <w:ilvl w:val="0"/>
          <w:numId w:val="16"/>
        </w:numPr>
        <w:tabs>
          <w:tab w:val="clear" w:pos="708"/>
          <w:tab w:val="left" w:pos="567" w:leader="none"/>
        </w:tabs>
        <w:suppressAutoHyphens w:val="true"/>
        <w:bidi w:val="0"/>
        <w:spacing w:lineRule="auto" w:line="240" w:before="0" w:after="0"/>
        <w:ind w:firstLine="624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1,15 – «при выполнении полевых работ на территориях гидроэлектростанций</w:t>
      </w:r>
      <w:r>
        <w:rPr>
          <w:sz w:val="24"/>
          <w:szCs w:val="24"/>
          <w:shd w:fill="auto" w:val="clear"/>
        </w:rPr>
        <w:t xml:space="preserve"> и ТЭЦ» (п. 8 в Общих указаний) – на всех гидроэлектростанциях и ТЭЦ, кроме станций Северного Кавказа и Амурской области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8.</w:t>
        <w:tab/>
        <w:t>Применение расценки, предусмотренной § 4 таблицы 73 «Изготовление копии профиля на кальке с оригинала, вычерченного в карандаше» обоснованно, если такой вид работ в действительности выполнялся (был предусмотрен заданием и/или программой работ).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9.</w:t>
        <w:tab/>
        <w:t>При определении стоимости ПИР в сметных расчетах указывать полное наименование нормативного документа, на основании, которого составляется сметная документация с указанием всех реквизитов документа.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10.</w:t>
        <w:tab/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11.</w:t>
        <w:tab/>
        <w:t>Проектная документация отдельных этапов строительства, реконструкции и различных видов объектов капитального строительства должна быть выполнена в соответствии с «Положением о составе разделов проектной документации и требованиях к их содержанию», утвержденным Постановлением Правительства РФ от 16.02.2008 №87.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12.</w:t>
        <w:tab/>
        <w:t>Пересчет сметной стоимости проектных (изыскательских) работ по состоянию на 01.01.2001г, 01.01.1995г. (1991г.) следует производить согласно индексам на указанные (проектные или изыскательские) работы, рекомендованным к 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13.</w:t>
        <w:tab/>
        <w:t xml:space="preserve">При определении стоимости проектных работ от стоимости строительства по сборникам базовых цен на проектные работы для строительства, разработанным в уровне цен 2001 года необходимо руководствоваться пунктом 2.2 раздела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МУ. При определении стоимости проектных работ от стоимости строительства по сборникам базовых цен на проектные работы для строительства (изд. 1994-1999 гг.) стоимость строительства следует приводить к уровню цен по состоянию на 01.01.1991. Для пересчета стоимости строительно-монтажных работ и прочих затрат из уровня цен по состоянию на 01.01.2000 в уровень цен по состоянию 01.01.1991 и обратно использовать соответствующее отношение индексов пересчета из уровня цен 1991-го и 2000 года в уровень цен I квартала 2010 года, опубликованных в последней официальной публикации индексов Министерства регионального развития Российской Федерации к уровню цен 1991 года (письмо от 20 января 2010 г. № 1289-СК/08). При отсутствии разделения стоимости строительства на «Строительно-монтажные работы», «Оборудование» и «Прочие затраты» применяется индекс на строительно-монтажные работы».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14.</w:t>
        <w:tab/>
        <w:t>При составлении сметной документации на подготовку проектной документации рекомендуется дополнить Технические требования пунктом о составлении проектной организацией Ведомости объемов конструктивных решений (элементов) и комплексов (видов) работ, оборудования.</w:t>
      </w:r>
    </w:p>
    <w:p>
      <w:pPr>
        <w:pStyle w:val="ConsPlusNormal"/>
        <w:widowControl/>
        <w:tabs>
          <w:tab w:val="clear" w:pos="708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15.</w:t>
        <w:tab/>
        <w:t xml:space="preserve">В сметных расчетах допускается использовать прогнозные индексы-дефляторы в соответствии с текущим прогнозом Министерства экономического развития РФ по строке ИПЦ (индекс потребительских цен), в среднем за год, вариант – базовый (указать реквизиты приказа при формировании ТТ) в размере … (указать размер применяемых индексов-дефляторов). </w:t>
      </w:r>
    </w:p>
    <w:p>
      <w:pPr>
        <w:pStyle w:val="ConsPlusNormal"/>
        <w:widowControl/>
        <w:tabs>
          <w:tab w:val="clear" w:pos="708"/>
          <w:tab w:val="left" w:pos="1134" w:leader="none"/>
        </w:tabs>
        <w:spacing w:before="40" w:after="40"/>
        <w:ind w:hanging="0" w:left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Стоимость работ определяется по формуле: </w:t>
      </w:r>
    </w:p>
    <w:p>
      <w:pPr>
        <w:pStyle w:val="ConsPlusNormal"/>
        <w:spacing w:before="40" w:after="40"/>
        <w:ind w:firstLine="1276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Цд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∗</m:t>
        </m:r>
        <m:r>
          <w:rPr>
            <w:rFonts w:ascii="Cambria Math" w:hAnsi="Cambria Math"/>
          </w:rPr>
          <m:t xml:space="preserve">Иинфл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</m:oMath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где</w:t>
      </w:r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Цд – стоимость договора;</w:t>
      </w:r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С - сметная стоимость подрядных работ, подлежащих выполнению подрядчиком; </w:t>
      </w:r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Иинф – индекс инфляции, рассчитываемый как среднее арифметическое значение между индексами прогнозной инфляции на даты начала и окончания работ. При расчете индекса прогнозной инфляции определение периода выполнения работ осуществляется исходя из продолжительности, установленной заказчиком в задании на выполнение проектных и изыскательских работ.</w:t>
      </w:r>
    </w:p>
    <w:p>
      <w:pPr>
        <w:pStyle w:val="ConsPlusNormal"/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В случае, если срок выполнения работ превышает календарный год, то индекс инфляции определяется по формуле: </w:t>
      </w:r>
    </w:p>
    <w:p>
      <w:pPr>
        <w:pStyle w:val="ConsPlusNormal"/>
        <w:widowControl/>
        <w:spacing w:before="40" w:after="40"/>
        <w:ind w:firstLine="426"/>
        <w:jc w:val="center"/>
        <w:rPr>
          <w:highlight w:val="none"/>
          <w:shd w:fill="auto" w:val="clear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И</m:t>
          </m:r>
          <m:r>
            <w:rPr>
              <w:rFonts w:ascii="Cambria Math" w:hAnsi="Cambria Math"/>
            </w:rPr>
            <m:t xml:space="preserve">инф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...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i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i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2</m:t>
              </m:r>
            </m:e>
          </m:d>
        </m:oMath>
      </m:oMathPara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где</w:t>
      </w:r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Д1,Д2,Д</w:t>
      </w:r>
      <w:r>
        <w:rPr>
          <w:color w:val="000000"/>
          <w:shd w:fill="auto" w:val="clear"/>
          <w:lang w:val="en-US"/>
        </w:rPr>
        <w:t>i</w:t>
      </w:r>
      <w:r>
        <w:rPr>
          <w:color w:val="000000"/>
          <w:shd w:fill="auto" w:val="clear"/>
        </w:rPr>
        <w:t xml:space="preserve"> - доля сметной стоимости работ, подлежащих выполнению соответственно в 1-й, 2-й, 3-й, i-ый годы строительства;</w:t>
      </w:r>
      <w:bookmarkStart w:id="97" w:name="l170"/>
      <w:bookmarkEnd w:id="97"/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i - год завершения строительства объекта;</w:t>
      </w:r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К1 -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  <w:bookmarkStart w:id="98" w:name="l38"/>
      <w:bookmarkEnd w:id="98"/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К2 - 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  <w:bookmarkStart w:id="99" w:name="l39"/>
      <w:bookmarkStart w:id="100" w:name="l171"/>
      <w:bookmarkEnd w:id="99"/>
      <w:bookmarkEnd w:id="100"/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К3 -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При этом:</w:t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(1)</w:t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>
      <w:pPr>
        <w:pStyle w:val="ConsPlusNormal"/>
        <w:widowControl/>
        <w:spacing w:before="40" w:after="4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16.</w:t>
        <w:tab/>
        <w:t>Стоимость разработки раздела «Оценка воздействия на окружающую среду» принимается в размере не более 4% от общей стоимости проектных работ.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</w:t>
        <w:tab/>
        <w:t>В случае отсутствия в сметных нормативах, сведения о которых включены в ФРСН, показателей и нормативов цены проектных работ, стоимость работ по подготовке проектной документации определяется в соответствии с положениями Методики №620, либо по нормативному акту, пришедшему на смену данному документу.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  <w:tab/>
        <w:t xml:space="preserve">Стоимость работ, цены на которые отсутствуют в МНЗ и СБЦ, внесенных в </w:t>
      </w:r>
      <w:r>
        <w:rPr>
          <w:rFonts w:cs="Times New Roman" w:ascii="Times New Roman" w:hAnsi="Times New Roman"/>
          <w:sz w:val="24"/>
          <w:szCs w:val="24"/>
        </w:rPr>
        <w:t>ФРСН</w:t>
      </w:r>
      <w:r>
        <w:rPr>
          <w:rFonts w:ascii="Times New Roman" w:hAnsi="Times New Roman"/>
          <w:sz w:val="24"/>
          <w:szCs w:val="24"/>
        </w:rPr>
        <w:t xml:space="preserve">, возможно определять сметным расчетом по себестоимости и сложившемуся уровню рентабельности (форма </w:t>
      </w:r>
      <w:hyperlink r:id="rId30">
        <w:r>
          <w:rPr>
            <w:rStyle w:val="Hyperlink"/>
            <w:rFonts w:ascii="Times New Roman" w:hAnsi="Times New Roman"/>
            <w:sz w:val="24"/>
            <w:szCs w:val="24"/>
          </w:rPr>
          <w:t>3п</w:t>
        </w:r>
      </w:hyperlink>
      <w:r>
        <w:rPr>
          <w:rFonts w:ascii="Times New Roman" w:hAnsi="Times New Roman"/>
          <w:sz w:val="24"/>
          <w:szCs w:val="24"/>
        </w:rPr>
        <w:t>) по согласованию с Заказчиком.</w:t>
      </w:r>
    </w:p>
    <w:p>
      <w:pPr>
        <w:pStyle w:val="ConsPlusNormal"/>
        <w:widowControl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</w:t>
        <w:tab/>
        <w:t>Сметы на ПИР предоставляются в форматах: «Excel» и «</w:t>
      </w:r>
      <w:r>
        <w:rPr>
          <w:rFonts w:cs="Times New Roman" w:ascii="Times New Roman" w:hAnsi="Times New Roman"/>
          <w:sz w:val="24"/>
          <w:szCs w:val="24"/>
          <w:lang w:val="en-US"/>
        </w:rPr>
        <w:t>pdf</w:t>
      </w:r>
      <w:r>
        <w:rPr>
          <w:rFonts w:cs="Times New Roman" w:ascii="Times New Roman" w:hAnsi="Times New Roman"/>
          <w:sz w:val="24"/>
          <w:szCs w:val="24"/>
        </w:rPr>
        <w:t>» (с подписями и печатью). Сметная документация в формате «Exce</w:t>
      </w:r>
      <w:r>
        <w:rPr>
          <w:rFonts w:cs="Times New Roman" w:ascii="Times New Roman" w:hAnsi="Times New Roman"/>
          <w:sz w:val="24"/>
          <w:szCs w:val="24"/>
          <w:lang w:val="en-US"/>
        </w:rPr>
        <w:t>l</w:t>
      </w:r>
      <w:r>
        <w:rPr>
          <w:rFonts w:cs="Times New Roman" w:ascii="Times New Roman" w:hAnsi="Times New Roman"/>
          <w:sz w:val="24"/>
          <w:szCs w:val="24"/>
        </w:rPr>
        <w:t>» должна быть представлена в одном файле с внесением ССРСС, ЛСР и других расчетов на отдельные листы (вкладки) документа.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  <w:tab/>
        <w:t xml:space="preserve">Результаты вычислений </w:t>
      </w:r>
      <w:r>
        <w:rPr>
          <w:rFonts w:cs="Times New Roman" w:ascii="Times New Roman" w:hAnsi="Times New Roman"/>
          <w:sz w:val="24"/>
          <w:szCs w:val="24"/>
        </w:rPr>
        <w:t xml:space="preserve">(построчные) </w:t>
      </w:r>
      <w:r>
        <w:rPr>
          <w:rFonts w:ascii="Times New Roman" w:hAnsi="Times New Roman"/>
          <w:sz w:val="24"/>
          <w:szCs w:val="24"/>
        </w:rPr>
        <w:t xml:space="preserve">и итоговые данные в </w:t>
      </w:r>
      <w:r>
        <w:rPr>
          <w:rFonts w:cs="Times New Roman" w:ascii="Times New Roman" w:hAnsi="Times New Roman"/>
          <w:sz w:val="24"/>
          <w:szCs w:val="24"/>
        </w:rPr>
        <w:t>ЛСР (ЛС), приводятся в рублях,</w:t>
      </w:r>
    </w:p>
    <w:p>
      <w:pPr>
        <w:pStyle w:val="ConsPlusNormal"/>
        <w:widowControl w:val="false"/>
        <w:numPr>
          <w:ilvl w:val="0"/>
          <w:numId w:val="17"/>
        </w:numPr>
        <w:tabs>
          <w:tab w:val="clear" w:pos="708"/>
          <w:tab w:val="left" w:pos="567" w:leader="none"/>
          <w:tab w:val="left" w:pos="1134" w:leader="none"/>
        </w:tabs>
        <w:suppressAutoHyphens w:val="true"/>
        <w:bidi w:val="0"/>
        <w:spacing w:before="0" w:after="0"/>
        <w:ind w:firstLine="624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 ресурсно-индексном и ресурсным методах, а также сметных расчетах на отдельные виды затрат - с округлением до целых единиц;</w:t>
      </w:r>
    </w:p>
    <w:p>
      <w:pPr>
        <w:pStyle w:val="ConsPlusNormal"/>
        <w:widowControl w:val="false"/>
        <w:numPr>
          <w:ilvl w:val="0"/>
          <w:numId w:val="17"/>
        </w:numPr>
        <w:tabs>
          <w:tab w:val="clear" w:pos="708"/>
          <w:tab w:val="left" w:pos="567" w:leader="none"/>
          <w:tab w:val="left" w:pos="1134" w:leader="none"/>
        </w:tabs>
        <w:suppressAutoHyphens w:val="true"/>
        <w:bidi w:val="0"/>
        <w:spacing w:before="0" w:after="0"/>
        <w:ind w:firstLine="624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сводной смете - в рублях с округлением до целых единиц. 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eastAsia="Geneva" w:cs="Arial" w:cstheme="minorBidi"/>
          <w:sz w:val="24"/>
          <w:szCs w:val="24"/>
          <w:lang w:eastAsia="en-US"/>
        </w:rPr>
      </w:pPr>
      <w:r>
        <w:rPr>
          <w:rFonts w:eastAsia="Geneva" w:cs="Arial" w:ascii="Times New Roman" w:hAnsi="Times New Roman" w:cstheme="minorBidi"/>
          <w:sz w:val="24"/>
          <w:szCs w:val="24"/>
          <w:lang w:eastAsia="en-US"/>
        </w:rPr>
        <w:t>21.</w:t>
        <w:tab/>
        <w:t xml:space="preserve">Командировочные расходы, учтенные в смете, подтверждаются отдельным расчетом. Лимиты командировочных расходов при производстве ПИР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не более</w:t>
      </w:r>
      <w:r>
        <w:rPr>
          <w:rFonts w:eastAsia="Geneva" w:cs="Arial" w:ascii="Times New Roman" w:hAnsi="Times New Roman" w:cstheme="minorBidi"/>
          <w:sz w:val="24"/>
          <w:szCs w:val="24"/>
          <w:lang w:eastAsia="en-US"/>
        </w:rPr>
        <w:t>: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Geneva"/>
          <w:sz w:val="24"/>
          <w:szCs w:val="24"/>
        </w:rPr>
      </w:pPr>
      <w:r>
        <w:rPr>
          <w:rFonts w:eastAsia="Geneva"/>
          <w:sz w:val="24"/>
          <w:szCs w:val="24"/>
        </w:rPr>
        <w:t>суточные - 700 руб./сутки;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Geneva"/>
          <w:sz w:val="24"/>
          <w:szCs w:val="24"/>
        </w:rPr>
      </w:pPr>
      <w:r>
        <w:rPr>
          <w:rFonts w:eastAsia="Geneva"/>
          <w:sz w:val="24"/>
          <w:szCs w:val="24"/>
        </w:rPr>
        <w:t>проживание – 5000 руб./сутки;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Geneva"/>
          <w:sz w:val="24"/>
          <w:szCs w:val="24"/>
        </w:rPr>
      </w:pPr>
      <w:r>
        <w:rPr>
          <w:rFonts w:eastAsia="Geneva"/>
          <w:sz w:val="24"/>
          <w:szCs w:val="24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  <w:tab/>
        <w:t>При одновременной разработке проектной и полной или частичной разработке рабочей документации, суммарный процент базовой цены определяется по согласованию между Заказчиком и Подрядчиком в зависимости от архитектурных, функционально-технологических, конструктивных и инженерно-технических решений, содержащихся в проектной документации и степени их детализации.</w:t>
      </w:r>
    </w:p>
    <w:p>
      <w:pPr>
        <w:sectPr>
          <w:headerReference w:type="default" r:id="rId31"/>
          <w:headerReference w:type="first" r:id="rId32"/>
          <w:footerReference w:type="default" r:id="rId33"/>
          <w:footerReference w:type="first" r:id="rId34"/>
          <w:footnotePr>
            <w:numFmt w:val="decimal"/>
          </w:footnotePr>
          <w:type w:val="nextPage"/>
          <w:pgSz w:w="11906" w:h="16838"/>
          <w:pgMar w:left="1701" w:right="1134" w:gutter="0" w:header="0" w:top="568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  <w:tab/>
        <w:t xml:space="preserve">Выполнение обследований и обмерных работ на объектах, подлежащих реконструкции, расширению и техническому перевооружению рассчитывается по соответствующим Справочникам и относится в </w:t>
      </w:r>
      <w:r>
        <w:rPr>
          <w:rFonts w:ascii="Times New Roman" w:hAnsi="Times New Roman"/>
          <w:color w:val="000000"/>
          <w:sz w:val="24"/>
          <w:szCs w:val="24"/>
        </w:rPr>
        <w:t>главу 1 ССРСС.</w:t>
      </w:r>
      <w:r>
        <w:rPr>
          <w:rFonts w:ascii="Times New Roman" w:hAnsi="Times New Roman"/>
          <w:sz w:val="24"/>
          <w:szCs w:val="24"/>
        </w:rPr>
        <w:t xml:space="preserve"> Стоимость данных работ не включается в расчет стоимости проведения государственной экспертизы.</w:t>
      </w:r>
      <w:r>
        <w:rPr>
          <w:rFonts w:ascii="Times New Roman" w:hAnsi="Times New Roman"/>
        </w:rPr>
        <w:t xml:space="preserve"> </w:t>
      </w:r>
      <w:r>
        <w:br w:type="page"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right"/>
        <w:rPr/>
      </w:pPr>
      <w:r>
        <w:rPr>
          <w:sz w:val="20"/>
        </w:rPr>
        <w:t>Приложение № 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right"/>
        <w:rPr/>
      </w:pPr>
      <w:r>
        <w:rPr>
          <w:sz w:val="20"/>
        </w:rPr>
        <w:t>к Требованиям к оформлению и составлению сметной документации на выполнение проектных и изыскательских работ</w:t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ПОЯСНИТЕЛЬНАЯ ЗАПИСКА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заполнению формы №3п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при составлении смет на ПИР.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1" w:name="RANGE!A1%25253AD25"/>
      <w:bookmarkEnd w:id="101"/>
      <w:r>
        <w:rPr>
          <w:color w:val="000000"/>
          <w:sz w:val="24"/>
          <w:szCs w:val="24"/>
        </w:rPr>
        <w:t>1.</w:t>
        <w:tab/>
        <w:t>При составлении калькуляции затрат (форма №3п), разработанным организацией, выполняющей ПИР, Заказчику предоставляется обоснование расчета. Сметные расчеты составляются в ценах текущего периода.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  <w:tab/>
        <w:t>Калькуляцией затрат (форма №3п) рекомендуется определять стоимость работ, цены на которые отсутствуют в МНЗ и СБЦ, внесенных в ФРСН.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  <w:tab/>
        <w:t>Стоимость работ и расходов в соответствии с калькуляцией затрат определяется согласно положениям Методики №707 с учетом следующего: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</w:t>
        <w:tab/>
        <w:t>Стоимость проектных работ и расходов (</w:t>
      </w: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Спр</m:t>
        </m:r>
      </m:oMath>
      <w:r>
        <w:rPr>
          <w:rFonts w:cs="Times New Roman" w:ascii="Times New Roman" w:hAnsi="Times New Roman"/>
          <w:sz w:val="24"/>
          <w:szCs w:val="24"/>
        </w:rPr>
        <w:t>) в соответствии с калькуляцией затрат определяется по формуле:</w:t>
      </w:r>
    </w:p>
    <w:p>
      <w:pPr>
        <w:pStyle w:val="ConsPlusNormal"/>
        <w:tabs>
          <w:tab w:val="clear" w:pos="708"/>
          <w:tab w:val="left" w:pos="0" w:leader="none"/>
          <w:tab w:val="left" w:pos="1134" w:leader="none"/>
        </w:tabs>
        <w:ind w:hanging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С</m:t>
              </m:r>
            </m:e>
            <m:sub>
              <m:r>
                <w:rPr>
                  <w:rFonts w:ascii="Cambria Math" w:hAnsi="Cambria Math"/>
                </w:rPr>
                <m:t xml:space="preserve">пр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В</m:t>
              </m:r>
            </m:e>
            <m:sub>
              <m:r>
                <w:rPr>
                  <w:rFonts w:ascii="Cambria Math" w:hAnsi="Cambria Math"/>
                </w:rPr>
                <m:t xml:space="preserve">ср</m:t>
              </m:r>
            </m:sub>
          </m:sSub>
          <m:r>
            <w:rPr>
              <w:rFonts w:ascii="Cambria Math" w:hAnsi="Cambria Math"/>
            </w:rPr>
            <m:t xml:space="preserve">×</m:t>
          </m:r>
          <m:sSub>
            <m:e>
              <m:r>
                <w:rPr>
                  <w:rFonts w:ascii="Cambria Math" w:hAnsi="Cambria Math"/>
                </w:rPr>
                <m:t xml:space="preserve">Т</m:t>
              </m:r>
            </m:e>
            <m:sub>
              <m:r>
                <w:rPr>
                  <w:rFonts w:ascii="Cambria Math" w:hAnsi="Cambria Math"/>
                </w:rPr>
                <m:t xml:space="preserve">п</m:t>
              </m:r>
            </m:sub>
          </m:sSub>
          <m:r>
            <w:rPr>
              <w:rFonts w:ascii="Cambria Math" w:hAnsi="Cambria Math"/>
            </w:rPr>
            <m:t xml:space="preserve">×</m:t>
          </m:r>
          <m:sSub>
            <m:e>
              <m:r>
                <w:rPr>
                  <w:rFonts w:ascii="Cambria Math" w:hAnsi="Cambria Math"/>
                </w:rPr>
                <m:t xml:space="preserve">Ч</m:t>
              </m:r>
            </m:e>
            <m:sub>
              <m:r>
                <w:rPr>
                  <w:rFonts w:ascii="Cambria Math" w:hAnsi="Cambria Math"/>
                </w:rPr>
                <m:t xml:space="preserve">общ</m:t>
              </m:r>
            </m:sub>
          </m:sSub>
          <m:r>
            <w:rPr>
              <w:rFonts w:ascii="Cambria Math" w:hAnsi="Cambria Math"/>
            </w:rPr>
            <m:t xml:space="preserve">×</m:t>
          </m:r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кв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уч</m:t>
              </m:r>
            </m:sub>
          </m:sSub>
        </m:oMath>
      </m:oMathPara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где: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Спр</m:t>
        </m:r>
      </m:oMath>
      <w:r>
        <w:rPr>
          <w:rFonts w:cs="Times New Roman"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стоимость проектных работ, определенная в соответствии с калькуляцией затрат, рублей;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Вср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среднедневная выработка одного непосредственного исполнителя, рублей;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Тп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плановая продолжительность выполнения проектных работ, предусмотренных калькуляцией затрат, дни;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Чобщ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общая численность непосредственных исполнителей-проектировщиков, занятых в выполнении проектных работ, предусмотренных калькуляцией затрат, чел.;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Ккв-уч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корректирующий коэффициент, учитывающий степень участия исполнителей различной квалификации в выполнении проектных работ, предусмотренных калькуляцией затрат (далее - коэффициент квалификации-участия);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</w:t>
        <w:tab/>
        <w:t>среднедневная выработка (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m:rPr>
            <m:lit/>
            <m:nor/>
          </m:rPr>
          <w:rPr>
            <w:rFonts w:ascii="Cambria Math" w:hAnsi="Cambria Math"/>
          </w:rPr>
          <m:t xml:space="preserve">ср</m:t>
        </m:r>
      </m:oMath>
      <w:r>
        <w:rPr>
          <w:rFonts w:cs="Times New Roman" w:ascii="Times New Roman" w:hAnsi="Times New Roman"/>
          <w:sz w:val="24"/>
          <w:szCs w:val="24"/>
        </w:rPr>
        <w:t>) определяется по формуле:</w:t>
      </w:r>
    </w:p>
    <w:p>
      <w:pPr>
        <w:pStyle w:val="ConsPlusNormal"/>
        <w:tabs>
          <w:tab w:val="clear" w:pos="708"/>
          <w:tab w:val="left" w:pos="1134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tabs>
          <w:tab w:val="clear" w:pos="708"/>
          <w:tab w:val="left" w:pos="0" w:leader="none"/>
          <w:tab w:val="left" w:pos="1134" w:leader="none"/>
        </w:tabs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В</m:t>
              </m:r>
            </m:e>
            <m:sub>
              <m:r>
                <w:rPr>
                  <w:rFonts w:ascii="Cambria Math" w:hAnsi="Cambria Math"/>
                </w:rPr>
                <m:t xml:space="preserve">ср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ЗП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ср</m:t>
                  </m:r>
                </m:sub>
              </m:sSub>
              <m:r>
                <w:rPr>
                  <w:rFonts w:ascii="Cambria Math" w:hAnsi="Cambria Math"/>
                </w:rPr>
                <m:t xml:space="preserve">×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Р</m:t>
                  </m:r>
                </m:e>
              </m:d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К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den>
          </m:f>
        </m:oMath>
      </m:oMathPara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где: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Р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коэффициент уровня рентабельности (сметной прибыли), принимается Р = 0,1 (1%) согласно </w:t>
      </w:r>
      <w:hyperlink w:anchor="P1643">
        <w:r>
          <w:rPr>
            <w:rStyle w:val="Hyperlink"/>
            <w:rFonts w:cs="Times New Roman" w:ascii="Times New Roman" w:hAnsi="Times New Roman"/>
            <w:sz w:val="24"/>
            <w:szCs w:val="24"/>
          </w:rPr>
          <w:t>таблице 1.2</w:t>
        </w:r>
      </w:hyperlink>
      <w:r>
        <w:rPr>
          <w:rFonts w:cs="Times New Roman" w:ascii="Times New Roman" w:hAnsi="Times New Roman"/>
          <w:sz w:val="24"/>
          <w:szCs w:val="24"/>
        </w:rPr>
        <w:t>, приведенной в приложении N 2 к Методике №707;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ЗП</m:t>
        </m:r>
        <m:r>
          <m:rPr>
            <m:lit/>
            <m:nor/>
          </m:rPr>
          <w:rPr>
            <w:rFonts w:ascii="Cambria Math" w:hAnsi="Cambria Math"/>
          </w:rPr>
          <m:t xml:space="preserve">ср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среднедневная заработная плата, тыс. руб. Принимается по данным Росстата о среднемесячной номинальной начисленной заработной плате работающих в экономике, по видам экономической деятельности в Российской Федерации для деятельности в области архитектуры (</w:t>
      </w:r>
      <w:hyperlink r:id="rId35">
        <w:r>
          <w:rPr>
            <w:rStyle w:val="Hyperlink"/>
            <w:rFonts w:cs="Times New Roman" w:ascii="Times New Roman" w:hAnsi="Times New Roman"/>
            <w:sz w:val="24"/>
            <w:szCs w:val="24"/>
          </w:rPr>
          <w:t>код 71.11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согласно ОК 029-2014 (КДЕС ред. 2) "Общероссийский классификатор видов экономической деятельности" (далее - Общероссийский классификатор) за год, предшествующий году определения сметной стоимости объекта проектирования (среднее значение за период январь - декабрь), исходя из усредненного на основании производственного календаря количества рабочих дней в месяце для года,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предшествующего году определения сметной стоимости проектных работ и с учетом Классификатора объектов административно-территориального деления (ОКАТО) Проектной организации. </w:t>
      </w:r>
      <w:r>
        <w:rPr>
          <w:rFonts w:cs="Times New Roman" w:ascii="Times New Roman" w:hAnsi="Times New Roman"/>
          <w:sz w:val="24"/>
          <w:szCs w:val="24"/>
        </w:rPr>
        <w:t xml:space="preserve">Для работ по проектированию объектов, являющихся особо опасными, технически сложными, уникальными объектами согласно </w:t>
      </w:r>
      <w:hyperlink r:id="rId36">
        <w:r>
          <w:rPr>
            <w:rStyle w:val="Hyperlink"/>
            <w:rFonts w:cs="Times New Roman" w:ascii="Times New Roman" w:hAnsi="Times New Roman"/>
            <w:sz w:val="24"/>
            <w:szCs w:val="24"/>
          </w:rPr>
          <w:t>статье 48.1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Градостроительного кодекса Российской Федерации, а также для работ по подготовке проектной документации, содержащей материалы в форме информационной модели, среднемесячная заработная плата принимается для деятельности в области инженерно-технического проектирования (</w:t>
      </w:r>
      <w:hyperlink r:id="rId37">
        <w:r>
          <w:rPr>
            <w:rStyle w:val="Hyperlink"/>
            <w:rFonts w:cs="Times New Roman" w:ascii="Times New Roman" w:hAnsi="Times New Roman"/>
            <w:sz w:val="24"/>
            <w:szCs w:val="24"/>
          </w:rPr>
          <w:t>код 71.12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согласно ОК 029-2014 (КДЕС ред. 2) Общероссийского классификатора)</w:t>
      </w:r>
      <w:r>
        <w:rPr>
          <w:rStyle w:val="FootnoteReference"/>
          <w:rFonts w:cs="Times New Roman" w:ascii="Times New Roman" w:hAnsi="Times New Roman"/>
          <w:sz w:val="24"/>
          <w:szCs w:val="24"/>
        </w:rPr>
        <w:footnoteReference w:id="3"/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К</m:t>
        </m:r>
        <m:r>
          <w:rPr>
            <w:rFonts w:ascii="Cambria Math" w:hAnsi="Cambria Math"/>
          </w:rPr>
          <m:t xml:space="preserve">з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коэффициент, учитывающий долю оплаты труда производственного персонала в себестоимости проектных работ: К3 принимается в размере 40,06%;</w:t>
      </w:r>
    </w:p>
    <w:p>
      <w:pPr>
        <w:pStyle w:val="ConsPlusNormal"/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</w:t>
        <w:tab/>
        <w:t>коэффициент, квалификации-участия (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К</m:t>
            </m:r>
          </m:e>
          <m:sub>
            <m:r>
              <w:rPr>
                <w:rFonts w:ascii="Cambria Math" w:hAnsi="Cambria Math"/>
              </w:rPr>
              <m:t xml:space="preserve">кв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уч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>), определяется по формуле:</w:t>
      </w:r>
    </w:p>
    <w:p>
      <w:pPr>
        <w:pStyle w:val="ConsPlusNormal"/>
        <w:tabs>
          <w:tab w:val="clear" w:pos="708"/>
          <w:tab w:val="left" w:pos="1134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tabs>
          <w:tab w:val="clear" w:pos="708"/>
          <w:tab w:val="left" w:pos="1134" w:leader="none"/>
        </w:tabs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кв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уч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nary>
                <m:naryPr>
                  <m:chr m:val="∑"/>
                </m:naryPr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</m:sup>
                <m:e>
                  <m:f>
                    <m:num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ф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i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общ</m:t>
                          </m:r>
                        </m:sub>
                      </m:sSub>
                    </m:den>
                  </m:f>
                </m:e>
              </m:nary>
              <m:r>
                <w:rPr>
                  <w:rFonts w:ascii="Cambria Math" w:hAnsi="Cambria Math"/>
                </w:rPr>
                <m:t xml:space="preserve">×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</m:sub>
              </m:sSub>
              <m:r>
                <w:rPr>
                  <w:rFonts w:ascii="Cambria Math" w:hAnsi="Cambria Math"/>
                </w:rPr>
                <m:t xml:space="preserve">×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И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общ</m:t>
                  </m:r>
                </m:sub>
              </m:sSub>
            </m:den>
          </m:f>
        </m:oMath>
      </m:oMathPara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где: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И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индекс квалификации непосредственных исполнителей согласно </w:t>
      </w:r>
      <w:hyperlink w:anchor="P1654">
        <w:r>
          <w:rPr>
            <w:rStyle w:val="Hyperlink"/>
            <w:rFonts w:cs="Times New Roman" w:ascii="Times New Roman" w:hAnsi="Times New Roman"/>
            <w:sz w:val="24"/>
            <w:szCs w:val="24"/>
          </w:rPr>
          <w:t>таблицам 1.3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- </w:t>
      </w:r>
      <w:hyperlink w:anchor="P1701">
        <w:r>
          <w:rPr>
            <w:rStyle w:val="Hyperlink"/>
            <w:rFonts w:cs="Times New Roman" w:ascii="Times New Roman" w:hAnsi="Times New Roman"/>
            <w:sz w:val="24"/>
            <w:szCs w:val="24"/>
          </w:rPr>
          <w:t>1.4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приведенным в приложении N 2 к Методике №707. Для отдельных отраслей индексы, приведенные в </w:t>
      </w:r>
      <w:hyperlink w:anchor="P1654">
        <w:r>
          <w:rPr>
            <w:rStyle w:val="Hyperlink"/>
            <w:rFonts w:cs="Times New Roman" w:ascii="Times New Roman" w:hAnsi="Times New Roman"/>
            <w:sz w:val="24"/>
            <w:szCs w:val="24"/>
          </w:rPr>
          <w:t>таблицах 1.3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- </w:t>
      </w:r>
      <w:hyperlink w:anchor="P1701">
        <w:r>
          <w:rPr>
            <w:rStyle w:val="Hyperlink"/>
            <w:rFonts w:cs="Times New Roman" w:ascii="Times New Roman" w:hAnsi="Times New Roman"/>
            <w:sz w:val="24"/>
            <w:szCs w:val="24"/>
          </w:rPr>
          <w:t>1.4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приложения N 2 к Методике №707, подлежат уточнению при предоставлении соответствующих обоснований (бухгалтерских справок и аналогичных документов), документально подтвержденных уполномоченными лицами проектной организации;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Ч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численность исполнителей одинаковой квалификации, чел.;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T</m:t>
            </m:r>
          </m:e>
          <m:sub>
            <m:r>
              <w:rPr>
                <w:rFonts w:ascii="Cambria Math" w:hAnsi="Cambria Math"/>
              </w:rPr>
              <m:t xml:space="preserve">ф</m:t>
            </m:r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фактическое время работы исполнителей одинаковой квалификации, дни.</w:t>
      </w:r>
    </w:p>
    <w:p>
      <w:pPr>
        <w:pStyle w:val="ConsPlusNormal"/>
        <w:tabs>
          <w:tab w:val="clear" w:pos="708"/>
          <w:tab w:val="left" w:pos="113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Численность и должностные категории (квалификация) исполнителей, фактическое время работы исполнителей одинаковой квалификации определяются на основании положений документов по стандартизации согласно </w:t>
      </w:r>
      <w:hyperlink r:id="rId38">
        <w:r>
          <w:rPr>
            <w:rStyle w:val="Hyperlink"/>
            <w:rFonts w:cs="Times New Roman" w:ascii="Times New Roman" w:hAnsi="Times New Roman"/>
            <w:sz w:val="24"/>
            <w:szCs w:val="24"/>
          </w:rPr>
          <w:t>статье 14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29 июня 2015 г. N 162-ФЗ "О стандартизации в Российской Федерации" (Собрание законодательства Российской Федерации, 2015, N 27, ст. 3953; 2021, N 1, ст. 62), стандартов процесса подготовки проектной документации согласно </w:t>
      </w:r>
      <w:hyperlink r:id="rId39">
        <w:r>
          <w:rPr>
            <w:rStyle w:val="Hyperlink"/>
            <w:rFonts w:cs="Times New Roman" w:ascii="Times New Roman" w:hAnsi="Times New Roman"/>
            <w:sz w:val="24"/>
            <w:szCs w:val="24"/>
          </w:rPr>
          <w:t>пункту 10 части 8 статьи 55.20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Градостроительного кодекса Российской Федерации (Собрание законодательства Российской Федерации, 2005, N 1, ст. 16; 2018, N 32, ст. 5133), норм проектирования, данных о трудоемкости объектов-аналогов, результатов опроса, проведенного среди не менее трех проектных организаций, специализирующихся на выполнение проектных работ, на которые подготавливается смета, таблиц технологического процесса выполнения проектных работ по объекту, продолжительности выполняемых работ, указанных в календарном плане к договору на выполнение проектных работ, данных о времени и количестве исполнителей определенной квалификации, принимающих участие в выполнении проектных работ, которые должны быть подписаны руководителем проектной организации, предоставляющей такие данные, и заверены ее печатью;</w:t>
      </w:r>
    </w:p>
    <w:p>
      <w:pPr>
        <w:pStyle w:val="ConsPlusNormal"/>
        <w:tabs>
          <w:tab w:val="clear" w:pos="708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Для пересчета стоимости работ в текущий уровень цен применяются соответствующие индексы изменения сметной стоимости, выпущенные письмом Минстроя России, актуальным на момент составления сметной документации, с учетом периода выполнения работ.</w:t>
      </w:r>
    </w:p>
    <w:p>
      <w:pPr>
        <w:pStyle w:val="ConsPlusNormal"/>
        <w:tabs>
          <w:tab w:val="clear" w:pos="708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sz w:val="24"/>
          <w:szCs w:val="24"/>
          <w:shd w:fill="auto" w:val="clear"/>
        </w:rPr>
        <w:t xml:space="preserve">Например, в 1 квартале 2025 года, стоимость проектных работ рассчитывается по калькуляции затрат в уровне цен по состоянию на 31.12.2024 и включается в смету на проектные работы с последующим применением соответствующих индексов изменения сметной стоимости на 1 квартал 2025 года к уровню цен по состоянию на 01.01.2025, сообщаемых письмом Минстроя России от 01.02.2025г. №5170-ИФ/09.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3.4.</w:t>
        <w:tab/>
        <w:t xml:space="preserve">Общий срок проектирования объекта в месяцах не должен превышать нормативные сроки установленные положениями Приказа Минстроя РФ от 15.05.2020г. № 264/пр «Об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собственности» которые устанавливают зависимость срока проектирования объекта в месяцах от его общей площади.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Для объектов, сроки проектирования которых невозможно определить в соответствии с указанным Приказом, допустимо применение иных документов, не противоречащих действующему законодательству.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3.5.</w:t>
        <w:tab/>
        <w:t>стоимость проектных работ, определяемых в соответствии с калькуляцией затрат, не учитывает командировочные расходы, непосредственно связанные с проектированием объекта, определяемые дополнительно.</w:t>
      </w:r>
    </w:p>
    <w:p>
      <w:pPr>
        <w:pStyle w:val="ListParagraph"/>
        <w:tabs>
          <w:tab w:val="clear" w:pos="708"/>
          <w:tab w:val="left" w:pos="993" w:leader="none"/>
        </w:tabs>
        <w:spacing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  <w:tab/>
        <w:t>Для обоснования командировочных расходов предоставляется отдельно выполненный расчет (форма 4п) с расшифровкой затрат на проезд, проживание, суточные расходы. Размер расходов на проезд и стоимость проживания в гостинице определяется на момент составления расчета.</w:t>
      </w:r>
    </w:p>
    <w:p>
      <w:pPr>
        <w:pStyle w:val="Normal"/>
        <w:tabs>
          <w:tab w:val="clear" w:pos="708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ConsPlusNormal"/>
        <w:tabs>
          <w:tab w:val="clear" w:pos="708"/>
          <w:tab w:val="left" w:pos="284" w:leader="none"/>
          <w:tab w:val="left" w:pos="1134" w:leader="none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Лимиты командировочных расходов при производстве ПИР не более:</w:t>
      </w:r>
    </w:p>
    <w:p>
      <w:pPr>
        <w:pStyle w:val="ListParagraph"/>
        <w:widowControl/>
        <w:numPr>
          <w:ilvl w:val="0"/>
          <w:numId w:val="18"/>
        </w:numPr>
        <w:tabs>
          <w:tab w:val="clear" w:pos="708"/>
          <w:tab w:val="left" w:pos="851" w:leader="none"/>
          <w:tab w:val="left" w:pos="1080" w:leader="none"/>
          <w:tab w:val="left" w:pos="1134" w:leader="none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color w:val="000000"/>
          <w:sz w:val="24"/>
          <w:szCs w:val="24"/>
        </w:rPr>
        <w:t>суточные - 700 руб./сутки;</w:t>
      </w:r>
    </w:p>
    <w:p>
      <w:pPr>
        <w:pStyle w:val="ListParagraph"/>
        <w:widowControl/>
        <w:numPr>
          <w:ilvl w:val="0"/>
          <w:numId w:val="18"/>
        </w:numPr>
        <w:tabs>
          <w:tab w:val="clear" w:pos="708"/>
          <w:tab w:val="left" w:pos="851" w:leader="none"/>
          <w:tab w:val="left" w:pos="1080" w:leader="none"/>
          <w:tab w:val="left" w:pos="1134" w:leader="none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color w:val="000000"/>
          <w:sz w:val="24"/>
          <w:szCs w:val="24"/>
        </w:rPr>
        <w:t>проживание – 5000 руб./сутки;</w:t>
      </w:r>
    </w:p>
    <w:p>
      <w:pPr>
        <w:pStyle w:val="ListParagraph"/>
        <w:widowControl/>
        <w:numPr>
          <w:ilvl w:val="0"/>
          <w:numId w:val="18"/>
        </w:numPr>
        <w:tabs>
          <w:tab w:val="clear" w:pos="708"/>
          <w:tab w:val="left" w:pos="851" w:leader="none"/>
          <w:tab w:val="left" w:pos="1080" w:leader="none"/>
          <w:tab w:val="left" w:pos="1134" w:leader="none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ListParagraph"/>
        <w:tabs>
          <w:tab w:val="clear" w:pos="708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 учете командировочных расходов стоимость проезда (авиа-, ж/д, …) определяется </w:t>
      </w:r>
      <w:r>
        <w:rPr>
          <w:rFonts w:eastAsia="Calibri"/>
          <w:sz w:val="24"/>
          <w:szCs w:val="24"/>
          <w:lang w:eastAsia="en-US"/>
        </w:rPr>
        <w:t>методами, предусмотренными Методикой ПЦ (методы без использования сметных нормативов)</w:t>
      </w:r>
      <w:r>
        <w:rPr>
          <w:sz w:val="24"/>
          <w:szCs w:val="24"/>
        </w:rPr>
        <w:t xml:space="preserve">  </w:t>
      </w:r>
    </w:p>
    <w:p>
      <w:pPr>
        <w:sectPr>
          <w:headerReference w:type="default" r:id="rId40"/>
          <w:headerReference w:type="first" r:id="rId41"/>
          <w:footerReference w:type="default" r:id="rId42"/>
          <w:footerReference w:type="first" r:id="rId43"/>
          <w:footnotePr>
            <w:numFmt w:val="decimal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ListParagraph"/>
        <w:tabs>
          <w:tab w:val="clear" w:pos="708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 наличии командированных расходов необходимо составлять общий реестр стоимости проездных билетов с разбивкой по сметам, к которым они относятся.</w:t>
      </w:r>
      <w:r>
        <w:br w:type="page"/>
      </w:r>
    </w:p>
    <w:p>
      <w:pPr>
        <w:pStyle w:val="Normal"/>
        <w:spacing w:lineRule="auto" w:line="240" w:before="0" w:after="0"/>
        <w:ind w:hanging="0" w:left="5811" w:right="-2"/>
        <w:contextualSpacing/>
        <w:jc w:val="right"/>
        <w:rPr>
          <w:rFonts w:ascii="Times New Roman" w:hAnsi="Times New Roman"/>
          <w:sz w:val="20"/>
        </w:rPr>
      </w:pPr>
      <w:r>
        <w:rPr>
          <w:sz w:val="20"/>
        </w:rPr>
        <w:t>Приложение № 2</w:t>
      </w:r>
    </w:p>
    <w:p>
      <w:pPr>
        <w:pStyle w:val="Normal"/>
        <w:spacing w:lineRule="auto" w:line="240" w:before="0" w:after="0"/>
        <w:ind w:hanging="0" w:left="5811" w:right="-2"/>
        <w:contextualSpacing/>
        <w:jc w:val="right"/>
        <w:rPr>
          <w:rFonts w:ascii="Times New Roman" w:hAnsi="Times New Roman"/>
          <w:sz w:val="20"/>
        </w:rPr>
      </w:pPr>
      <w:r>
        <w:rPr>
          <w:sz w:val="20"/>
        </w:rPr>
        <w:t>к Требованиям к оформлению и составлению сметной документации на выполнение ПИР</w:t>
      </w:r>
    </w:p>
    <w:p>
      <w:pPr>
        <w:pStyle w:val="Heading1"/>
        <w:tabs>
          <w:tab w:val="clear" w:pos="0"/>
        </w:tabs>
        <w:spacing w:before="0" w:after="0"/>
        <w:ind w:hanging="0" w:left="0"/>
        <w:contextualSpacing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1"/>
        <w:tabs>
          <w:tab w:val="clear" w:pos="0"/>
        </w:tabs>
        <w:spacing w:before="0" w:after="0"/>
        <w:ind w:hanging="0" w:left="0"/>
        <w:contextualSpacing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tbl>
      <w:tblPr>
        <w:tblW w:w="93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6"/>
      </w:tblGrid>
      <w:tr>
        <w:trPr/>
        <w:tc>
          <w:tcPr>
            <w:tcW w:w="93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Образец сметы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основные и дополнительные проектные работы,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также сопутствующие работы (форма 2п)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 №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проектные работы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(наименование объекта)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(наименование организации)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организация_______________________________________________________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(наименование организации)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Составлена в уровне цен на ___________ 20__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tbl>
            <w:tblPr>
              <w:tblW w:w="9521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noHBand="0" w:noVBand="1" w:firstColumn="1" w:lastRow="0" w:lastColumn="0" w:firstRow="1"/>
            </w:tblPr>
            <w:tblGrid>
              <w:gridCol w:w="454"/>
              <w:gridCol w:w="1812"/>
              <w:gridCol w:w="3425"/>
              <w:gridCol w:w="1984"/>
              <w:gridCol w:w="1846"/>
            </w:tblGrid>
            <w:tr>
              <w:trPr/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 пп</w:t>
                  </w:r>
                </w:p>
              </w:tc>
              <w:tc>
                <w:tcPr>
                  <w:tcW w:w="181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объекта проектирования или вида проектных работ</w:t>
                  </w:r>
                </w:p>
              </w:tc>
              <w:tc>
                <w:tcPr>
                  <w:tcW w:w="342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Наименование, номера глав, таблиц, параграфов и пунктов МНЗ (СБЦ) на проектные работы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Расчет стоимости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Сметная стоимость, руб.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bookmarkStart w:id="102" w:name="P3725"/>
                  <w:bookmarkEnd w:id="102"/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bookmarkStart w:id="103" w:name="P3726"/>
                  <w:bookmarkEnd w:id="103"/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bookmarkStart w:id="104" w:name="P3727"/>
                  <w:bookmarkEnd w:id="104"/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jc w:val="center"/>
                    <w:rPr>
                      <w:sz w:val="20"/>
                      <w:szCs w:val="20"/>
                    </w:rPr>
                  </w:pPr>
                  <w:bookmarkStart w:id="105" w:name="P3728"/>
                  <w:bookmarkEnd w:id="105"/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5237" w:type="dxa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Итого без учета НДС</w:t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проектной организации 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инженер проекта 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___________________ отдела 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                            </w:t>
            </w:r>
            <w:r>
              <w:rPr>
                <w:i/>
                <w:iCs/>
                <w:sz w:val="24"/>
                <w:szCs w:val="24"/>
              </w:rPr>
              <w:t>(наименование)                            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bookmarkStart w:id="106" w:name="_Hlk149126469"/>
            <w:r>
              <w:rPr>
                <w:i/>
                <w:iCs/>
                <w:sz w:val="24"/>
                <w:szCs w:val="24"/>
              </w:rPr>
              <w:t>[должность, подпись (инициалы, фамилия)]</w:t>
            </w:r>
            <w:bookmarkEnd w:id="106"/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4"/>
          <w:headerReference w:type="first" r:id="rId45"/>
          <w:footerReference w:type="default" r:id="rId46"/>
          <w:footerReference w:type="first" r:id="rId47"/>
          <w:footnotePr>
            <w:numFmt w:val="decimal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lineRule="auto" w:line="240" w:before="0" w:after="0"/>
        <w:ind w:hanging="0" w:left="5811"/>
        <w:contextualSpacing/>
        <w:rPr>
          <w:rFonts w:ascii="Times New Roman" w:hAnsi="Times New Roman"/>
          <w:sz w:val="20"/>
        </w:rPr>
      </w:pPr>
      <w:r>
        <w:rPr>
          <w:sz w:val="20"/>
        </w:rPr>
        <w:t>Приложение №3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  <w:t>к Требованиям к оформлению и составлению сметной документации на выполнение ПИР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7"/>
      </w:tblGrid>
      <w:tr>
        <w:trPr>
          <w:trHeight w:val="20" w:hRule="atLeast"/>
        </w:trPr>
        <w:tc>
          <w:tcPr>
            <w:tcW w:w="963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>
              <w:rPr>
                <w:sz w:val="20"/>
                <w:szCs w:val="20"/>
              </w:rPr>
              <w:t xml:space="preserve">к Договору    от___ ______202___  №_________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СОГЛАСОВАНО:                                                                                   УТВЕРЖДЕНО:                                   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>
        <w:trPr>
          <w:trHeight w:val="70" w:hRule="atLeast"/>
        </w:trPr>
        <w:tc>
          <w:tcPr>
            <w:tcW w:w="963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637" w:type="dxa"/>
            <w:tcBorders/>
          </w:tcPr>
          <w:tbl>
            <w:tblPr>
              <w:tblW w:w="9575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noHBand="0" w:noVBand="0" w:firstColumn="0" w:lastRow="0" w:lastColumn="0" w:firstRow="0"/>
            </w:tblPr>
            <w:tblGrid>
              <w:gridCol w:w="975"/>
              <w:gridCol w:w="2697"/>
              <w:gridCol w:w="1781"/>
              <w:gridCol w:w="2046"/>
              <w:gridCol w:w="2076"/>
            </w:tblGrid>
            <w:tr>
              <w:trPr/>
              <w:tc>
                <w:tcPr>
                  <w:tcW w:w="9575" w:type="dxa"/>
                  <w:gridSpan w:val="5"/>
                  <w:tcBorders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СВОДНАЯ СМЕТА №</w:t>
                  </w:r>
                </w:p>
                <w:p>
                  <w:pPr>
                    <w:pStyle w:val="ConsPlus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 проектные работы и инженерные изыскания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(наименование объекта)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Заказчик ___________________________________________________________________________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(наименование организации)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Проектная организация 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(наименование организации)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Составлена в уровне цен на ___________ 20__ г.</w:t>
                  </w:r>
                </w:p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65" w:hRule="atLeast"/>
              </w:trPr>
              <w:tc>
                <w:tcPr>
                  <w:tcW w:w="9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N№ п/п</w:t>
                  </w:r>
                </w:p>
              </w:tc>
              <w:tc>
                <w:tcPr>
                  <w:tcW w:w="269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Наименование смет на проектные работы и инженерные изыскания, затрат</w:t>
                  </w:r>
                </w:p>
              </w:tc>
              <w:tc>
                <w:tcPr>
                  <w:tcW w:w="17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Обоснование</w:t>
                  </w:r>
                </w:p>
              </w:tc>
              <w:tc>
                <w:tcPr>
                  <w:tcW w:w="4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Сметная стоимость, руб.</w:t>
                  </w:r>
                </w:p>
              </w:tc>
            </w:tr>
            <w:tr>
              <w:trPr>
                <w:trHeight w:val="74" w:hRule="atLeast"/>
              </w:trPr>
              <w:tc>
                <w:tcPr>
                  <w:tcW w:w="9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697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78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инженерных изысканий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проектных работ</w:t>
                  </w:r>
                </w:p>
              </w:tc>
            </w:tr>
            <w:tr>
              <w:trPr>
                <w:trHeight w:val="19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firstLine="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>
              <w:trPr>
                <w:trHeight w:val="274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Инженерные изыскания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93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Наименование сметы на инженерные изыскания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281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Проектная документация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&lt;X&gt;</w:t>
                  </w:r>
                </w:p>
              </w:tc>
            </w:tr>
            <w:tr>
              <w:trPr>
                <w:trHeight w:val="323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Рабочая документация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&lt;X&gt;</w:t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Итого по видам работ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&lt;X&gt;</w:t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4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&lt;X&gt;</w:t>
                  </w:r>
                </w:p>
              </w:tc>
            </w:tr>
          </w:tbl>
          <w:p>
            <w:pPr>
              <w:pStyle w:val="ConsPlusNormal"/>
              <w:widowControl w:val="false"/>
              <w:ind w:firstLine="720" w:right="-55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pageBreakBefore w:val="false"/>
        <w:tabs>
          <w:tab w:val="clear" w:pos="708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Руководитель проектной организации _____________________________________________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Главный инженер проекта 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Начальник ___________________ отдела __________________________________________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                             </w:t>
      </w:r>
      <w:r>
        <w:rPr>
          <w:i/>
          <w:iCs/>
          <w:sz w:val="20"/>
          <w:szCs w:val="20"/>
        </w:rPr>
        <w:t>(наименование)                            [подпись (инициалы, фамилия)]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Заказчик 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[должность, подпись (инициалы, фамилия)]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</w:r>
      <w:r>
        <w:br w:type="page"/>
      </w:r>
    </w:p>
    <w:p>
      <w:pPr>
        <w:pStyle w:val="Normal"/>
        <w:spacing w:lineRule="auto" w:line="240" w:before="0" w:after="0"/>
        <w:ind w:hanging="0" w:left="5811"/>
        <w:jc w:val="right"/>
        <w:rPr>
          <w:rFonts w:ascii="Times New Roman" w:hAnsi="Times New Roman"/>
        </w:rPr>
      </w:pPr>
      <w:r>
        <w:rPr/>
        <w:t>Приложение №1</w:t>
      </w:r>
    </w:p>
    <w:p>
      <w:pPr>
        <w:pStyle w:val="Normal"/>
        <w:spacing w:lineRule="auto" w:line="240" w:before="0" w:after="0"/>
        <w:ind w:hanging="0" w:left="5811"/>
        <w:jc w:val="right"/>
        <w:rPr>
          <w:rFonts w:ascii="Times New Roman" w:hAnsi="Times New Roman"/>
        </w:rPr>
      </w:pPr>
      <w:r>
        <w:rPr/>
        <w:t>к пояснительной записке</w:t>
      </w:r>
    </w:p>
    <w:p>
      <w:pPr>
        <w:pStyle w:val="Normal"/>
        <w:spacing w:lineRule="auto" w:line="240" w:before="0" w:after="0"/>
        <w:ind w:hanging="0" w:left="5811"/>
        <w:jc w:val="right"/>
        <w:rPr>
          <w:rFonts w:ascii="Times New Roman" w:hAnsi="Times New Roman"/>
        </w:rPr>
      </w:pPr>
      <w:r>
        <w:rPr/>
        <w:t xml:space="preserve"> </w:t>
      </w:r>
      <w:r>
        <w:rPr/>
        <w:t>по заполнению формы 3П</w:t>
      </w:r>
    </w:p>
    <w:p>
      <w:pPr>
        <w:pStyle w:val="Normal"/>
        <w:spacing w:lineRule="auto" w:line="240" w:before="0" w:after="0"/>
        <w:ind w:hanging="0" w:left="6373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Образец сметы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на проектные работы в соответствии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с калькуляцией затрат (форма 3п)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СМЕТА №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на проектные работы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1134" w:right="124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(наименование объекта)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hanging="0" w:right="142"/>
        <w:jc w:val="both"/>
        <w:rPr>
          <w:sz w:val="24"/>
          <w:szCs w:val="24"/>
        </w:rPr>
      </w:pPr>
      <w:r>
        <w:rPr>
          <w:sz w:val="24"/>
          <w:szCs w:val="24"/>
        </w:rPr>
        <w:t>Заказчик 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(наименование организации)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hanging="0" w:right="1246"/>
        <w:jc w:val="both"/>
        <w:rPr>
          <w:sz w:val="24"/>
          <w:szCs w:val="24"/>
        </w:rPr>
      </w:pPr>
      <w:r>
        <w:rPr>
          <w:sz w:val="24"/>
          <w:szCs w:val="24"/>
        </w:rPr>
        <w:t>Проектная организация ___________________________________________________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(наименование организации)</w:t>
      </w:r>
    </w:p>
    <w:p>
      <w:pPr>
        <w:pStyle w:val="Normal"/>
        <w:spacing w:lineRule="auto" w:line="240" w:before="0" w:after="0"/>
        <w:ind w:hanging="0" w:right="1246"/>
        <w:jc w:val="both"/>
        <w:rPr>
          <w:sz w:val="24"/>
          <w:szCs w:val="24"/>
        </w:rPr>
      </w:pPr>
      <w:r>
        <w:rPr>
          <w:sz w:val="24"/>
          <w:szCs w:val="24"/>
        </w:rPr>
        <w:t>Составлена в уровне цен на ___________ 20__ 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Расчет коэффициента, учитывающего степень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участия исполнителей-проектировщиков различной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квалификации в выполнении проектных работ (Ккв-уч)</w:t>
      </w:r>
    </w:p>
    <w:tbl>
      <w:tblPr>
        <w:tblW w:w="1005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57"/>
        <w:gridCol w:w="1415"/>
        <w:gridCol w:w="1562"/>
        <w:gridCol w:w="1985"/>
        <w:gridCol w:w="1559"/>
        <w:gridCol w:w="1418"/>
        <w:gridCol w:w="1558"/>
      </w:tblGrid>
      <w:tr>
        <w:trPr/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должностей исполнителей</w:t>
            </w: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67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время участия исполнителя в работе, Тф (дни)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5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Плановая продолжительность выполнения проектных работ, предусмотренных калькуляцией, Тп (дни)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56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Численность исполнителей одной квалификации Чi (чел)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Индекс уровня квалификации специалистов исполнителей работы 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6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Коэффициент квалификации (участия) специалистов одной квалификации,</w:t>
            </w:r>
          </w:p>
          <w:p>
            <w:pPr>
              <w:pStyle w:val="ConsPlusNormal"/>
              <w:widowControl w:val="false"/>
              <w:ind w:firstLine="6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∑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(гр.3/итог гр.4 х гр.5 х гр.6) / ∑гр.5</w:t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81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nformat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Примечание: &lt;*&gt; Графы для расчета коэффициента в таблице не заполняются</w:t>
      </w:r>
    </w:p>
    <w:p>
      <w:pPr>
        <w:sectPr>
          <w:headerReference w:type="default" r:id="rId48"/>
          <w:headerReference w:type="first" r:id="rId49"/>
          <w:footerReference w:type="default" r:id="rId50"/>
          <w:footerReference w:type="first" r:id="rId51"/>
          <w:footnotePr>
            <w:numFmt w:val="decimal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ConsPlusNonformat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spacing w:lineRule="auto" w:line="240" w:before="0" w:after="120"/>
        <w:contextualSpacing/>
        <w:jc w:val="right"/>
        <w:rPr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1</w:t>
      </w:r>
    </w:p>
    <w:p>
      <w:pPr>
        <w:pStyle w:val="Normal"/>
        <w:spacing w:lineRule="auto" w:line="240" w:before="0" w:after="120"/>
        <w:contextualSpacing/>
        <w:jc w:val="right"/>
        <w:rPr>
          <w:sz w:val="20"/>
          <w:szCs w:val="20"/>
        </w:rPr>
      </w:pPr>
      <w:r>
        <w:rPr>
          <w:rFonts w:eastAsia="Calibri"/>
          <w:bCs/>
          <w:sz w:val="20"/>
          <w:szCs w:val="20"/>
        </w:rPr>
        <w:t>к Техническим требованиям</w:t>
      </w:r>
    </w:p>
    <w:p>
      <w:pPr>
        <w:pStyle w:val="Normal"/>
        <w:tabs>
          <w:tab w:val="clear" w:pos="708"/>
          <w:tab w:val="left" w:pos="567" w:leader="none"/>
          <w:tab w:val="left" w:pos="7513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  <w:tab w:val="left" w:pos="7513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  <w:tab w:val="left" w:pos="7513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Требования к оформлению и составлению сметной документации.</w:t>
      </w:r>
    </w:p>
    <w:p>
      <w:pPr>
        <w:pStyle w:val="ConsPlusNormal"/>
        <w:widowControl/>
        <w:tabs>
          <w:tab w:val="clear" w:pos="708"/>
          <w:tab w:val="left" w:pos="284" w:leader="none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Раздел 1. Требования к оформлению и составлению сметной документации на </w:t>
      </w:r>
      <w:r>
        <w:rPr>
          <w:rFonts w:cs="Times New Roman" w:ascii="Times New Roman" w:hAnsi="Times New Roman"/>
          <w:b/>
          <w:bCs/>
          <w:sz w:val="24"/>
          <w:szCs w:val="24"/>
        </w:rPr>
        <w:t>строительство и реконструкцию объектов капитального строительства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Style w:val="FootnoteReference"/>
          <w:rFonts w:cs="Times New Roman" w:ascii="Times New Roman" w:hAnsi="Times New Roman"/>
          <w:b/>
          <w:sz w:val="24"/>
          <w:szCs w:val="24"/>
        </w:rPr>
        <w:footnoteReference w:id="4"/>
      </w:r>
    </w:p>
    <w:p>
      <w:pPr>
        <w:pStyle w:val="ConsPlusNormal"/>
        <w:widowControl/>
        <w:tabs>
          <w:tab w:val="clear" w:pos="708"/>
          <w:tab w:val="left" w:pos="284" w:leader="none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Основные условия ценообразования изложены в приложении №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к настоящим требованиям и являются неотъемлемой частью требований к составлению сметной документации.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4"/>
          <w:szCs w:val="24"/>
          <w:u w:val="single"/>
        </w:rPr>
        <w:t>не допускается</w:t>
      </w:r>
      <w:r>
        <w:rPr>
          <w:rFonts w:ascii="Times New Roman" w:hAnsi="Times New Roman"/>
          <w:sz w:val="24"/>
          <w:szCs w:val="24"/>
        </w:rPr>
        <w:t>, кроме случаев, прямо указанных в настоящих требованиях.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08.08.2022г № 648/пр. с учетом изменений и дополнений.</w:t>
      </w:r>
    </w:p>
    <w:p>
      <w:pPr>
        <w:pStyle w:val="Xmsolistparagraph"/>
        <w:numPr>
          <w:ilvl w:val="0"/>
          <w:numId w:val="6"/>
        </w:numPr>
        <w:shd w:val="clear" w:color="auto" w:fill="FFFFFF"/>
        <w:tabs>
          <w:tab w:val="clear" w:pos="708"/>
          <w:tab w:val="left" w:pos="1134" w:leader="none"/>
        </w:tabs>
        <w:spacing w:beforeAutospacing="0" w:before="0" w:afterAutospacing="0" w:after="0"/>
        <w:ind w:firstLine="567" w:left="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</w:t>
      </w:r>
      <w:r>
        <w:rPr>
          <w:color w:val="1F497D"/>
          <w:shd w:fill="auto" w:val="clear"/>
        </w:rPr>
        <w:t xml:space="preserve"> </w:t>
      </w:r>
      <w:r>
        <w:rPr>
          <w:color w:val="000000"/>
          <w:shd w:fill="auto" w:val="clear"/>
        </w:rPr>
        <w:t>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 </w:t>
      </w:r>
      <w:r>
        <w:rPr>
          <w:i/>
          <w:sz w:val="24"/>
          <w:szCs w:val="24"/>
        </w:rPr>
        <w:t xml:space="preserve">отсутствии </w:t>
      </w:r>
      <w:r>
        <w:rPr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методами, предусмотренными Методикой ПЦ (методы без использования сметных нормативов)</w:t>
      </w:r>
    </w:p>
    <w:p>
      <w:pPr>
        <w:pStyle w:val="ConsPlusNormal"/>
        <w:numPr>
          <w:ilvl w:val="0"/>
          <w:numId w:val="6"/>
        </w:numPr>
        <w:tabs>
          <w:tab w:val="clear" w:pos="708"/>
          <w:tab w:val="left" w:pos="284" w:leader="none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>Затраты на эксплуатацию строительной техники, не учтенной нормами и расценками, включенными в ФРСН, определяются Методами, предусмотренными Методикой ПЦ (методы без использования сметных нормативов) и включаются в Главу 9 ССР</w:t>
      </w:r>
      <w:r>
        <w:rPr>
          <w:b/>
          <w:color w:val="FF0000"/>
          <w:sz w:val="24"/>
          <w:szCs w:val="24"/>
        </w:rPr>
        <w:t>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cs="Times New Roman" w:ascii="Times New Roman" w:hAnsi="Times New Roman"/>
          <w:i/>
          <w:color w:val="000000"/>
          <w:sz w:val="24"/>
          <w:szCs w:val="24"/>
          <w:shd w:fill="auto" w:val="clear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ибо указывается в примечании, через дополнительную информацию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(в ПК Гранд-Смета).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ЛСР</w:t>
      </w:r>
      <w:r>
        <w:rPr>
          <w:sz w:val="24"/>
          <w:szCs w:val="24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ЛСР</w:t>
      </w:r>
      <w:r>
        <w:rPr>
          <w:sz w:val="24"/>
          <w:szCs w:val="24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Сметная</w:t>
      </w:r>
      <w:r>
        <w:rPr>
          <w:sz w:val="24"/>
          <w:szCs w:val="24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. Методики определения сметной стоимости строительства: 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ConsPlusNormal"/>
        <w:tabs>
          <w:tab w:val="clear" w:pos="708"/>
          <w:tab w:val="left" w:pos="709" w:leader="none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Данные работы оформляются отдельными локальными сметами в соответствии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240" w:before="40" w:after="40"/>
        <w:ind w:firstLine="567" w:left="0"/>
        <w:contextualSpacing w:val="false"/>
        <w:jc w:val="both"/>
        <w:rPr/>
      </w:pPr>
      <w:r>
        <w:rPr>
          <w:sz w:val="24"/>
          <w:szCs w:val="24"/>
          <w:shd w:fill="auto" w:val="clear"/>
        </w:rPr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соответствии со структурой пусконаладочных работ, приведенной в Общих положениях сборников на ПНР.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локальных</w:t>
      </w:r>
      <w:r>
        <w:rPr>
          <w:sz w:val="24"/>
          <w:szCs w:val="24"/>
        </w:rPr>
        <w:t xml:space="preserve"> сметных расчетах построчные и итоговые суммы </w:t>
      </w:r>
      <w:r>
        <w:rPr>
          <w:b/>
          <w:sz w:val="24"/>
          <w:szCs w:val="24"/>
          <w:u w:val="single"/>
        </w:rPr>
        <w:t>округлять: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ресурсно-индексном и ресурсным методах, а также в сметных расчетах на отдельные виды затрат - в рублях </w:t>
      </w:r>
      <w:r>
        <w:rPr>
          <w:rFonts w:cs="Times New Roman" w:ascii="Times New Roman" w:hAnsi="Times New Roman"/>
          <w:b/>
          <w:sz w:val="24"/>
          <w:szCs w:val="24"/>
        </w:rPr>
        <w:t>до целых единиц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Выходные</w:t>
      </w:r>
      <w:r>
        <w:rPr>
          <w:sz w:val="24"/>
          <w:szCs w:val="24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наличии двух и более сметных расчетов составлять ССР в текущем уровне цен </w:t>
      </w:r>
      <w:r>
        <w:rPr>
          <w:sz w:val="24"/>
          <w:szCs w:val="24"/>
        </w:rPr>
        <w:t xml:space="preserve">по форме </w:t>
      </w:r>
      <w:r>
        <w:rPr>
          <w:color w:val="000000"/>
          <w:sz w:val="24"/>
          <w:szCs w:val="24"/>
        </w:rPr>
        <w:t>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заключений дополнительных соглашений к договору (далее - д/с), ССР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4"/>
          <w:szCs w:val="24"/>
        </w:rPr>
        <w:t>ЛСР (</w:t>
      </w:r>
      <w:r>
        <w:rPr>
          <w:rFonts w:ascii="Times New Roman" w:hAnsi="Times New Roman"/>
          <w:color w:val="000000"/>
          <w:sz w:val="24"/>
          <w:szCs w:val="24"/>
        </w:rPr>
        <w:t xml:space="preserve">ЛС) к основному договору и ко всем заключенным д/с к нему. В итогах ССР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1.2 к </w:t>
      </w:r>
      <w:r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к Требованиям </w:t>
      </w:r>
      <w:r>
        <w:rPr>
          <w:rFonts w:ascii="Times New Roman" w:hAnsi="Times New Roman"/>
          <w:color w:val="000000"/>
          <w:sz w:val="24"/>
          <w:szCs w:val="24"/>
        </w:rPr>
        <w:t xml:space="preserve">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ЛС являются приложениями к ССР. Нумерация приложений указывается по мере включения ЛС в ССР в накопительной форме - по порядку.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Разнесение затрат (сумм ЛС) по графам и главам ССР осуществлять в соответствии с указаниями Методики определения сметной стоимости строительства.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ССР, построчные и итоговые суммы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указывать </w:t>
      </w:r>
      <w:r>
        <w:rPr>
          <w:rFonts w:ascii="Times New Roman" w:hAnsi="Times New Roman"/>
          <w:color w:val="000000"/>
          <w:sz w:val="24"/>
          <w:szCs w:val="24"/>
        </w:rPr>
        <w:t>в рублях с округлением до двух знаков после запятой. Величину НДС не указывать.</w:t>
      </w:r>
    </w:p>
    <w:p>
      <w:pPr>
        <w:pStyle w:val="ConsPlusNormal"/>
        <w:widowControl/>
        <w:numPr>
          <w:ilvl w:val="0"/>
          <w:numId w:val="6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Сметная документация должна быть представлена в двух вариантах: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pacing w:before="40" w:after="40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709" w:leader="none"/>
          <w:tab w:val="left" w:pos="851" w:leader="none"/>
        </w:tabs>
        <w:spacing w:before="40" w:after="40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>
      <w:pPr>
        <w:sectPr>
          <w:headerReference w:type="default" r:id="rId52"/>
          <w:headerReference w:type="first" r:id="rId53"/>
          <w:footerReference w:type="default" r:id="rId54"/>
          <w:footerReference w:type="first" r:id="rId55"/>
          <w:footnotePr>
            <w:numFmt w:val="decimal"/>
          </w:footnote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ind w:hanging="0" w:left="5811"/>
        <w:rPr>
          <w:rFonts w:ascii="Times New Roman" w:hAnsi="Times New Roman"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</w:r>
      <w:r>
        <w:br w:type="page"/>
      </w:r>
    </w:p>
    <w:p>
      <w:pPr>
        <w:pStyle w:val="ListParagraph"/>
        <w:spacing w:lineRule="auto" w:line="240" w:before="0" w:after="0"/>
        <w:ind w:hanging="0" w:left="928" w:right="666"/>
        <w:contextualSpacing/>
        <w:jc w:val="right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Приложение №1.1 </w:t>
      </w:r>
    </w:p>
    <w:p>
      <w:pPr>
        <w:pStyle w:val="ConsPlusNormal"/>
        <w:ind w:hanging="0" w:left="928" w:right="66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 Требования к оформлению и составлению сметной документации на строительство и реконструкцию объектов капитального строительства</w:t>
      </w:r>
    </w:p>
    <w:tbl>
      <w:tblPr>
        <w:tblW w:w="158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8"/>
        <w:gridCol w:w="73"/>
        <w:gridCol w:w="1635"/>
        <w:gridCol w:w="583"/>
        <w:gridCol w:w="2842"/>
        <w:gridCol w:w="105"/>
        <w:gridCol w:w="12"/>
        <w:gridCol w:w="1525"/>
        <w:gridCol w:w="130"/>
        <w:gridCol w:w="14"/>
        <w:gridCol w:w="1677"/>
        <w:gridCol w:w="68"/>
        <w:gridCol w:w="14"/>
        <w:gridCol w:w="1840"/>
        <w:gridCol w:w="11"/>
        <w:gridCol w:w="37"/>
        <w:gridCol w:w="1930"/>
        <w:gridCol w:w="14"/>
        <w:gridCol w:w="293"/>
        <w:gridCol w:w="1667"/>
        <w:gridCol w:w="10"/>
        <w:gridCol w:w="114"/>
      </w:tblGrid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ОБРАЗЕЦ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5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__ от 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 Договору № _________ от ______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СОГЛАСОВАНО: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0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УТВЕРЖДАЮ: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___________________ФИО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0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___________________ФИО      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6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"_______" _____________ 20___ г.</w:t>
            </w:r>
          </w:p>
        </w:tc>
        <w:tc>
          <w:tcPr>
            <w:tcW w:w="16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02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"______" ____________________ 20__ г.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5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58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Сводный сметный расчет в сумме:______</w:t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без НДС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44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8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СВОДНЫЙ СМЕТНЫЙ РАСЧЕТ </w:t>
            </w:r>
          </w:p>
        </w:tc>
        <w:tc>
          <w:tcPr>
            <w:tcW w:w="19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8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205" w:type="dxa"/>
            <w:gridSpan w:val="1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8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стройки)</w:t>
            </w:r>
          </w:p>
        </w:tc>
        <w:tc>
          <w:tcPr>
            <w:tcW w:w="19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8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8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55" w:hRule="atLeast"/>
        </w:trPr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пп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25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руб.</w:t>
            </w:r>
          </w:p>
        </w:tc>
        <w:tc>
          <w:tcPr>
            <w:tcW w:w="1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сметная стоимость, руб.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строительных работ</w:t>
            </w:r>
          </w:p>
        </w:tc>
        <w:tc>
          <w:tcPr>
            <w:tcW w:w="175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монтажных работ</w:t>
            </w:r>
          </w:p>
        </w:tc>
        <w:tc>
          <w:tcPr>
            <w:tcW w:w="18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197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прочих</w:t>
            </w:r>
          </w:p>
        </w:tc>
        <w:tc>
          <w:tcPr>
            <w:tcW w:w="197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69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8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7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67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5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7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4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571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2. Основные объекты строительства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02-01-01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…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6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Главе 2. "Основные объекты строительства"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Главам 1-12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1571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Непредвиденные затраты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с учетом "Непредвиденные затраты"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сводному расчету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75" w:hRule="atLeast"/>
        </w:trPr>
        <w:tc>
          <w:tcPr>
            <w:tcW w:w="131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37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433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37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724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/>
              <w:object>
                <v:shapetype id="_x0000_tole_rId56" coordsize="21600,21600" o:spt="ole_rId56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56" type="_x0000_tole_rId56" style="width:68.3pt;height:43.8pt;mso-wrap-distance-right:0pt" filled="f" o:ole="">
                  <v:imagedata r:id="rId57" o:title=""/>
                </v:shape>
                <o:OLEObject Type="Embed" ProgID="Excel.Sheet.12" ShapeID="ole_rId56" DrawAspect="Icon" ObjectID="_1441631523" r:id="rId56"/>
              </w:object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433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>
      <w:pPr>
        <w:sectPr>
          <w:headerReference w:type="even" r:id="rId58"/>
          <w:headerReference w:type="default" r:id="rId59"/>
          <w:headerReference w:type="first" r:id="rId60"/>
          <w:footerReference w:type="default" r:id="rId61"/>
          <w:footerReference w:type="first" r:id="rId62"/>
          <w:footnotePr>
            <w:numFmt w:val="decimal"/>
          </w:footnotePr>
          <w:type w:val="nextPage"/>
          <w:pgSz w:w="11906" w:h="16838"/>
          <w:pgMar w:left="1134" w:right="851" w:gutter="0" w:header="0" w:top="680" w:footer="992" w:bottom="1528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ConsPlusNormal"/>
        <w:widowControl/>
        <w:ind w:hanging="0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 w:left="397"/>
        <w:contextualSpacing/>
        <w:rPr>
          <w:rFonts w:ascii="Times New Roman" w:hAnsi="Times New Roman"/>
        </w:rPr>
      </w:pPr>
      <w:r>
        <w:rPr>
          <w:b/>
        </w:rPr>
        <w:t>ОБРАЗЕЦ</w:t>
      </w:r>
      <w:r>
        <w:rPr/>
        <w:t xml:space="preserve">             </w:t>
      </w:r>
    </w:p>
    <w:p>
      <w:pPr>
        <w:pStyle w:val="Normal"/>
        <w:spacing w:lineRule="auto" w:line="240" w:before="0" w:after="0"/>
        <w:ind w:firstLine="720" w:left="8646"/>
        <w:contextualSpacing/>
        <w:jc w:val="right"/>
        <w:rPr>
          <w:rFonts w:ascii="Times New Roman" w:hAnsi="Times New Roman"/>
          <w:sz w:val="20"/>
          <w:szCs w:val="20"/>
        </w:rPr>
      </w:pPr>
      <w:r>
        <w:rPr/>
        <w:t xml:space="preserve"> </w:t>
      </w:r>
      <w:r>
        <w:rPr>
          <w:sz w:val="20"/>
          <w:szCs w:val="20"/>
        </w:rPr>
        <w:t xml:space="preserve">Приложение №1.2 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>
        <w:rPr>
          <w:rFonts w:ascii="Times New Roman" w:hAnsi="Times New Roman"/>
          <w:sz w:val="20"/>
          <w:szCs w:val="20"/>
        </w:rPr>
        <w:t xml:space="preserve"> 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tbl>
      <w:tblPr>
        <w:tblW w:w="16199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2"/>
        <w:gridCol w:w="219"/>
        <w:gridCol w:w="1445"/>
        <w:gridCol w:w="220"/>
        <w:gridCol w:w="3264"/>
        <w:gridCol w:w="235"/>
        <w:gridCol w:w="217"/>
        <w:gridCol w:w="1207"/>
        <w:gridCol w:w="1843"/>
        <w:gridCol w:w="246"/>
        <w:gridCol w:w="823"/>
        <w:gridCol w:w="917"/>
        <w:gridCol w:w="256"/>
        <w:gridCol w:w="536"/>
        <w:gridCol w:w="217"/>
        <w:gridCol w:w="841"/>
        <w:gridCol w:w="416"/>
        <w:gridCol w:w="23"/>
        <w:gridCol w:w="434"/>
        <w:gridCol w:w="439"/>
        <w:gridCol w:w="217"/>
        <w:gridCol w:w="716"/>
        <w:gridCol w:w="744"/>
      </w:tblGrid>
      <w:tr>
        <w:trPr>
          <w:trHeight w:val="78" w:hRule="atLeast"/>
        </w:trPr>
        <w:tc>
          <w:tcPr>
            <w:tcW w:w="26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371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2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УТВЕРЖДАЮ:</w:t>
            </w:r>
          </w:p>
        </w:tc>
      </w:tr>
      <w:tr>
        <w:trPr>
          <w:trHeight w:val="312" w:hRule="atLeast"/>
        </w:trPr>
        <w:tc>
          <w:tcPr>
            <w:tcW w:w="260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 ФИО</w:t>
            </w:r>
          </w:p>
        </w:tc>
        <w:tc>
          <w:tcPr>
            <w:tcW w:w="371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________________ФИО</w:t>
            </w:r>
          </w:p>
        </w:tc>
      </w:tr>
      <w:tr>
        <w:trPr>
          <w:trHeight w:val="312" w:hRule="atLeast"/>
        </w:trPr>
        <w:tc>
          <w:tcPr>
            <w:tcW w:w="6322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"___" _____________ 20__ г.</w:t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"___" _____________ 20__ г.</w:t>
            </w:r>
          </w:p>
        </w:tc>
      </w:tr>
      <w:tr>
        <w:trPr>
          <w:trHeight w:val="312" w:hRule="atLeast"/>
        </w:trPr>
        <w:tc>
          <w:tcPr>
            <w:tcW w:w="94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3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95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Сводный сметный расчет в сумме </w:t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руб. без НДС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61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18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51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i/>
                <w:iCs/>
                <w:sz w:val="20"/>
                <w:szCs w:val="20"/>
              </w:rPr>
              <w:t>(наименование стройки)</w:t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67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7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пп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7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руб.</w:t>
            </w:r>
          </w:p>
        </w:tc>
        <w:tc>
          <w:tcPr>
            <w:tcW w:w="18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 w:left="-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сметная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left="-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стоимость, руб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строитель-</w:t>
              <w:br/>
              <w:t>ных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монтажных работ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22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прочих</w:t>
            </w:r>
          </w:p>
        </w:tc>
        <w:tc>
          <w:tcPr>
            <w:tcW w:w="1829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595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8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6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2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Глава 2. Основные объекты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Сметы основного договора: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02-01-01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Исключить дополнительным соглашением №___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исключено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Включить дополнительным соглашением №____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7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02-01-02/1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включено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22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Главе 2. "Основные объекты"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 сводному сметному расчету, без учета НДС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сумма основного договора (без НДС)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771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ДС №___ от ___.__.20___г.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0 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</w:tbl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headerReference w:type="default" r:id="rId65"/>
          <w:headerReference w:type="first" r:id="rId66"/>
          <w:footerReference w:type="default" r:id="rId67"/>
          <w:footerReference w:type="first" r:id="rId68"/>
          <w:footnotePr>
            <w:numFmt w:val="decimal"/>
          </w:footnotePr>
          <w:type w:val="nextPage"/>
          <w:pgSz w:orient="landscape" w:w="16838" w:h="11906"/>
          <w:pgMar w:left="992" w:right="567" w:gutter="0" w:header="0" w:top="680" w:footer="737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spacing w:lineRule="auto" w:line="240" w:before="0" w:after="0"/>
        <w:contextualSpacing/>
        <w:rPr>
          <w:rFonts w:ascii="Times New Roman" w:hAnsi="Times New Roman" w:cs="Arial"/>
          <w:sz w:val="20"/>
          <w:szCs w:val="20"/>
        </w:rPr>
      </w:pPr>
      <w:r>
        <w:rPr/>
        <w:object>
          <v:shapetype id="_x0000_tole_rId63" coordsize="21600,21600" o:spt="ole_rId63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3" type="_x0000_tole_rId63" style="width:79.4pt;height:50.45pt;mso-wrap-distance-right:0pt" filled="f" o:ole="">
            <v:imagedata r:id="rId64" o:title=""/>
          </v:shape>
          <o:OLEObject Type="Embed" ProgID="Excel.Sheet.12" ShapeID="ole_rId63" DrawAspect="Icon" ObjectID="_1003015576" r:id="rId63"/>
        </w:object>
      </w:r>
    </w:p>
    <w:p>
      <w:pPr>
        <w:pStyle w:val="Normal"/>
        <w:spacing w:lineRule="auto" w:line="240" w:before="0" w:after="0"/>
        <w:ind w:hanging="0" w:left="357"/>
        <w:contextualSpacing/>
        <w:rPr>
          <w:rFonts w:ascii="Times New Roman" w:hAnsi="Times New Roman"/>
          <w:b/>
        </w:rPr>
      </w:pPr>
      <w:r>
        <w:rPr>
          <w:b/>
        </w:rPr>
      </w:r>
      <w:bookmarkStart w:id="107" w:name="P2525"/>
      <w:bookmarkStart w:id="108" w:name="P2531"/>
      <w:bookmarkStart w:id="109" w:name="P2527"/>
      <w:bookmarkStart w:id="110" w:name="P2945"/>
      <w:bookmarkStart w:id="111" w:name="P2746"/>
      <w:bookmarkStart w:id="112" w:name="P2736"/>
      <w:bookmarkStart w:id="113" w:name="P2566"/>
      <w:bookmarkStart w:id="114" w:name="P2546"/>
      <w:bookmarkStart w:id="115" w:name="P2530"/>
      <w:bookmarkStart w:id="116" w:name="P2524"/>
      <w:bookmarkStart w:id="117" w:name="P2526"/>
      <w:bookmarkStart w:id="118" w:name="P2529"/>
      <w:bookmarkStart w:id="119" w:name="P2616"/>
      <w:bookmarkStart w:id="120" w:name="P3258"/>
      <w:bookmarkStart w:id="121" w:name="P2506"/>
      <w:bookmarkStart w:id="122" w:name="P2522"/>
      <w:bookmarkStart w:id="123" w:name="P2528"/>
      <w:bookmarkStart w:id="124" w:name="P2523"/>
      <w:bookmarkStart w:id="125" w:name="P2525"/>
      <w:bookmarkStart w:id="126" w:name="P2531"/>
      <w:bookmarkStart w:id="127" w:name="P2527"/>
      <w:bookmarkStart w:id="128" w:name="P2945"/>
      <w:bookmarkStart w:id="129" w:name="P2746"/>
      <w:bookmarkStart w:id="130" w:name="P2736"/>
      <w:bookmarkStart w:id="131" w:name="P2566"/>
      <w:bookmarkStart w:id="132" w:name="P2546"/>
      <w:bookmarkStart w:id="133" w:name="P2530"/>
      <w:bookmarkStart w:id="134" w:name="P2524"/>
      <w:bookmarkStart w:id="135" w:name="P2526"/>
      <w:bookmarkStart w:id="136" w:name="P2529"/>
      <w:bookmarkStart w:id="137" w:name="P2616"/>
      <w:bookmarkStart w:id="138" w:name="P3258"/>
      <w:bookmarkStart w:id="139" w:name="P2506"/>
      <w:bookmarkStart w:id="140" w:name="P2522"/>
      <w:bookmarkStart w:id="141" w:name="P2528"/>
      <w:bookmarkStart w:id="142" w:name="P2523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>
      <w:pPr>
        <w:pStyle w:val="Normal"/>
        <w:spacing w:lineRule="auto" w:line="240" w:before="0" w:after="0"/>
        <w:ind w:hanging="426" w:left="426"/>
        <w:contextualSpacing/>
        <w:rPr>
          <w:rFonts w:ascii="Times New Roman" w:hAnsi="Times New Roman"/>
          <w:color w:val="000000"/>
          <w:sz w:val="20"/>
          <w:szCs w:val="20"/>
        </w:rPr>
      </w:pPr>
      <w:r>
        <w:rPr>
          <w:b/>
          <w:sz w:val="20"/>
          <w:szCs w:val="20"/>
        </w:rPr>
        <w:t>ОБРАЗЕЦ</w:t>
      </w:r>
    </w:p>
    <w:p>
      <w:pPr>
        <w:pStyle w:val="Normal"/>
        <w:spacing w:lineRule="auto" w:line="240" w:before="0" w:after="0"/>
        <w:ind w:firstLine="720" w:left="5811"/>
        <w:contextualSpacing/>
        <w:jc w:val="right"/>
        <w:rPr>
          <w:rFonts w:ascii="Times New Roman" w:hAnsi="Times New Roman"/>
          <w:sz w:val="20"/>
          <w:szCs w:val="20"/>
        </w:rPr>
      </w:pPr>
      <w:r>
        <w:rPr/>
        <w:t xml:space="preserve"> </w:t>
      </w:r>
      <w:r>
        <w:rPr>
          <w:sz w:val="20"/>
          <w:szCs w:val="20"/>
        </w:rPr>
        <w:t xml:space="preserve">Приложение №1.3 </w:t>
      </w:r>
    </w:p>
    <w:p>
      <w:pPr>
        <w:pStyle w:val="ConsPlusNormal"/>
        <w:ind w:firstLine="720" w:left="58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0"/>
          <w:szCs w:val="20"/>
        </w:rPr>
        <w:t xml:space="preserve">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"/>
        <w:ind w:firstLine="720"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к договору от_______№_____ </w:t>
      </w:r>
    </w:p>
    <w:p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206" w:type="dxa"/>
        <w:jc w:val="left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4"/>
        <w:gridCol w:w="850"/>
        <w:gridCol w:w="851"/>
        <w:gridCol w:w="1276"/>
        <w:gridCol w:w="1276"/>
        <w:gridCol w:w="1701"/>
        <w:gridCol w:w="1703"/>
        <w:gridCol w:w="2123"/>
      </w:tblGrid>
      <w:tr>
        <w:trPr>
          <w:trHeight w:val="433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подлежащая включению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подлежащая исключению</w:t>
            </w:r>
          </w:p>
        </w:tc>
        <w:tc>
          <w:tcPr>
            <w:tcW w:w="1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357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firstLine="720" w:left="357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Приложение №1.4 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"/>
        <w:ind w:firstLine="720"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от_______№_____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Сопоставительная ведомость объемов работ</w:t>
      </w:r>
    </w:p>
    <w:p>
      <w:pPr>
        <w:pStyle w:val="ConsPlusNormal"/>
        <w:jc w:val="both"/>
        <w:rPr>
          <w:b/>
        </w:rPr>
      </w:pPr>
      <w:r>
        <w:rPr>
          <w:b/>
        </w:rPr>
      </w:r>
    </w:p>
    <w:tbl>
      <w:tblPr>
        <w:tblW w:w="10773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"/>
        <w:gridCol w:w="709"/>
        <w:gridCol w:w="851"/>
        <w:gridCol w:w="1208"/>
        <w:gridCol w:w="916"/>
        <w:gridCol w:w="851"/>
        <w:gridCol w:w="852"/>
        <w:gridCol w:w="851"/>
        <w:gridCol w:w="851"/>
        <w:gridCol w:w="707"/>
        <w:gridCol w:w="567"/>
        <w:gridCol w:w="850"/>
        <w:gridCol w:w="1134"/>
      </w:tblGrid>
      <w:tr>
        <w:trPr>
          <w:trHeight w:val="88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 w:lef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1416" w:left="13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720" w:left="-7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 w:lef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30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720" w:left="-8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увели</w:t>
            </w:r>
          </w:p>
          <w:p>
            <w:pPr>
              <w:pStyle w:val="ConsPlusNormal"/>
              <w:widowControl w:val="false"/>
              <w:ind w:firstLine="720" w:left="-8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headerReference w:type="default" r:id="rId69"/>
          <w:headerReference w:type="first" r:id="rId70"/>
          <w:footerReference w:type="default" r:id="rId71"/>
          <w:footerReference w:type="first" r:id="rId72"/>
          <w:footnotePr>
            <w:numFmt w:val="decimal"/>
          </w:footnotePr>
          <w:type w:val="nextPage"/>
          <w:pgSz w:w="11906" w:h="16838"/>
          <w:pgMar w:left="1134" w:right="851" w:gutter="0" w:header="0" w:top="680" w:footer="737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ConsPlusNormal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20" w:left="5811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Приложение№1.5 </w:t>
      </w:r>
    </w:p>
    <w:p>
      <w:pPr>
        <w:pStyle w:val="Normal"/>
        <w:spacing w:lineRule="auto" w:line="240" w:before="0" w:after="0"/>
        <w:ind w:firstLine="720" w:left="5811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>
      <w:pPr>
        <w:pStyle w:val="ConsPlusNormal"/>
        <w:ind w:firstLine="720" w:left="581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 Требованиям к оформлению и составлению сметной документации на строительство и реконструкцию объектов капитального строительства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ОБРАЗЕЦ (</w:t>
      </w:r>
      <w:r>
        <w:rPr>
          <w:b/>
          <w:color w:val="000000"/>
          <w:sz w:val="20"/>
          <w:szCs w:val="20"/>
          <w:lang w:val="en-US"/>
        </w:rPr>
        <w:t>Р</w:t>
      </w:r>
      <w:r>
        <w:rPr>
          <w:b/>
          <w:color w:val="000000"/>
          <w:sz w:val="20"/>
          <w:szCs w:val="20"/>
        </w:rPr>
        <w:t>ИМ)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3"/>
        <w:gridCol w:w="1316"/>
        <w:gridCol w:w="692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>
        <w:trPr>
          <w:trHeight w:val="28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74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595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3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44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6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</w:tr>
      <w:tr>
        <w:trPr>
          <w:trHeight w:val="22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4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ПК "ГРАНД-Смета 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1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</w:tbl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16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"/>
        <w:gridCol w:w="1349"/>
        <w:gridCol w:w="11"/>
        <w:gridCol w:w="858"/>
        <w:gridCol w:w="11"/>
        <w:gridCol w:w="683"/>
        <w:gridCol w:w="10"/>
        <w:gridCol w:w="811"/>
        <w:gridCol w:w="8"/>
        <w:gridCol w:w="595"/>
        <w:gridCol w:w="13"/>
        <w:gridCol w:w="890"/>
        <w:gridCol w:w="9"/>
        <w:gridCol w:w="96"/>
        <w:gridCol w:w="13"/>
        <w:gridCol w:w="133"/>
        <w:gridCol w:w="10"/>
        <w:gridCol w:w="651"/>
        <w:gridCol w:w="9"/>
        <w:gridCol w:w="333"/>
        <w:gridCol w:w="11"/>
        <w:gridCol w:w="792"/>
        <w:gridCol w:w="10"/>
        <w:gridCol w:w="178"/>
        <w:gridCol w:w="9"/>
        <w:gridCol w:w="1381"/>
        <w:gridCol w:w="10"/>
        <w:gridCol w:w="76"/>
        <w:gridCol w:w="8"/>
        <w:gridCol w:w="946"/>
        <w:gridCol w:w="10"/>
        <w:gridCol w:w="110"/>
        <w:gridCol w:w="10"/>
        <w:gridCol w:w="585"/>
        <w:gridCol w:w="8"/>
        <w:gridCol w:w="435"/>
        <w:gridCol w:w="10"/>
        <w:gridCol w:w="643"/>
        <w:gridCol w:w="24"/>
        <w:gridCol w:w="120"/>
        <w:gridCol w:w="23"/>
        <w:gridCol w:w="808"/>
        <w:gridCol w:w="360"/>
        <w:gridCol w:w="843"/>
        <w:gridCol w:w="48"/>
        <w:gridCol w:w="1025"/>
      </w:tblGrid>
      <w:tr>
        <w:trPr>
          <w:trHeight w:val="300" w:hRule="atLeast"/>
        </w:trPr>
        <w:tc>
          <w:tcPr>
            <w:tcW w:w="14971" w:type="dxa"/>
            <w:gridSpan w:val="4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Волжская ГЭС. ОРУ 220 кВ. Релейная защита и автоматика.Демонтажные работы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4971" w:type="dxa"/>
            <w:gridSpan w:val="45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(наименование работ и затрат)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Составлен 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ресурсно-индексным</w:t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Основание</w:t>
            </w:r>
          </w:p>
        </w:tc>
        <w:tc>
          <w:tcPr>
            <w:tcW w:w="5239" w:type="dxa"/>
            <w:gridSpan w:val="11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ЭТЛ-13622-ЛС.1.ВОР</w:t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9" w:type="dxa"/>
            <w:gridSpan w:val="11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5" w:hRule="exac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369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Составлен(а) в текущем уровне цен </w:t>
            </w: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 xml:space="preserve">,    4 кв. 2025г  </w:t>
            </w:r>
          </w:p>
        </w:tc>
        <w:tc>
          <w:tcPr>
            <w:tcW w:w="100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8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23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1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2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2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2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машинистов</w:t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оборудования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2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прочих затрат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09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8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195" w:hRule="exac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№ 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98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53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502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Сметная стоимость, руб.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987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0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530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5029" w:type="dxa"/>
            <w:gridSpan w:val="1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73" w:hRule="atLeast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987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0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8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изм</w:t>
            </w:r>
          </w:p>
        </w:tc>
        <w:tc>
          <w:tcPr>
            <w:tcW w:w="1333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3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базисном уровне цен</w:t>
            </w:r>
          </w:p>
        </w:tc>
        <w:tc>
          <w:tcPr>
            <w:tcW w:w="7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1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текущем уровне цен</w:t>
            </w:r>
          </w:p>
        </w:tc>
        <w:tc>
          <w:tcPr>
            <w:tcW w:w="133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в текущем уровне цен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8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3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sectPr>
          <w:headerReference w:type="default" r:id="rId73"/>
          <w:headerReference w:type="first" r:id="rId74"/>
          <w:footerReference w:type="default" r:id="rId75"/>
          <w:footerReference w:type="first" r:id="rId76"/>
          <w:footnotePr>
            <w:numFmt w:val="decimal"/>
          </w:footnotePr>
          <w:type w:val="nextPage"/>
          <w:pgSz w:orient="landscape" w:w="16838" w:h="11906"/>
          <w:pgMar w:left="720" w:right="284" w:gutter="0" w:header="0" w:top="426" w:footer="709" w:bottom="92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720" w:left="6373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Раздел 2. Требования к оформлению и составлению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сметной документации на выполнение проектных и изыскательских работ.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Настоящие требования разработаны для единого подхода к определению стоимости проектных и изыскательских работ (далее - ПИР).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Затраты на проведение инженерных изысканий, подготовку проектной и рабочей документации определяются расчетами на основании сметных нормативов, сведения о которых включены в ФРСН.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Сметы на ПИР составлять на основании технических требований (технического задания) заказчика, графиков производства работ, программы изысканий.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Сметный расчет стоимости изыскательских работ составляется в соответствии с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</w:rPr>
        <w:t>прилагаемой к сметному расчету программой изысканий. Программа изысканий составляется исполнителем на основе технического задания заказчика с учетом требований соответствующих нормативных документов, регламентирующих состав и объем изыскательских работ. По окончании изысканий составляется сметный расчет – исполнительная смета (необходимо предусмотреть условиями договора) на основе технического отчета по результатам изысканий в соответствии с составом и объемами фактически выполненных работ с учетом категории сложности их выполнения.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Стоимость проектных работ на строительство, реконструкцию и техническое </w:t>
      </w:r>
      <w:r>
        <w:rPr>
          <w:sz w:val="24"/>
          <w:szCs w:val="24"/>
          <w:shd w:fill="auto" w:val="clear"/>
        </w:rPr>
        <w:t xml:space="preserve">перевооружение объектов производственного назначения определяется на основе Справочников базовых цен на соответствующие работы, входящих в ФРСН, «Методических указаний по применению Справочников базовых цен на проектные работы в строительстве», утвержденных Приказом Министерства регионального развития РФ от 29.12.2009 № 620 (далее - Методика №620) и Методики определения стоимости работ по подготовке проектной документации, утвержденной Приказом Министерства строительства и жилищно-коммунального хозяйства РФ от 1 октября 2021 г. N 707/пр. (далее – Методика №707) не противоречащим положениям Методики №620 и Справочникам базовых цен (далее – СБЦ) на проектные работы в строительстве .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Стоимость изыскательских работ определять на основе «Методического пособия по определению стоимости инженерных изысканий для строительства», утвержденного письмом Госстроя России от 31.03.2004 № НЗ-2078/10 и внесенного в ФРСН нормативов или иного актуального документа. 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 определении стоимости изыскательских работ </w:t>
      </w:r>
      <w:r>
        <w:rPr>
          <w:b/>
          <w:sz w:val="24"/>
          <w:szCs w:val="24"/>
        </w:rPr>
        <w:t>по согласованию с Заказчиком</w:t>
      </w:r>
      <w:r>
        <w:rPr>
          <w:sz w:val="24"/>
          <w:szCs w:val="24"/>
        </w:rPr>
        <w:t xml:space="preserve"> возможно применять следующие коэффициенты в соответствии с письмом ПАО «ПНИИИС» от 03.04.2014 №11/298: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1,75 – «выполнение картографических работ с составлением планов (продольных профилей) в двух видах: на магнитном и бумажном носителях» (п. 15 е Общих указаний) - при наличии в технических требованиях указания о необходимости составления инженерно-топографических планов (продольных профилей) в двух видах (в электронном виде и на планшете на жесткой основе), либо при выявлении данных требований в процессе выполнения изысканий;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1,2 – «выполнение камеральных и картографических работ с применением компьютерных технологий» (п. 15 д Общих указаний) – применяется при условии, что топографические планы выполняются только в электронном виде (распечатка является вариантом электронной версии);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1,25 – «при выполнении полевых работ на территориях гидроэлектростанций» (п. 8 в Общих указаний) – на станциях Северного Кавказа и Амурской области;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1,15 – «при выполнении полевых работ на территориях гидроэлектростанций</w:t>
      </w:r>
      <w:r>
        <w:rPr>
          <w:sz w:val="24"/>
          <w:szCs w:val="24"/>
          <w:shd w:fill="auto" w:val="clear"/>
        </w:rPr>
        <w:t xml:space="preserve"> и ТЭЦ» (п. 8 в Общих указаний) – на всех гидроэлектростанциях и ТЭЦ, кроме станций Северного Кавказа и Амурской области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Применение расценки, предусмотренной § 4 таблицы 73 «Изготовление копии профиля на кальке с оригинала, вычерченного в карандаше» обоснованно, если такой вид работ в действительности выполнялся (был предусмотрен заданием и/или программой работ).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 определении стоимости ПИР в сметных расчетах указывать полное наименование нормативного документа, на основании, которого составляется сметная документация с указанием всех реквизитов документа.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Проектная документация отдельных этапов строительства, реконструкции и различных видов объектов капитального строительства должна быть выполнена в соответствии с «Положением о составе разделов проектной документации и требованиях к их содержанию», утвержденным Постановлением Правительства РФ от 16.02.2008 №87.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Пересчет сметной стоимости проектных (изыскательских) работ по состоянию на 01.01.2001г, 01.01.1995г. (1991г.) следует производить согласно индексам на указанные (проектные или изыскательские) работы, рекомендованным к 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 определении стоимости проектных работ от стоимости строительства по сборникам базовых цен на проектные работы для строительства, разработанным в уровне цен 2001 года необходимо руководствоваться пунктом 2.2 раздела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МУ. При определении стоимости проектных работ от стоимости строительства по сборникам базовых цен на проектные работы для строительства (изд. 1994-1999 гг.) стоимость строительства следует приводить к уровню цен по состоянию на 01.01.1991. Для пересчета стоимости строительно-монтажных работ и прочих затрат из уровня цен по состоянию на 01.01.2000 в уровень цен по состоянию 01.01.1991 и обратно использовать соответствующее отношение индексов пересчета из уровня цен 1991-го и 2000 года в уровень цен I квартала 2010 года, опубликованных в последней официальной публикации индексов Министерства регионального развития Российской Федерации к уровню цен 1991 года (письмо от 20 января 2010 г. № 1289-СК/08). При отсутствии разделения стоимости строительства на «Строительно-монтажные работы», «Оборудование» и «Прочие затраты» применяется индекс на строительно-монтажные работы».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При составлении сметной документации на подготовку проектной документации рекомендуется дополнить Технические требования пунктом о составлении проектной организацией Ведомости объемов конструктивных решений (элементов) и комплексов (видов) работ, оборудования.</w:t>
      </w:r>
    </w:p>
    <w:p>
      <w:pPr>
        <w:pStyle w:val="ConsPlusNormal"/>
        <w:widowControl/>
        <w:numPr>
          <w:ilvl w:val="0"/>
          <w:numId w:val="8"/>
        </w:numPr>
        <w:tabs>
          <w:tab w:val="clear" w:pos="708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В сметных расчетах допускается использовать прогнозные индексы-дефляторы в соответствии с текущим прогнозом Министерства экономического развития РФ по строке ИПЦ (индекс потребительских цен), в среднем за год, вариант – базовый (указать реквизиты приказа при формировании ТТ) в размере … (указать размер применяемых индексов-дефляторов). </w:t>
      </w:r>
    </w:p>
    <w:p>
      <w:pPr>
        <w:pStyle w:val="ConsPlusNormal"/>
        <w:widowControl/>
        <w:tabs>
          <w:tab w:val="clear" w:pos="708"/>
          <w:tab w:val="left" w:pos="1134" w:leader="none"/>
        </w:tabs>
        <w:spacing w:before="40" w:after="40"/>
        <w:ind w:hanging="0" w:left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Стоимость работ определяется по формуле: </w:t>
      </w:r>
    </w:p>
    <w:p>
      <w:pPr>
        <w:pStyle w:val="ConsPlusNormal"/>
        <w:spacing w:before="40" w:after="40"/>
        <w:ind w:firstLine="1276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Цд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∗</m:t>
        </m:r>
        <m:r>
          <w:rPr>
            <w:rFonts w:ascii="Cambria Math" w:hAnsi="Cambria Math"/>
          </w:rPr>
          <m:t xml:space="preserve">Иинфл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</m:oMath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где</w:t>
      </w:r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Цд – стоимость договора;</w:t>
      </w:r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С - сметная стоимость подрядных работ, подлежащих выполнению подрядчиком; </w:t>
      </w:r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Иинф – индекс инфляции, рассчитываемый как среднее арифметическое значение между индексами прогнозной инфляции на даты начала и окончания работ. При расчете индекса прогнозной инфляции определение периода выполнения работ осуществляется исходя из продолжительности, установленной заказчиком в задании на выполнение проектных и изыскательских работ.</w:t>
      </w:r>
    </w:p>
    <w:p>
      <w:pPr>
        <w:pStyle w:val="ConsPlusNormal"/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В случае, если срок выполнения работ превышает календарный год, то индекс инфляции определяется по формуле: </w:t>
      </w:r>
    </w:p>
    <w:p>
      <w:pPr>
        <w:pStyle w:val="ConsPlusNormal"/>
        <w:widowControl/>
        <w:spacing w:before="40" w:after="40"/>
        <w:ind w:firstLine="426"/>
        <w:jc w:val="center"/>
        <w:rPr>
          <w:highlight w:val="none"/>
          <w:shd w:fill="auto" w:val="clear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И</m:t>
          </m:r>
          <m:r>
            <w:rPr>
              <w:rFonts w:ascii="Cambria Math" w:hAnsi="Cambria Math"/>
            </w:rPr>
            <m:t xml:space="preserve">инф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...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i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i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2</m:t>
              </m:r>
            </m:e>
          </m:d>
        </m:oMath>
      </m:oMathPara>
    </w:p>
    <w:p>
      <w:pPr>
        <w:pStyle w:val="ConsPlusNormal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где</w:t>
      </w:r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Д1,Д2,Д</w:t>
      </w:r>
      <w:r>
        <w:rPr>
          <w:color w:val="000000"/>
          <w:shd w:fill="auto" w:val="clear"/>
          <w:lang w:val="en-US"/>
        </w:rPr>
        <w:t>i</w:t>
      </w:r>
      <w:r>
        <w:rPr>
          <w:color w:val="000000"/>
          <w:shd w:fill="auto" w:val="clear"/>
        </w:rPr>
        <w:t xml:space="preserve"> - доля сметной стоимости работ, подлежащих выполнению соответственно в 1-й, 2-й, 3-й, i-ый годы строительства;</w:t>
      </w:r>
      <w:bookmarkStart w:id="143" w:name="l170_Копия_1"/>
      <w:bookmarkEnd w:id="143"/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i - год завершения строительства объекта;</w:t>
      </w:r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К1 -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  <w:bookmarkStart w:id="144" w:name="l38_Копия_1"/>
      <w:bookmarkEnd w:id="144"/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К2 - 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  <w:bookmarkStart w:id="145" w:name="l171_Копия_1"/>
      <w:bookmarkStart w:id="146" w:name="l39_Копия_1"/>
      <w:bookmarkEnd w:id="145"/>
      <w:bookmarkEnd w:id="146"/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К3 -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При этом:</w:t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(1)</w:t>
      </w:r>
    </w:p>
    <w:p>
      <w:pPr>
        <w:pStyle w:val="ConsPlusNormal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>
      <w:pPr>
        <w:pStyle w:val="ConsPlusNormal"/>
        <w:widowControl/>
        <w:spacing w:before="40" w:after="4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Стоимость разработки раздела «Оценка воздействия на окружающую среду» принимается в размере не более 4% от общей стоимости проектных работ.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отсутствия в сметных нормативах, сведения о которых включены в ФРСН, показателей и нормативов цены проектных работ, стоимость работ по подготовке проектной документации определяется в соответствии с положениями Методики №620, либо по нормативному акту, пришедшему на смену данному документу.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работ, цены на которые отсутствуют в МНЗ и СБЦ, внесенных в </w:t>
      </w:r>
      <w:r>
        <w:rPr>
          <w:rFonts w:cs="Times New Roman" w:ascii="Times New Roman" w:hAnsi="Times New Roman"/>
          <w:sz w:val="24"/>
          <w:szCs w:val="24"/>
        </w:rPr>
        <w:t>ФРСН</w:t>
      </w:r>
      <w:r>
        <w:rPr>
          <w:rFonts w:ascii="Times New Roman" w:hAnsi="Times New Roman"/>
          <w:sz w:val="24"/>
          <w:szCs w:val="24"/>
        </w:rPr>
        <w:t xml:space="preserve">, возможно определять сметным расчетом по себестоимости и сложившемуся уровню рентабельности (форма </w:t>
      </w:r>
      <w:hyperlink r:id="rId77">
        <w:r>
          <w:rPr>
            <w:rStyle w:val="Hyperlink"/>
            <w:rFonts w:ascii="Times New Roman" w:hAnsi="Times New Roman"/>
            <w:sz w:val="24"/>
            <w:szCs w:val="24"/>
          </w:rPr>
          <w:t>3п</w:t>
        </w:r>
      </w:hyperlink>
      <w:r>
        <w:rPr>
          <w:rFonts w:ascii="Times New Roman" w:hAnsi="Times New Roman"/>
          <w:sz w:val="24"/>
          <w:szCs w:val="24"/>
        </w:rPr>
        <w:t>) по согласованию с Заказчиком.</w:t>
      </w:r>
    </w:p>
    <w:p>
      <w:pPr>
        <w:pStyle w:val="ConsPlusNormal"/>
        <w:widowControl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Сметы на ПИР предоставляются в форматах: «Excel» и «</w:t>
      </w:r>
      <w:r>
        <w:rPr>
          <w:rFonts w:cs="Times New Roman" w:ascii="Times New Roman" w:hAnsi="Times New Roman"/>
          <w:sz w:val="24"/>
          <w:szCs w:val="24"/>
          <w:lang w:val="en-US"/>
        </w:rPr>
        <w:t>pdf</w:t>
      </w:r>
      <w:r>
        <w:rPr>
          <w:rFonts w:cs="Times New Roman" w:ascii="Times New Roman" w:hAnsi="Times New Roman"/>
          <w:sz w:val="24"/>
          <w:szCs w:val="24"/>
        </w:rPr>
        <w:t>» (с подписями и печатью). Сметная документация в формате «Exce</w:t>
      </w:r>
      <w:r>
        <w:rPr>
          <w:rFonts w:cs="Times New Roman" w:ascii="Times New Roman" w:hAnsi="Times New Roman"/>
          <w:sz w:val="24"/>
          <w:szCs w:val="24"/>
          <w:lang w:val="en-US"/>
        </w:rPr>
        <w:t>l</w:t>
      </w:r>
      <w:r>
        <w:rPr>
          <w:rFonts w:cs="Times New Roman" w:ascii="Times New Roman" w:hAnsi="Times New Roman"/>
          <w:sz w:val="24"/>
          <w:szCs w:val="24"/>
        </w:rPr>
        <w:t>» должна быть представлена в одном файле с внесением ССРСС, ЛСР и других расчетов на отдельные листы (вкладки) документа.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вычислений </w:t>
      </w:r>
      <w:r>
        <w:rPr>
          <w:rFonts w:cs="Times New Roman" w:ascii="Times New Roman" w:hAnsi="Times New Roman"/>
          <w:sz w:val="24"/>
          <w:szCs w:val="24"/>
        </w:rPr>
        <w:t xml:space="preserve">(построчные) </w:t>
      </w:r>
      <w:r>
        <w:rPr>
          <w:rFonts w:ascii="Times New Roman" w:hAnsi="Times New Roman"/>
          <w:sz w:val="24"/>
          <w:szCs w:val="24"/>
        </w:rPr>
        <w:t xml:space="preserve">и итоговые данные в </w:t>
      </w:r>
      <w:r>
        <w:rPr>
          <w:rFonts w:cs="Times New Roman" w:ascii="Times New Roman" w:hAnsi="Times New Roman"/>
          <w:sz w:val="24"/>
          <w:szCs w:val="24"/>
        </w:rPr>
        <w:t>ЛСР (ЛС), приводятся в рублях,</w:t>
      </w:r>
    </w:p>
    <w:p>
      <w:pPr>
        <w:pStyle w:val="ConsPlusNormal"/>
        <w:numPr>
          <w:ilvl w:val="0"/>
          <w:numId w:val="9"/>
        </w:numPr>
        <w:tabs>
          <w:tab w:val="clear" w:pos="708"/>
          <w:tab w:val="left" w:pos="567" w:leader="none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ресурсно-индексном и ресурсным методах, а также сметных расчетах на отдельные виды затрат - с округлением до целых единиц;</w:t>
      </w:r>
    </w:p>
    <w:p>
      <w:pPr>
        <w:pStyle w:val="ConsPlusNormal"/>
        <w:numPr>
          <w:ilvl w:val="0"/>
          <w:numId w:val="9"/>
        </w:numPr>
        <w:tabs>
          <w:tab w:val="clear" w:pos="708"/>
          <w:tab w:val="left" w:pos="567" w:leader="none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сводной смете - в рублях с округлением до целых единиц. 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eastAsia="Geneva" w:cs="Arial" w:cstheme="minorBidi"/>
          <w:sz w:val="24"/>
          <w:szCs w:val="24"/>
          <w:lang w:eastAsia="en-US"/>
        </w:rPr>
      </w:pPr>
      <w:r>
        <w:rPr>
          <w:rFonts w:eastAsia="Geneva" w:cs="Arial" w:ascii="Times New Roman" w:hAnsi="Times New Roman" w:cstheme="minorBidi"/>
          <w:sz w:val="24"/>
          <w:szCs w:val="24"/>
          <w:lang w:eastAsia="en-US"/>
        </w:rPr>
        <w:t xml:space="preserve">Командировочные расходы, учтенные в смете, подтверждаются отдельным расчетом. Лимиты командировочных расходов при производстве ПИР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не более</w:t>
      </w:r>
      <w:r>
        <w:rPr>
          <w:rFonts w:eastAsia="Geneva" w:cs="Arial" w:ascii="Times New Roman" w:hAnsi="Times New Roman" w:cstheme="minorBidi"/>
          <w:sz w:val="24"/>
          <w:szCs w:val="24"/>
          <w:lang w:eastAsia="en-US"/>
        </w:rPr>
        <w:t>: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Geneva"/>
          <w:sz w:val="24"/>
          <w:szCs w:val="24"/>
        </w:rPr>
      </w:pPr>
      <w:r>
        <w:rPr>
          <w:rFonts w:eastAsia="Geneva"/>
          <w:sz w:val="24"/>
          <w:szCs w:val="24"/>
        </w:rPr>
        <w:t>суточные - 700 руб./сутки;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Geneva"/>
          <w:sz w:val="24"/>
          <w:szCs w:val="24"/>
        </w:rPr>
      </w:pPr>
      <w:r>
        <w:rPr>
          <w:rFonts w:eastAsia="Geneva"/>
          <w:sz w:val="24"/>
          <w:szCs w:val="24"/>
        </w:rPr>
        <w:t>проживание – 5000 руб./сутки;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Geneva"/>
          <w:sz w:val="24"/>
          <w:szCs w:val="24"/>
        </w:rPr>
      </w:pPr>
      <w:r>
        <w:rPr>
          <w:rFonts w:eastAsia="Geneva"/>
          <w:sz w:val="24"/>
          <w:szCs w:val="24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одновременной разработке проектной и полной или частичной разработке рабочей документации, суммарный процент базовой цены определяется по согласованию между Заказчиком и Подрядчиком в зависимости от архитектурных, функционально-технологических, конструктивных и инженерно-технических решений, содержащихся в проектной документации и степени их детализации.</w:t>
      </w:r>
    </w:p>
    <w:p>
      <w:pPr>
        <w:sectPr>
          <w:headerReference w:type="default" r:id="rId78"/>
          <w:headerReference w:type="first" r:id="rId79"/>
          <w:footerReference w:type="default" r:id="rId80"/>
          <w:footerReference w:type="first" r:id="rId81"/>
          <w:footnotePr>
            <w:numFmt w:val="decimal"/>
          </w:footnotePr>
          <w:type w:val="nextPage"/>
          <w:pgSz w:w="11906" w:h="16838"/>
          <w:pgMar w:left="1134" w:right="709" w:gutter="0" w:header="0" w:top="709" w:footer="709" w:bottom="766"/>
          <w:pgNumType w:fmt="decimal"/>
          <w:formProt w:val="false"/>
          <w:textDirection w:val="lrTb"/>
          <w:docGrid w:type="default" w:linePitch="360" w:charSpace="0"/>
        </w:sectPr>
        <w:pStyle w:val="ConsPlusNormal"/>
        <w:numPr>
          <w:ilvl w:val="0"/>
          <w:numId w:val="8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обследований и обмерных работ на объектах, подлежащих реконструкции, расширению и техническому перевооружению рассчитывается по соответствующим Справочникам и относится в </w:t>
      </w:r>
      <w:r>
        <w:rPr>
          <w:rFonts w:ascii="Times New Roman" w:hAnsi="Times New Roman"/>
          <w:color w:val="000000"/>
          <w:sz w:val="24"/>
          <w:szCs w:val="24"/>
        </w:rPr>
        <w:t>главу 1 ССРСС.</w:t>
      </w:r>
      <w:r>
        <w:rPr>
          <w:rFonts w:ascii="Times New Roman" w:hAnsi="Times New Roman"/>
          <w:sz w:val="24"/>
          <w:szCs w:val="24"/>
        </w:rPr>
        <w:t xml:space="preserve"> Стоимость данных работ не включается в расчет стоимости проведения государственной экспертизы.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  <w:t>Приложение № 1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  <w:t>к Требованиям к оформлению и составлению сметной документации на выполнение проектных и изыскательских работ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ind w:hanging="0" w:left="5811"/>
        <w:jc w:val="center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ПОЯСНИТЕЛЬНАЯ ЗАПИСКА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заполнению формы №3п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при составлении смет на ПИР.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47" w:name="RANGE!A1%25253AD25_Копия_1"/>
      <w:bookmarkEnd w:id="147"/>
      <w:r>
        <w:rPr>
          <w:color w:val="000000"/>
          <w:sz w:val="24"/>
          <w:szCs w:val="24"/>
        </w:rPr>
        <w:t>При составлении калькуляции затрат (форма №3п), разработанным организацией, выполняющей ПИР, Заказчику предоставляется обоснование расчета. Сметные расчеты составляются в ценах текущего периода.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Калькуляцией затрат (форма №3п) рекомендуется определять стоимость работ, цены на которые отсутствуют в МНЗ и СБЦ, внесенных в ФРСН.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Стоимость работ и расходов в соответствии с калькуляцией затрат определяется согласно положениям Методики №707 с учетом следующего:</w:t>
      </w:r>
    </w:p>
    <w:p>
      <w:pPr>
        <w:pStyle w:val="ConsPlusNormal"/>
        <w:numPr>
          <w:ilvl w:val="1"/>
          <w:numId w:val="7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Стоимость проектных работ и расходов (</w:t>
      </w: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Спр</m:t>
        </m:r>
      </m:oMath>
      <w:r>
        <w:rPr>
          <w:rFonts w:cs="Times New Roman" w:ascii="Times New Roman" w:hAnsi="Times New Roman"/>
          <w:sz w:val="24"/>
          <w:szCs w:val="24"/>
        </w:rPr>
        <w:t>) в соответствии с калькуляцией затрат определяется по формуле:</w:t>
      </w:r>
    </w:p>
    <w:p>
      <w:pPr>
        <w:pStyle w:val="ConsPlusNormal"/>
        <w:tabs>
          <w:tab w:val="clear" w:pos="708"/>
          <w:tab w:val="left" w:pos="0" w:leader="none"/>
          <w:tab w:val="left" w:pos="1134" w:leader="none"/>
        </w:tabs>
        <w:ind w:hanging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С</m:t>
              </m:r>
            </m:e>
            <m:sub>
              <m:r>
                <w:rPr>
                  <w:rFonts w:ascii="Cambria Math" w:hAnsi="Cambria Math"/>
                </w:rPr>
                <m:t xml:space="preserve">пр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В</m:t>
              </m:r>
            </m:e>
            <m:sub>
              <m:r>
                <w:rPr>
                  <w:rFonts w:ascii="Cambria Math" w:hAnsi="Cambria Math"/>
                </w:rPr>
                <m:t xml:space="preserve">ср</m:t>
              </m:r>
            </m:sub>
          </m:sSub>
          <m:r>
            <w:rPr>
              <w:rFonts w:ascii="Cambria Math" w:hAnsi="Cambria Math"/>
            </w:rPr>
            <m:t xml:space="preserve">×</m:t>
          </m:r>
          <m:sSub>
            <m:e>
              <m:r>
                <w:rPr>
                  <w:rFonts w:ascii="Cambria Math" w:hAnsi="Cambria Math"/>
                </w:rPr>
                <m:t xml:space="preserve">Т</m:t>
              </m:r>
            </m:e>
            <m:sub>
              <m:r>
                <w:rPr>
                  <w:rFonts w:ascii="Cambria Math" w:hAnsi="Cambria Math"/>
                </w:rPr>
                <m:t xml:space="preserve">п</m:t>
              </m:r>
            </m:sub>
          </m:sSub>
          <m:r>
            <w:rPr>
              <w:rFonts w:ascii="Cambria Math" w:hAnsi="Cambria Math"/>
            </w:rPr>
            <m:t xml:space="preserve">×</m:t>
          </m:r>
          <m:sSub>
            <m:e>
              <m:r>
                <w:rPr>
                  <w:rFonts w:ascii="Cambria Math" w:hAnsi="Cambria Math"/>
                </w:rPr>
                <m:t xml:space="preserve">Ч</m:t>
              </m:r>
            </m:e>
            <m:sub>
              <m:r>
                <w:rPr>
                  <w:rFonts w:ascii="Cambria Math" w:hAnsi="Cambria Math"/>
                </w:rPr>
                <m:t xml:space="preserve">общ</m:t>
              </m:r>
            </m:sub>
          </m:sSub>
          <m:r>
            <w:rPr>
              <w:rFonts w:ascii="Cambria Math" w:hAnsi="Cambria Math"/>
            </w:rPr>
            <m:t xml:space="preserve">×</m:t>
          </m:r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кв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уч</m:t>
              </m:r>
            </m:sub>
          </m:sSub>
        </m:oMath>
      </m:oMathPara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где: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Спр</m:t>
        </m:r>
      </m:oMath>
      <w:r>
        <w:rPr>
          <w:rFonts w:cs="Times New Roman"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стоимость проектных работ, определенная в соответствии с калькуляцией затрат, рублей;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Вср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среднедневная выработка одного непосредственного исполнителя, рублей;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Тп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плановая продолжительность выполнения проектных работ, предусмотренных калькуляцией затрат, дни;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Чобщ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общая численность непосредственных исполнителей-проектировщиков, занятых в выполнении проектных работ, предусмотренных калькуляцией затрат, чел.;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Ккв-уч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корректирующий коэффициент, учитывающий степень участия исполнителей различной квалификации в выполнении проектных работ, предусмотренных калькуляцией затрат (далее - коэффициент квалификации-участия);</w:t>
      </w:r>
    </w:p>
    <w:p>
      <w:pPr>
        <w:pStyle w:val="ConsPlusNormal"/>
        <w:numPr>
          <w:ilvl w:val="1"/>
          <w:numId w:val="7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среднедневная выработка (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m:rPr>
            <m:lit/>
            <m:nor/>
          </m:rPr>
          <w:rPr>
            <w:rFonts w:ascii="Cambria Math" w:hAnsi="Cambria Math"/>
          </w:rPr>
          <m:t xml:space="preserve">ср</m:t>
        </m:r>
      </m:oMath>
      <w:r>
        <w:rPr>
          <w:rFonts w:cs="Times New Roman" w:ascii="Times New Roman" w:hAnsi="Times New Roman"/>
          <w:sz w:val="24"/>
          <w:szCs w:val="24"/>
        </w:rPr>
        <w:t>) определяется по формуле:</w:t>
      </w:r>
    </w:p>
    <w:p>
      <w:pPr>
        <w:pStyle w:val="ConsPlusNormal"/>
        <w:tabs>
          <w:tab w:val="clear" w:pos="708"/>
          <w:tab w:val="left" w:pos="1134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tabs>
          <w:tab w:val="clear" w:pos="708"/>
          <w:tab w:val="left" w:pos="0" w:leader="none"/>
          <w:tab w:val="left" w:pos="1134" w:leader="none"/>
        </w:tabs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В</m:t>
              </m:r>
            </m:e>
            <m:sub>
              <m:r>
                <w:rPr>
                  <w:rFonts w:ascii="Cambria Math" w:hAnsi="Cambria Math"/>
                </w:rPr>
                <m:t xml:space="preserve">ср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ЗП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ср</m:t>
                  </m:r>
                </m:sub>
              </m:sSub>
              <m:r>
                <w:rPr>
                  <w:rFonts w:ascii="Cambria Math" w:hAnsi="Cambria Math"/>
                </w:rPr>
                <m:t xml:space="preserve">×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Р</m:t>
                  </m:r>
                </m:e>
              </m:d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К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den>
          </m:f>
        </m:oMath>
      </m:oMathPara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где: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Р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коэффициент уровня рентабельности (сметной прибыли), принимается Р = 0,1 (1%) согласно </w:t>
      </w:r>
      <w:hyperlink w:anchor="P1643">
        <w:r>
          <w:rPr>
            <w:rStyle w:val="Hyperlink"/>
            <w:rFonts w:cs="Times New Roman" w:ascii="Times New Roman" w:hAnsi="Times New Roman"/>
            <w:sz w:val="24"/>
            <w:szCs w:val="24"/>
          </w:rPr>
          <w:t>таблице 1.2</w:t>
        </w:r>
      </w:hyperlink>
      <w:r>
        <w:rPr>
          <w:rFonts w:cs="Times New Roman" w:ascii="Times New Roman" w:hAnsi="Times New Roman"/>
          <w:sz w:val="24"/>
          <w:szCs w:val="24"/>
        </w:rPr>
        <w:t>, приведенной в приложении N 2 к Методике №707;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ЗП</m:t>
        </m:r>
        <m:r>
          <m:rPr>
            <m:lit/>
            <m:nor/>
          </m:rPr>
          <w:rPr>
            <w:rFonts w:ascii="Cambria Math" w:hAnsi="Cambria Math"/>
          </w:rPr>
          <m:t xml:space="preserve">ср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среднедневная заработная плата, тыс. руб. Принимается по данным Росстата о среднемесячной номинальной начисленной заработной плате работающих в экономике, по видам экономической деятельности в Российской Федерации для деятельности в области архитектуры (</w:t>
      </w:r>
      <w:hyperlink r:id="rId82">
        <w:r>
          <w:rPr>
            <w:rStyle w:val="Hyperlink"/>
            <w:rFonts w:cs="Times New Roman" w:ascii="Times New Roman" w:hAnsi="Times New Roman"/>
            <w:sz w:val="24"/>
            <w:szCs w:val="24"/>
          </w:rPr>
          <w:t>код 71.11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согласно ОК 029-2014 (КДЕС ред. 2) "Общероссийский классификатор видов экономической деятельности" (далее - Общероссийский классификатор) за год, предшествующий году определения сметной стоимости объекта проектирования (среднее значение за период январь - декабрь), исходя из усредненного на основании производственного календаря количества рабочих дней в месяце для года,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предшествующего году определения сметной стоимости проектных работ и с учетом Классификатора объектов административно-территориального деления (ОКАТО) Проектной организации. </w:t>
      </w:r>
      <w:r>
        <w:rPr>
          <w:rFonts w:cs="Times New Roman" w:ascii="Times New Roman" w:hAnsi="Times New Roman"/>
          <w:sz w:val="24"/>
          <w:szCs w:val="24"/>
        </w:rPr>
        <w:t xml:space="preserve">Для работ по проектированию объектов, являющихся особо опасными, технически сложными, уникальными объектами согласно </w:t>
      </w:r>
      <w:hyperlink r:id="rId83">
        <w:r>
          <w:rPr>
            <w:rStyle w:val="Hyperlink"/>
            <w:rFonts w:cs="Times New Roman" w:ascii="Times New Roman" w:hAnsi="Times New Roman"/>
            <w:sz w:val="24"/>
            <w:szCs w:val="24"/>
          </w:rPr>
          <w:t>статье 48.1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Градостроительного кодекса Российской Федерации, а также для работ по подготовке проектной документации, содержащей материалы в форме информационной модели, среднемесячная заработная плата принимается для деятельности в области инженерно-технического проектирования (</w:t>
      </w:r>
      <w:hyperlink r:id="rId84">
        <w:r>
          <w:rPr>
            <w:rStyle w:val="Hyperlink"/>
            <w:rFonts w:cs="Times New Roman" w:ascii="Times New Roman" w:hAnsi="Times New Roman"/>
            <w:sz w:val="24"/>
            <w:szCs w:val="24"/>
          </w:rPr>
          <w:t>код 71.12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согласно ОК 029-2014 (КДЕС ред. 2) Общероссийского классификатора)</w:t>
      </w:r>
      <w:r>
        <w:rPr>
          <w:rStyle w:val="FootnoteReference"/>
          <w:rFonts w:cs="Times New Roman" w:ascii="Times New Roman" w:hAnsi="Times New Roman"/>
          <w:sz w:val="24"/>
          <w:szCs w:val="24"/>
        </w:rPr>
        <w:footnoteReference w:id="5"/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К</m:t>
        </m:r>
        <m:r>
          <w:rPr>
            <w:rFonts w:ascii="Cambria Math" w:hAnsi="Cambria Math"/>
          </w:rPr>
          <m:t xml:space="preserve">з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коэффициент, учитывающий долю оплаты труда производственного персонала в себестоимости проектных работ: К3 принимается в размере 40,06%;</w:t>
      </w:r>
    </w:p>
    <w:p>
      <w:pPr>
        <w:pStyle w:val="ConsPlusNormal"/>
        <w:numPr>
          <w:ilvl w:val="1"/>
          <w:numId w:val="7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коэффициент, квалификации-участия (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К</m:t>
            </m:r>
          </m:e>
          <m:sub>
            <m:r>
              <w:rPr>
                <w:rFonts w:ascii="Cambria Math" w:hAnsi="Cambria Math"/>
              </w:rPr>
              <m:t xml:space="preserve">кв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уч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>), определяется по формуле:</w:t>
      </w:r>
    </w:p>
    <w:p>
      <w:pPr>
        <w:pStyle w:val="ConsPlusNormal"/>
        <w:tabs>
          <w:tab w:val="clear" w:pos="708"/>
          <w:tab w:val="left" w:pos="1134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tabs>
          <w:tab w:val="clear" w:pos="708"/>
          <w:tab w:val="left" w:pos="1134" w:leader="none"/>
        </w:tabs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кв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уч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nary>
                <m:naryPr>
                  <m:chr m:val="∑"/>
                </m:naryPr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</m:sup>
                <m:e>
                  <m:f>
                    <m:num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ф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i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общ</m:t>
                          </m:r>
                        </m:sub>
                      </m:sSub>
                    </m:den>
                  </m:f>
                </m:e>
              </m:nary>
              <m:r>
                <w:rPr>
                  <w:rFonts w:ascii="Cambria Math" w:hAnsi="Cambria Math"/>
                </w:rPr>
                <m:t xml:space="preserve">×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</m:sub>
              </m:sSub>
              <m:r>
                <w:rPr>
                  <w:rFonts w:ascii="Cambria Math" w:hAnsi="Cambria Math"/>
                </w:rPr>
                <m:t xml:space="preserve">×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И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общ</m:t>
                  </m:r>
                </m:sub>
              </m:sSub>
            </m:den>
          </m:f>
        </m:oMath>
      </m:oMathPara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где: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И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индекс квалификации непосредственных исполнителей согласно </w:t>
      </w:r>
      <w:hyperlink w:anchor="P1654">
        <w:r>
          <w:rPr>
            <w:rStyle w:val="Hyperlink"/>
            <w:rFonts w:cs="Times New Roman" w:ascii="Times New Roman" w:hAnsi="Times New Roman"/>
            <w:sz w:val="24"/>
            <w:szCs w:val="24"/>
          </w:rPr>
          <w:t>таблицам 1.3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- </w:t>
      </w:r>
      <w:hyperlink w:anchor="P1701">
        <w:r>
          <w:rPr>
            <w:rStyle w:val="Hyperlink"/>
            <w:rFonts w:cs="Times New Roman" w:ascii="Times New Roman" w:hAnsi="Times New Roman"/>
            <w:sz w:val="24"/>
            <w:szCs w:val="24"/>
          </w:rPr>
          <w:t>1.4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приведенным в приложении N 2 к Методике №707. Для отдельных отраслей индексы, приведенные в </w:t>
      </w:r>
      <w:hyperlink w:anchor="P1654">
        <w:r>
          <w:rPr>
            <w:rStyle w:val="Hyperlink"/>
            <w:rFonts w:cs="Times New Roman" w:ascii="Times New Roman" w:hAnsi="Times New Roman"/>
            <w:sz w:val="24"/>
            <w:szCs w:val="24"/>
          </w:rPr>
          <w:t>таблицах 1.3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- </w:t>
      </w:r>
      <w:hyperlink w:anchor="P1701">
        <w:r>
          <w:rPr>
            <w:rStyle w:val="Hyperlink"/>
            <w:rFonts w:cs="Times New Roman" w:ascii="Times New Roman" w:hAnsi="Times New Roman"/>
            <w:sz w:val="24"/>
            <w:szCs w:val="24"/>
          </w:rPr>
          <w:t>1.4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приложения N 2 к Методике №707, подлежат уточнению при предоставлении соответствующих обоснований (бухгалтерских справок и аналогичных документов), документально подтвержденных уполномоченными лицами проектной организации;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Ч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численность исполнителей одинаковой квалификации, чел.;</w:t>
      </w:r>
    </w:p>
    <w:p>
      <w:pPr>
        <w:pStyle w:val="ConsPlusNormal"/>
        <w:tabs>
          <w:tab w:val="clear" w:pos="708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T</m:t>
            </m:r>
          </m:e>
          <m:sub>
            <m:r>
              <w:rPr>
                <w:rFonts w:ascii="Cambria Math" w:hAnsi="Cambria Math"/>
              </w:rPr>
              <m:t xml:space="preserve">ф</m:t>
            </m:r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фактическое время работы исполнителей одинаковой квалификации, дни.</w:t>
      </w:r>
    </w:p>
    <w:p>
      <w:pPr>
        <w:pStyle w:val="ConsPlusNormal"/>
        <w:tabs>
          <w:tab w:val="clear" w:pos="708"/>
          <w:tab w:val="left" w:pos="113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Численность и должностные категории (квалификация) исполнителей, фактическое время работы исполнителей одинаковой квалификации определяются на основании положений документов по стандартизации согласно </w:t>
      </w:r>
      <w:hyperlink r:id="rId85">
        <w:r>
          <w:rPr>
            <w:rStyle w:val="Hyperlink"/>
            <w:rFonts w:cs="Times New Roman" w:ascii="Times New Roman" w:hAnsi="Times New Roman"/>
            <w:sz w:val="24"/>
            <w:szCs w:val="24"/>
          </w:rPr>
          <w:t>статье 14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29 июня 2015 г. N 162-ФЗ "О стандартизации в Российской Федерации" (Собрание законодательства Российской Федерации, 2015, N 27, ст. 3953; 2021, N 1, ст. 62), стандартов процесса подготовки проектной документации согласно </w:t>
      </w:r>
      <w:hyperlink r:id="rId86">
        <w:r>
          <w:rPr>
            <w:rStyle w:val="Hyperlink"/>
            <w:rFonts w:cs="Times New Roman" w:ascii="Times New Roman" w:hAnsi="Times New Roman"/>
            <w:sz w:val="24"/>
            <w:szCs w:val="24"/>
          </w:rPr>
          <w:t>пункту 10 части 8 статьи 55.20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Градостроительного кодекса Российской Федерации (Собрание законодательства Российской Федерации, 2005, N 1, ст. 16; 2018, N 32, ст. 5133), норм проектирования, данных о трудоемкости объектов-аналогов, результатов опроса, проведенного среди не менее трех проектных организаций, специализирующихся на выполнение проектных работ, на которые подготавливается смета, таблиц технологического процесса выполнения проектных работ по объекту, продолжительности выполняемых работ, указанных в календарном плане к договору на выполнение проектных работ, данных о времени и количестве исполнителей определенной квалификации, принимающих участие в выполнении проектных работ, которые должны быть подписаны руководителем проектной организации, предоставляющей такие данные, и заверены ее печатью;</w:t>
      </w:r>
    </w:p>
    <w:p>
      <w:pPr>
        <w:pStyle w:val="ConsPlusNormal"/>
        <w:tabs>
          <w:tab w:val="clear" w:pos="708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Для пересчета стоимости работ в текущий уровень цен применяются соответствующие индексы изменения сметной стоимости, выпущенные письмом Минстроя России, актуальным на момент составления сметной документации, с учетом периода выполнения работ.</w:t>
      </w:r>
    </w:p>
    <w:p>
      <w:pPr>
        <w:pStyle w:val="ConsPlusNormal"/>
        <w:tabs>
          <w:tab w:val="clear" w:pos="708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sz w:val="24"/>
          <w:szCs w:val="24"/>
          <w:shd w:fill="auto" w:val="clear"/>
        </w:rPr>
        <w:t xml:space="preserve">Например, в 1 квартале 2025 года, стоимость проектных работ рассчитывается по калькуляции затрат в уровне цен по состоянию на 31.12.2024 и включается в смету на проектные работы с последующим применением соответствующих индексов изменения сметной стоимости на 1 квартал 2025 года к уровню цен по состоянию на 01.01.2025, сообщаемых письмом Минстроя России от 01.02.2025г. №5170-ИФ/09. 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Общий срок проектирования объекта в месяцах не должен превышать нормативные сроки установленные положениями Приказа Минстроя РФ от 15.05.2020г. № 264/пр «Об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собственности» которые устанавливают зависимость срока проектирования объекта в месяцах от его общей площади.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Для объектов, сроки проектирования которых невозможно определить в соответствии с указанным Приказом, допустимо применение иных документов, не противоречащих действующему законодательству.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стоимость проектных работ, определяемых в соответствии с калькуляцией затрат, не учитывает командировочные расходы, непосредственно связанные с проектированием объекта, определяемые дополнительно.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993" w:leader="none"/>
        </w:tabs>
        <w:spacing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обоснования командировочных расходов предоставляется отдельно выполненный расчет (форма 4п) с расшифровкой затрат на проезд, проживание, суточные расходы. Размер расходов на проезд и стоимость проживания в гостинице определяется на момент составления расчета.</w:t>
      </w:r>
    </w:p>
    <w:p>
      <w:pPr>
        <w:pStyle w:val="Normal"/>
        <w:tabs>
          <w:tab w:val="clear" w:pos="708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ConsPlusNormal"/>
        <w:tabs>
          <w:tab w:val="clear" w:pos="708"/>
          <w:tab w:val="left" w:pos="284" w:leader="none"/>
          <w:tab w:val="left" w:pos="1134" w:leader="none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Лимиты командировочных расходов при производстве ПИР не более: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суточные - 700 руб./сутки;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проживание – 5000 руб./сутки;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ListParagraph"/>
        <w:tabs>
          <w:tab w:val="clear" w:pos="708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 учете командировочных расходов стоимость проезда (авиа-, ж/д, …) определяется </w:t>
      </w:r>
      <w:r>
        <w:rPr>
          <w:rFonts w:eastAsia="Calibri"/>
          <w:sz w:val="24"/>
          <w:szCs w:val="24"/>
          <w:lang w:eastAsia="en-US"/>
        </w:rPr>
        <w:t>методами, предусмотренными Методикой ПЦ (методы без использования сметных нормативов)</w:t>
      </w:r>
      <w:r>
        <w:rPr>
          <w:sz w:val="24"/>
          <w:szCs w:val="24"/>
        </w:rPr>
        <w:t xml:space="preserve">  </w:t>
      </w:r>
    </w:p>
    <w:p>
      <w:pPr>
        <w:sectPr>
          <w:headerReference w:type="default" r:id="rId87"/>
          <w:headerReference w:type="first" r:id="rId88"/>
          <w:footerReference w:type="default" r:id="rId89"/>
          <w:footerReference w:type="first" r:id="rId90"/>
          <w:footnotePr>
            <w:numFmt w:val="decimal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ListParagraph"/>
        <w:tabs>
          <w:tab w:val="clear" w:pos="708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 наличии командированных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pacing w:lineRule="auto" w:line="240" w:before="0" w:after="0"/>
        <w:ind w:hanging="0" w:left="5811" w:right="-2"/>
        <w:contextualSpacing/>
        <w:jc w:val="right"/>
        <w:rPr>
          <w:rFonts w:ascii="Times New Roman" w:hAnsi="Times New Roman"/>
          <w:sz w:val="20"/>
        </w:rPr>
      </w:pPr>
      <w:r>
        <w:rPr>
          <w:sz w:val="20"/>
        </w:rPr>
        <w:t>Приложение № 2</w:t>
      </w:r>
    </w:p>
    <w:p>
      <w:pPr>
        <w:pStyle w:val="Normal"/>
        <w:spacing w:lineRule="auto" w:line="240" w:before="0" w:after="0"/>
        <w:ind w:hanging="0" w:left="5811" w:right="-2"/>
        <w:contextualSpacing/>
        <w:jc w:val="right"/>
        <w:rPr>
          <w:rFonts w:ascii="Times New Roman" w:hAnsi="Times New Roman"/>
          <w:sz w:val="20"/>
        </w:rPr>
      </w:pPr>
      <w:r>
        <w:rPr>
          <w:sz w:val="20"/>
        </w:rPr>
        <w:t>к Требованиям к оформлению и составлению сметной документации на выполнение ПИР</w:t>
      </w:r>
    </w:p>
    <w:p>
      <w:pPr>
        <w:pStyle w:val="Normal"/>
        <w:shd w:val="clear" w:color="auto" w:fill="FFFFFF"/>
        <w:spacing w:lineRule="auto" w:line="240" w:before="0" w:after="0"/>
        <w:ind w:firstLine="284" w:left="720"/>
        <w:contextualSpacing/>
        <w:jc w:val="center"/>
        <w:rPr>
          <w:rFonts w:ascii="Times New Roman" w:hAnsi="Times New Roman"/>
          <w:b/>
          <w:bCs/>
          <w:iCs/>
          <w:spacing w:val="-4"/>
        </w:rPr>
      </w:pPr>
      <w:r>
        <w:rPr>
          <w:b/>
          <w:bCs/>
          <w:iCs/>
          <w:spacing w:val="-4"/>
        </w:rPr>
      </w:r>
    </w:p>
    <w:tbl>
      <w:tblPr>
        <w:tblW w:w="93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6"/>
      </w:tblGrid>
      <w:tr>
        <w:trPr/>
        <w:tc>
          <w:tcPr>
            <w:tcW w:w="93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t>Образец сметы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t>на основные и дополнительные проектные работы,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t>а также сопутствующие работы (форма 2п)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t>СМЕТА №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t>на проектные работы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  <w:t>(наименование объекта)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Заказчик 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  <w:t>(наименование организации)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/>
              <w:t>Проектная организация 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  <w:t>(наименование организации)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Составлена в уровне цен на ___________ 20__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  <w:tbl>
            <w:tblPr>
              <w:tblW w:w="9521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noHBand="0" w:noVBand="1" w:firstColumn="1" w:lastRow="0" w:lastColumn="0" w:firstRow="1"/>
            </w:tblPr>
            <w:tblGrid>
              <w:gridCol w:w="454"/>
              <w:gridCol w:w="1812"/>
              <w:gridCol w:w="3425"/>
              <w:gridCol w:w="1984"/>
              <w:gridCol w:w="1846"/>
            </w:tblGrid>
            <w:tr>
              <w:trPr/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 пп</w:t>
                  </w:r>
                </w:p>
              </w:tc>
              <w:tc>
                <w:tcPr>
                  <w:tcW w:w="181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объекта проектирования или вида проектных работ</w:t>
                  </w:r>
                </w:p>
              </w:tc>
              <w:tc>
                <w:tcPr>
                  <w:tcW w:w="342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Наименование, номера глав, таблиц, параграфов и пунктов МНЗ (СБЦ) на проектные работы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Расчет стоимости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Сметная стоимость, руб.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148" w:name="P3725_Копия_1"/>
                  <w:bookmarkEnd w:id="148"/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149" w:name="P3726_Копия_1"/>
                  <w:bookmarkEnd w:id="149"/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150" w:name="P3727_Копия_1"/>
                  <w:bookmarkEnd w:id="150"/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151" w:name="P3728_Копия_1"/>
                  <w:bookmarkEnd w:id="151"/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1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25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5237" w:type="dxa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Итого без учета НДС</w:t>
                  </w:r>
                </w:p>
              </w:tc>
              <w:tc>
                <w:tcPr>
                  <w:tcW w:w="198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4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Руководитель проектной организации 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  <w:t>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Главный инженер проекта 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  <w:t>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Начальник ___________________ отдела 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i/>
                <w:i/>
                <w:iCs/>
              </w:rPr>
            </w:pPr>
            <w:r>
              <w:rPr/>
              <w:t xml:space="preserve">                             </w:t>
            </w:r>
            <w:r>
              <w:rPr>
                <w:i/>
                <w:iCs/>
              </w:rPr>
              <w:t>(наименование)                            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/>
              <w:t>Заказчик 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</w:rPr>
            </w:pPr>
            <w:bookmarkStart w:id="152" w:name="_Hlk149126469_Копия_1"/>
            <w:r>
              <w:rPr>
                <w:i/>
                <w:iCs/>
              </w:rPr>
              <w:t>[должность, подпись (инициалы, фамилия)]</w:t>
            </w:r>
            <w:bookmarkEnd w:id="152"/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sectPr>
          <w:headerReference w:type="default" r:id="rId91"/>
          <w:headerReference w:type="first" r:id="rId92"/>
          <w:footerReference w:type="default" r:id="rId93"/>
          <w:footerReference w:type="first" r:id="rId94"/>
          <w:footnotePr>
            <w:numFmt w:val="decimal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0" w:after="0"/>
        <w:ind w:hanging="0" w:left="5811"/>
        <w:contextualSpacing/>
        <w:rPr>
          <w:rFonts w:ascii="Times New Roman" w:hAnsi="Times New Roman"/>
          <w:sz w:val="20"/>
        </w:rPr>
      </w:pPr>
      <w:bookmarkStart w:id="153" w:name="P3837"/>
      <w:bookmarkStart w:id="154" w:name="P3834"/>
      <w:bookmarkStart w:id="155" w:name="P3816"/>
      <w:bookmarkStart w:id="156" w:name="P3831"/>
      <w:bookmarkStart w:id="157" w:name="P3833"/>
      <w:bookmarkStart w:id="158" w:name="P3835"/>
      <w:bookmarkStart w:id="159" w:name="P3836"/>
      <w:bookmarkStart w:id="160" w:name="P3838"/>
      <w:bookmarkStart w:id="161" w:name="P3839"/>
      <w:bookmarkStart w:id="162" w:name="P383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r>
        <w:rPr>
          <w:sz w:val="20"/>
        </w:rPr>
        <w:t>Приложение № 3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</w:rPr>
      </w:pPr>
      <w:r>
        <w:rPr>
          <w:sz w:val="20"/>
        </w:rPr>
        <w:t>к Требованиям к оформлению и составлению сметной документации на выполнение ПИР</w:t>
      </w:r>
    </w:p>
    <w:tbl>
      <w:tblPr>
        <w:tblW w:w="1485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29"/>
        <w:gridCol w:w="238"/>
        <w:gridCol w:w="2186"/>
        <w:gridCol w:w="1095"/>
        <w:gridCol w:w="306"/>
        <w:gridCol w:w="215"/>
        <w:gridCol w:w="1583"/>
      </w:tblGrid>
      <w:tr>
        <w:trPr>
          <w:trHeight w:val="20" w:hRule="atLeast"/>
        </w:trPr>
        <w:tc>
          <w:tcPr>
            <w:tcW w:w="92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/>
              <w:t xml:space="preserve">                                                         </w:t>
            </w:r>
            <w:r>
              <w:rPr/>
              <w:t xml:space="preserve">к Договору    от___ ______202___  №_________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 xml:space="preserve">СОГЛАСОВАНО:                                                                                   УТВЕРЖДЕНО:                                                                                                                                                                </w:t>
            </w:r>
          </w:p>
        </w:tc>
        <w:tc>
          <w:tcPr>
            <w:tcW w:w="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 xml:space="preserve">         </w:t>
            </w:r>
          </w:p>
        </w:tc>
        <w:tc>
          <w:tcPr>
            <w:tcW w:w="21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 xml:space="preserve">                       </w:t>
            </w:r>
          </w:p>
        </w:tc>
        <w:tc>
          <w:tcPr>
            <w:tcW w:w="1401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627" w:leader="none"/>
              </w:tabs>
              <w:spacing w:lineRule="auto" w:line="240" w:before="0" w:after="0"/>
              <w:ind w:hanging="1332" w:left="-526"/>
              <w:jc w:val="righ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1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92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28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1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1653" w:type="dxa"/>
            <w:gridSpan w:val="3"/>
            <w:tcBorders/>
          </w:tcPr>
          <w:tbl>
            <w:tblPr>
              <w:tblW w:w="9575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noHBand="0" w:noVBand="0" w:firstColumn="0" w:lastRow="0" w:lastColumn="0" w:firstRow="0"/>
            </w:tblPr>
            <w:tblGrid>
              <w:gridCol w:w="975"/>
              <w:gridCol w:w="2697"/>
              <w:gridCol w:w="1781"/>
              <w:gridCol w:w="2046"/>
              <w:gridCol w:w="2076"/>
            </w:tblGrid>
            <w:tr>
              <w:trPr/>
              <w:tc>
                <w:tcPr>
                  <w:tcW w:w="9575" w:type="dxa"/>
                  <w:gridSpan w:val="5"/>
                  <w:tcBorders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СВОДНАЯ СМЕТА №</w:t>
                  </w:r>
                </w:p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на проектные работы и инженерные изыскания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/>
                    </w:rPr>
                  </w:pPr>
                  <w:r>
                    <w:rPr/>
                    <w:t>_________________________________________________________________________________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i/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(наименование объекта)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/>
                    </w:rPr>
                  </w:pPr>
                  <w:r>
                    <w:rPr/>
                    <w:t>Заказчик ___________________________________________________________________________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i/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(наименование организации)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/>
                    <w:t>Проектная организация 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i/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(наименование организации)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/>
                    </w:rPr>
                  </w:pPr>
                  <w:r>
                    <w:rPr/>
                    <w:t>Составлена в уровне цен на ___________ 20__ г.</w:t>
                  </w:r>
                </w:p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65" w:hRule="atLeast"/>
              </w:trPr>
              <w:tc>
                <w:tcPr>
                  <w:tcW w:w="9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N№ п/п</w:t>
                  </w:r>
                </w:p>
              </w:tc>
              <w:tc>
                <w:tcPr>
                  <w:tcW w:w="269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Наименование смет на проектные работы и инженерные изыскания, затрат</w:t>
                  </w:r>
                </w:p>
              </w:tc>
              <w:tc>
                <w:tcPr>
                  <w:tcW w:w="17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Обоснование</w:t>
                  </w:r>
                </w:p>
              </w:tc>
              <w:tc>
                <w:tcPr>
                  <w:tcW w:w="4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Сметная стоимость, руб.</w:t>
                  </w:r>
                </w:p>
              </w:tc>
            </w:tr>
            <w:tr>
              <w:trPr>
                <w:trHeight w:val="74" w:hRule="atLeast"/>
              </w:trPr>
              <w:tc>
                <w:tcPr>
                  <w:tcW w:w="9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/>
                  </w:r>
                </w:p>
              </w:tc>
              <w:tc>
                <w:tcPr>
                  <w:tcW w:w="2697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</w:rPr>
                  </w:pPr>
                  <w:r>
                    <w:rPr/>
                  </w:r>
                </w:p>
              </w:tc>
              <w:tc>
                <w:tcPr>
                  <w:tcW w:w="178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</w:rPr>
                  </w:pPr>
                  <w:r>
                    <w:rPr/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инженерных изысканий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проектных работ</w:t>
                  </w:r>
                </w:p>
              </w:tc>
            </w:tr>
            <w:tr>
              <w:trPr>
                <w:trHeight w:val="19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firstLine="2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</w:tr>
            <w:tr>
              <w:trPr>
                <w:trHeight w:val="274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Инженерные изыскания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493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Наименование сметы на инженерные изыскания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281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Проектная документация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&lt;X&gt;</w:t>
                  </w:r>
                </w:p>
              </w:tc>
            </w:tr>
            <w:tr>
              <w:trPr>
                <w:trHeight w:val="323" w:hRule="atLeast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III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Рабочая документация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&lt;X&gt;</w:t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Итого по видам работ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&lt;X&gt;</w:t>
                  </w:r>
                </w:p>
              </w:tc>
            </w:tr>
            <w:tr>
              <w:trPr/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4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&lt;X&gt;</w:t>
                  </w:r>
                </w:p>
              </w:tc>
            </w:tr>
          </w:tbl>
          <w:p>
            <w:pPr>
              <w:pStyle w:val="ConsPlusNormal"/>
              <w:widowControl w:val="false"/>
              <w:ind w:firstLine="720" w:right="-55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199" w:type="dxa"/>
            <w:gridSpan w:val="4"/>
            <w:tcBorders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  <w:t>Руководитель проектной организации 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  <w:t>[подпись (инициалы, фамилия)]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  <w:t>Главный инженер проекта 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  <w:t>[подпись (инициалы, фамилия)]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  <w:t>Начальник ___________________ отдела 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iCs/>
        </w:rPr>
      </w:pPr>
      <w:r>
        <w:rPr/>
        <w:t xml:space="preserve">                             </w:t>
      </w:r>
      <w:r>
        <w:rPr>
          <w:i/>
          <w:iCs/>
        </w:rPr>
        <w:t>(наименование)                            [подпись (инициалы, фамилия)]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  <w:t>Заказчик 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  <w:t>[должность, подпись (инициалы, фамилия)]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</w:rPr>
      </w:pPr>
      <w:r>
        <w:rPr>
          <w:i/>
          <w:iCs/>
        </w:rPr>
      </w:r>
      <w:r>
        <w:br w:type="page"/>
      </w:r>
    </w:p>
    <w:p>
      <w:pPr>
        <w:pStyle w:val="Normal"/>
        <w:spacing w:lineRule="auto" w:line="240" w:before="0" w:after="0"/>
        <w:ind w:hanging="0" w:left="5811"/>
        <w:jc w:val="right"/>
        <w:rPr>
          <w:rFonts w:ascii="Times New Roman" w:hAnsi="Times New Roman"/>
        </w:rPr>
      </w:pPr>
      <w:r>
        <w:rPr/>
        <w:t>Приложение №1</w:t>
      </w:r>
    </w:p>
    <w:p>
      <w:pPr>
        <w:pStyle w:val="Normal"/>
        <w:spacing w:lineRule="auto" w:line="240" w:before="0" w:after="0"/>
        <w:ind w:hanging="0" w:left="5811"/>
        <w:jc w:val="right"/>
        <w:rPr>
          <w:rFonts w:ascii="Times New Roman" w:hAnsi="Times New Roman"/>
        </w:rPr>
      </w:pPr>
      <w:r>
        <w:rPr/>
        <w:t>к пояснительной записке</w:t>
      </w:r>
    </w:p>
    <w:p>
      <w:pPr>
        <w:pStyle w:val="Normal"/>
        <w:spacing w:lineRule="auto" w:line="240" w:before="0" w:after="0"/>
        <w:ind w:hanging="0" w:left="5811"/>
        <w:jc w:val="right"/>
        <w:rPr>
          <w:rFonts w:ascii="Times New Roman" w:hAnsi="Times New Roman"/>
        </w:rPr>
      </w:pPr>
      <w:r>
        <w:rPr/>
        <w:t xml:space="preserve"> </w:t>
      </w:r>
      <w:r>
        <w:rPr/>
        <w:t>по заполнению формы 3П</w:t>
      </w:r>
    </w:p>
    <w:p>
      <w:pPr>
        <w:pStyle w:val="Normal"/>
        <w:spacing w:lineRule="auto" w:line="240" w:before="0" w:after="0"/>
        <w:ind w:hanging="0" w:left="6373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Образец сметы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на проектные работы в соответствии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с калькуляцией затрат (форма 3п)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СМЕТА №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на проектные работы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firstLine="1134" w:right="1246"/>
        <w:jc w:val="both"/>
        <w:rPr>
          <w:rFonts w:ascii="Times New Roman" w:hAnsi="Times New Roman"/>
        </w:rPr>
      </w:pPr>
      <w:r>
        <w:rPr/>
        <w:t>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  <w:t>(наименование объекта)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hanging="0" w:right="142"/>
        <w:jc w:val="both"/>
        <w:rPr>
          <w:rFonts w:ascii="Times New Roman" w:hAnsi="Times New Roman"/>
        </w:rPr>
      </w:pPr>
      <w:r>
        <w:rPr/>
        <w:t>Заказчик 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  <w:t>(наименование организации)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hanging="0" w:right="1246"/>
        <w:jc w:val="both"/>
        <w:rPr>
          <w:rFonts w:ascii="Times New Roman" w:hAnsi="Times New Roman"/>
        </w:rPr>
      </w:pPr>
      <w:r>
        <w:rPr/>
        <w:t>Проектная организация 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  <w:t>(наименование организации)</w:t>
      </w:r>
    </w:p>
    <w:p>
      <w:pPr>
        <w:pStyle w:val="Normal"/>
        <w:spacing w:lineRule="auto" w:line="240" w:before="0" w:after="0"/>
        <w:ind w:hanging="0" w:right="1246"/>
        <w:jc w:val="both"/>
        <w:rPr>
          <w:rFonts w:ascii="Times New Roman" w:hAnsi="Times New Roman"/>
        </w:rPr>
      </w:pPr>
      <w:r>
        <w:rPr/>
        <w:t>Составлена в уровне цен на ___________ 20__ г.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Расчет коэффициента, учитывающего степень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участия исполнителей-проектировщиков различной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t>квалификации в выполнении проектных работ (Ккв-уч)</w:t>
      </w:r>
    </w:p>
    <w:tbl>
      <w:tblPr>
        <w:tblW w:w="1005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57"/>
        <w:gridCol w:w="1415"/>
        <w:gridCol w:w="1562"/>
        <w:gridCol w:w="1985"/>
        <w:gridCol w:w="1559"/>
        <w:gridCol w:w="1418"/>
        <w:gridCol w:w="1558"/>
      </w:tblGrid>
      <w:tr>
        <w:trPr/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 п/п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 исполнителей</w:t>
            </w: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Фактическое время участия исполнителя в работе, Тф (дни)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Плановая продолжительность выполнения проектных работ, предусмотренных калькуляцией, Тп (дни)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Численность исполнителей одной квалификации Чi (чел)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Индекс уровня квалификации специалистов исполнителей работы И</w:t>
            </w:r>
            <w:r>
              <w:rPr>
                <w:rFonts w:cs="Times New Roman" w:ascii="Times New Roman" w:hAnsi="Times New Roman"/>
                <w:lang w:val="en-US"/>
              </w:rPr>
              <w:t>i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Коэффициент квалификации (участия) специалистов одной квалификации,</w:t>
            </w:r>
          </w:p>
          <w:p>
            <w:pPr>
              <w:pStyle w:val="ConsPlusNormal"/>
              <w:widowControl w:val="false"/>
              <w:ind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∑</w:t>
            </w:r>
            <w:r>
              <w:rPr>
                <w:rFonts w:cs="Times New Roman" w:ascii="Times New Roman" w:hAnsi="Times New Roman"/>
              </w:rPr>
              <w:t>(гр.3/итог гр.4 х гр.5 х гр.6) / ∑гр.5</w:t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>
                <w:rFonts w:ascii="Times New Roman" w:hAnsi="Times New Roman" w:cs="Times New Roman"/>
              </w:rPr>
            </w:pPr>
            <w:hyperlink w:anchor="P3816">
              <w:r>
                <w:rPr>
                  <w:rStyle w:val="Hyperlink"/>
                  <w:rFonts w:cs="Times New Roman" w:ascii="Times New Roman" w:hAnsi="Times New Roman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>
                <w:rFonts w:ascii="Times New Roman" w:hAnsi="Times New Roman" w:cs="Times New Roman"/>
              </w:rPr>
            </w:pPr>
            <w:hyperlink w:anchor="P3816">
              <w:r>
                <w:rPr>
                  <w:rStyle w:val="Hyperlink"/>
                  <w:rFonts w:cs="Times New Roman" w:ascii="Times New Roman" w:hAnsi="Times New Roman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>
                <w:rFonts w:ascii="Times New Roman" w:hAnsi="Times New Roman" w:cs="Times New Roman"/>
              </w:rPr>
            </w:pPr>
            <w:hyperlink w:anchor="P3816">
              <w:r>
                <w:rPr>
                  <w:rStyle w:val="Hyperlink"/>
                  <w:rFonts w:cs="Times New Roman" w:ascii="Times New Roman" w:hAnsi="Times New Roman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15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hyperlink w:anchor="P3816">
              <w:r>
                <w:rPr>
                  <w:rStyle w:val="Hyperlink"/>
                  <w:rFonts w:cs="Times New Roman" w:ascii="Times New Roman" w:hAnsi="Times New Roman"/>
                </w:rPr>
                <w:t>*</w:t>
              </w:r>
            </w:hyperlink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hyperlink w:anchor="P3816">
              <w:r>
                <w:rPr>
                  <w:rStyle w:val="Hyperlink"/>
                  <w:rFonts w:cs="Times New Roman" w:ascii="Times New Roman" w:hAnsi="Times New Roman"/>
                </w:rPr>
                <w:t>*</w:t>
              </w:r>
            </w:hyperlink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headerReference w:type="default" r:id="rId95"/>
          <w:headerReference w:type="first" r:id="rId96"/>
          <w:footerReference w:type="default" r:id="rId97"/>
          <w:footerReference w:type="first" r:id="rId98"/>
          <w:footnotePr>
            <w:numFmt w:val="decimal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Примечание: &lt;*&gt; Графы для расчета коэффициента в таблице не заполняются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Расчет стоимости проектных работ в соответствии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с калькуляцией затрат на проектирование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5501" w:type="dxa"/>
        <w:jc w:val="left"/>
        <w:tblInd w:w="-7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1833"/>
        <w:gridCol w:w="1276"/>
        <w:gridCol w:w="1700"/>
        <w:gridCol w:w="1845"/>
        <w:gridCol w:w="1133"/>
        <w:gridCol w:w="1702"/>
        <w:gridCol w:w="1415"/>
        <w:gridCol w:w="1702"/>
        <w:gridCol w:w="1606"/>
        <w:gridCol w:w="1287"/>
      </w:tblGrid>
      <w:tr>
        <w:trPr/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Среднемесячная зарплата исполнителей, руб.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Кол-во рабочих дней в месяце, дни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Среднедневная зарплата исполнителей, руб.</w:t>
            </w:r>
          </w:p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</w:t>
            </w:r>
            <w:hyperlink w:anchor="P3831">
              <w:r>
                <w:rPr>
                  <w:rStyle w:val="Hyperlink"/>
                  <w:rFonts w:cs="Times New Roman" w:ascii="Times New Roman" w:hAnsi="Times New Roman"/>
                </w:rPr>
                <w:t>гр 1</w:t>
              </w:r>
            </w:hyperlink>
            <w:r>
              <w:rPr>
                <w:rFonts w:cs="Times New Roman" w:ascii="Times New Roman" w:hAnsi="Times New Roman"/>
              </w:rPr>
              <w:t xml:space="preserve"> / </w:t>
            </w:r>
            <w:hyperlink w:anchor="P3832">
              <w:r>
                <w:rPr>
                  <w:rStyle w:val="Hyperlink"/>
                  <w:rFonts w:cs="Times New Roman" w:ascii="Times New Roman" w:hAnsi="Times New Roman"/>
                </w:rPr>
                <w:t>гр 2</w:t>
              </w:r>
            </w:hyperlink>
            <w:r>
              <w:rPr>
                <w:rFonts w:cs="Times New Roman" w:ascii="Times New Roman" w:hAnsi="Times New Roman"/>
              </w:rPr>
              <w:t>)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Удельный вес зарплаты в себестоимости работ - Кз, %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Рентабель-ность, %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Среднедневная единичная выработка, руб. (</w:t>
            </w:r>
            <w:hyperlink w:anchor="P3833">
              <w:r>
                <w:rPr>
                  <w:rStyle w:val="Hyperlink"/>
                  <w:rFonts w:cs="Times New Roman" w:ascii="Times New Roman" w:hAnsi="Times New Roman"/>
                </w:rPr>
                <w:t>гр. 3</w:t>
              </w:r>
            </w:hyperlink>
            <w:r>
              <w:rPr>
                <w:rFonts w:cs="Times New Roman" w:ascii="Times New Roman" w:hAnsi="Times New Roman"/>
              </w:rPr>
              <w:t xml:space="preserve"> x (1 + </w:t>
            </w:r>
            <w:hyperlink w:anchor="P3835">
              <w:r>
                <w:rPr>
                  <w:rStyle w:val="Hyperlink"/>
                  <w:rFonts w:cs="Times New Roman" w:ascii="Times New Roman" w:hAnsi="Times New Roman"/>
                </w:rPr>
                <w:t>гр. 5</w:t>
              </w:r>
            </w:hyperlink>
            <w:r>
              <w:rPr>
                <w:rFonts w:cs="Times New Roman" w:ascii="Times New Roman" w:hAnsi="Times New Roman"/>
              </w:rPr>
              <w:t xml:space="preserve">)) / </w:t>
            </w:r>
            <w:hyperlink w:anchor="P3834">
              <w:r>
                <w:rPr>
                  <w:rStyle w:val="Hyperlink"/>
                  <w:rFonts w:cs="Times New Roman" w:ascii="Times New Roman" w:hAnsi="Times New Roman"/>
                </w:rPr>
                <w:t>гр. 4</w:t>
              </w:r>
            </w:hyperlink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Продолжи-тельность разработки (дни)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Численность исполнителей (чел.)</w:t>
            </w:r>
          </w:p>
        </w:tc>
        <w:tc>
          <w:tcPr>
            <w:tcW w:w="16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Коэффициент квалификации (участия) </w:t>
            </w:r>
          </w:p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Ккв-уч</w:t>
            </w:r>
          </w:p>
        </w:tc>
        <w:tc>
          <w:tcPr>
            <w:tcW w:w="1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Стоимость работ, руб. </w:t>
            </w:r>
          </w:p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 = (</w:t>
            </w:r>
            <w:hyperlink w:anchor="P3836">
              <w:r>
                <w:rPr>
                  <w:rStyle w:val="Hyperlink"/>
                  <w:rFonts w:cs="Times New Roman" w:ascii="Times New Roman" w:hAnsi="Times New Roman"/>
                </w:rPr>
                <w:t>гр. 6</w:t>
              </w:r>
            </w:hyperlink>
            <w:r>
              <w:rPr>
                <w:rFonts w:cs="Times New Roman" w:ascii="Times New Roman" w:hAnsi="Times New Roman"/>
              </w:rPr>
              <w:t xml:space="preserve"> x </w:t>
            </w:r>
            <w:hyperlink w:anchor="P3837">
              <w:r>
                <w:rPr>
                  <w:rStyle w:val="Hyperlink"/>
                  <w:rFonts w:cs="Times New Roman" w:ascii="Times New Roman" w:hAnsi="Times New Roman"/>
                </w:rPr>
                <w:t>гр. 7</w:t>
              </w:r>
            </w:hyperlink>
            <w:r>
              <w:rPr>
                <w:rFonts w:cs="Times New Roman" w:ascii="Times New Roman" w:hAnsi="Times New Roman"/>
              </w:rPr>
              <w:t xml:space="preserve"> x </w:t>
            </w:r>
            <w:hyperlink w:anchor="P3838">
              <w:r>
                <w:rPr>
                  <w:rStyle w:val="Hyperlink"/>
                  <w:rFonts w:cs="Times New Roman" w:ascii="Times New Roman" w:hAnsi="Times New Roman"/>
                </w:rPr>
                <w:t>гр. 8</w:t>
              </w:r>
            </w:hyperlink>
            <w:r>
              <w:rPr>
                <w:rFonts w:cs="Times New Roman" w:ascii="Times New Roman" w:hAnsi="Times New Roman"/>
              </w:rPr>
              <w:t xml:space="preserve"> x </w:t>
            </w:r>
            <w:hyperlink w:anchor="P3839">
              <w:r>
                <w:rPr>
                  <w:rStyle w:val="Hyperlink"/>
                  <w:rFonts w:cs="Times New Roman" w:ascii="Times New Roman" w:hAnsi="Times New Roman"/>
                </w:rPr>
                <w:t>гр. 9</w:t>
              </w:r>
            </w:hyperlink>
            <w:r>
              <w:rPr>
                <w:rFonts w:cs="Times New Roman" w:ascii="Times New Roman" w:hAnsi="Times New Roman"/>
              </w:rPr>
              <w:t>)</w:t>
            </w:r>
          </w:p>
        </w:tc>
      </w:tr>
      <w:tr>
        <w:trPr/>
        <w:tc>
          <w:tcPr>
            <w:tcW w:w="1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2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/>
        <w:tc>
          <w:tcPr>
            <w:tcW w:w="1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eastAsia="Calibri" w:cs="Times New Roman" w:eastAsiaTheme="minorHAnsi"/>
          <w:sz w:val="24"/>
          <w:szCs w:val="24"/>
        </w:rPr>
      </w:pPr>
      <w:r>
        <w:rPr>
          <w:rFonts w:eastAsia="Calibri" w:cs="Times New Roman" w:eastAsiaTheme="minorHAns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проектной организации 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Главный инженер</w:t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проекта _______________________________________________________________________________________________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</w:rPr>
      </w:pPr>
      <w:r>
        <w:rPr>
          <w:i/>
          <w:iCs/>
        </w:rPr>
      </w:r>
      <w:bookmarkStart w:id="163" w:name="_MON_1758635370_Копия_1_Копия_1"/>
      <w:bookmarkStart w:id="164" w:name="_MON_1758635370"/>
      <w:bookmarkStart w:id="165" w:name="_MON_1758635370_Копия_1"/>
      <w:bookmarkStart w:id="166" w:name="_MON_1758635370_Копия_1_Копия_1"/>
      <w:bookmarkStart w:id="167" w:name="_MON_1758635370"/>
      <w:bookmarkStart w:id="168" w:name="_MON_1758635370_Копия_1"/>
      <w:bookmarkEnd w:id="166"/>
      <w:bookmarkEnd w:id="167"/>
      <w:bookmarkEnd w:id="168"/>
    </w:p>
    <w:p>
      <w:pPr>
        <w:sectPr>
          <w:headerReference w:type="default" r:id="rId101"/>
          <w:headerReference w:type="first" r:id="rId102"/>
          <w:footerReference w:type="default" r:id="rId103"/>
          <w:footerReference w:type="first" r:id="rId104"/>
          <w:footnotePr>
            <w:numFmt w:val="decimal"/>
          </w:footnotePr>
          <w:type w:val="nextPage"/>
          <w:pgSz w:orient="landscape" w:w="16838" w:h="11906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ConsPlusNormal"/>
        <w:ind w:hanging="0"/>
        <w:jc w:val="both"/>
        <w:rPr>
          <w:rFonts w:ascii="Times New Roman" w:hAnsi="Times New Roman" w:cs="Times New Roman"/>
          <w:sz w:val="22"/>
          <w:szCs w:val="22"/>
        </w:rPr>
      </w:pPr>
      <w:bookmarkStart w:id="169" w:name="_MON_1758635370_Копия_1_Копия_1"/>
      <w:bookmarkEnd w:id="169"/>
      <w:r>
        <w:rPr/>
        <w:object>
          <v:shapetype id="_x0000_tole_rId99" coordsize="21600,21600" o:spt="ole_rId99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99" type="_x0000_tole_rId99" style="width:79.45pt;height:50.65pt;mso-wrap-distance-right:0pt" filled="f" o:ole="">
            <v:imagedata r:id="rId100" o:title=""/>
          </v:shape>
          <o:OLEObject Type="Embed" ProgID="Excel.Sheet.12" ShapeID="ole_rId99" DrawAspect="Icon" ObjectID="_1904220130" r:id="rId99"/>
        </w:objec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bookmarkStart w:id="170" w:name="P3865"/>
      <w:bookmarkEnd w:id="170"/>
      <w:r>
        <w:rPr>
          <w:sz w:val="24"/>
          <w:szCs w:val="24"/>
        </w:rPr>
        <w:t>Образец сметного расчета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на командировочные расходы по работам,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связанным с проектированием объекта (форма 4п)</w:t>
      </w:r>
    </w:p>
    <w:p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50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1"/>
        <w:gridCol w:w="1626"/>
        <w:gridCol w:w="1698"/>
        <w:gridCol w:w="1973"/>
        <w:gridCol w:w="2664"/>
        <w:gridCol w:w="1271"/>
        <w:gridCol w:w="1917"/>
        <w:gridCol w:w="1994"/>
        <w:gridCol w:w="1402"/>
      </w:tblGrid>
      <w:tr>
        <w:trPr>
          <w:trHeight w:val="644" w:hRule="atLeast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 п/п</w:t>
            </w:r>
          </w:p>
        </w:tc>
        <w:tc>
          <w:tcPr>
            <w:tcW w:w="16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Пункт назначения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специалистов</w:t>
            </w:r>
          </w:p>
        </w:tc>
        <w:tc>
          <w:tcPr>
            <w:tcW w:w="1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Проезд к месту командировки (туда и обратно)</w:t>
            </w:r>
          </w:p>
        </w:tc>
        <w:tc>
          <w:tcPr>
            <w:tcW w:w="26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Проживание в номере гостиницы класса "3 звезды", </w:t>
            </w:r>
          </w:p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чел/сутки.</w:t>
            </w:r>
          </w:p>
        </w:tc>
        <w:tc>
          <w:tcPr>
            <w:tcW w:w="1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Суточные</w:t>
            </w:r>
          </w:p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сутки/руб.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Продолжительность командировки, сутки</w:t>
            </w:r>
          </w:p>
        </w:tc>
        <w:tc>
          <w:tcPr>
            <w:tcW w:w="1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Продолжительность проживания в гостинице, сутки</w:t>
            </w: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затрат, рубли</w:t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8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по сметному расчету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eastAsia="Calibri" w:cs="Times New Roman" w:eastAsiaTheme="minorHAnsi"/>
          <w:sz w:val="22"/>
          <w:szCs w:val="22"/>
        </w:rPr>
      </w:pPr>
      <w:r>
        <w:rPr>
          <w:rFonts w:eastAsia="Calibri" w:cs="Times New Roman" w:eastAsiaTheme="minorHAnsi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проектной организации ________________________________________________________________________________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Главный инженер</w:t>
      </w:r>
    </w:p>
    <w:p>
      <w:pPr>
        <w:pStyle w:val="Normal"/>
        <w:spacing w:lineRule="auto" w:line="240" w:before="0" w:after="0"/>
        <w:ind w:hanging="0" w:right="2947"/>
        <w:jc w:val="both"/>
        <w:rPr>
          <w:sz w:val="24"/>
          <w:szCs w:val="24"/>
        </w:rPr>
      </w:pPr>
      <w:r>
        <w:rPr>
          <w:sz w:val="24"/>
          <w:szCs w:val="24"/>
        </w:rPr>
        <w:t>проекта 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center"/>
        <w:rPr>
          <w:rFonts w:ascii="Times New Roman" w:hAnsi="Times New Roman"/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</w:rPr>
      </w:pPr>
      <w:bookmarkStart w:id="171" w:name="_Hlk146878269"/>
      <w:r>
        <w:rPr/>
        <w:object>
          <v:shapetype id="_x0000_tole_rId105" coordsize="21600,21600" o:spt="ole_rId10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05" type="_x0000_tole_rId105" style="width:79.45pt;height:50.65pt;mso-wrap-distance-right:0pt" filled="f" o:ole="">
            <v:imagedata r:id="rId106" o:title=""/>
          </v:shape>
          <o:OLEObject Type="Embed" ProgID="Excel.Sheet.12" ShapeID="ole_rId105" DrawAspect="Icon" ObjectID="_1446194409" r:id="rId105"/>
        </w:object>
      </w:r>
      <w:bookmarkEnd w:id="171"/>
    </w:p>
    <w:p>
      <w:pPr>
        <w:sectPr>
          <w:headerReference w:type="default" r:id="rId107"/>
          <w:headerReference w:type="first" r:id="rId108"/>
          <w:footerReference w:type="default" r:id="rId109"/>
          <w:footerReference w:type="first" r:id="rId110"/>
          <w:footnotePr>
            <w:numFmt w:val="decimal"/>
          </w:footnotePr>
          <w:type w:val="nextPage"/>
          <w:pgSz w:orient="landscape" w:w="16838" w:h="11906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</w:rPr>
      </w:pPr>
      <w:r>
        <w:rPr>
          <w:i/>
          <w:iCs/>
        </w:rPr>
      </w:r>
    </w:p>
    <w:p>
      <w:pPr>
        <w:pStyle w:val="Heading1"/>
        <w:tabs>
          <w:tab w:val="clear" w:pos="0"/>
        </w:tabs>
        <w:spacing w:before="0" w:after="0"/>
        <w:ind w:hanging="0" w:left="0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</w:t>
      </w:r>
      <w:r>
        <w:rPr>
          <w:b w:val="false"/>
          <w:sz w:val="22"/>
          <w:szCs w:val="22"/>
          <w:lang w:val="ru-RU"/>
        </w:rPr>
        <w:t>2</w:t>
      </w:r>
      <w:r>
        <w:rPr>
          <w:b w:val="false"/>
          <w:sz w:val="22"/>
          <w:szCs w:val="22"/>
        </w:rPr>
        <w:t xml:space="preserve"> к Техническим требованиям</w:t>
      </w:r>
      <w:bookmarkEnd w:id="94"/>
    </w:p>
    <w:p>
      <w:pPr>
        <w:pStyle w:val="Normal"/>
        <w:spacing w:before="119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tabs>
          <w:tab w:val="clear" w:pos="0"/>
        </w:tabs>
        <w:spacing w:before="120" w:after="120"/>
        <w:ind w:hanging="0" w:left="0"/>
        <w:rPr/>
      </w:pPr>
      <w:bookmarkStart w:id="172" w:name="_Toc240289539"/>
      <w:bookmarkStart w:id="173" w:name="_Toc184726135"/>
      <w:bookmarkStart w:id="174" w:name="_Toc235117306"/>
      <w:bookmarkStart w:id="175" w:name="_Toc160202290"/>
      <w:r>
        <w:rPr/>
        <w:t>Перечень утверждаемой части документации</w:t>
      </w:r>
      <w:bookmarkEnd w:id="172"/>
      <w:bookmarkEnd w:id="173"/>
      <w:bookmarkEnd w:id="174"/>
      <w:bookmarkEnd w:id="175"/>
    </w:p>
    <w:p>
      <w:pPr>
        <w:pStyle w:val="Normal"/>
        <w:rPr>
          <w:rFonts w:cs="Arial"/>
          <w:sz w:val="24"/>
          <w:szCs w:val="24"/>
          <w:lang w:eastAsia="en-US"/>
        </w:rPr>
      </w:pPr>
      <w:r>
        <w:rPr>
          <w:rFonts w:cs="Arial"/>
          <w:sz w:val="24"/>
          <w:szCs w:val="24"/>
          <w:lang w:eastAsia="en-US"/>
        </w:rPr>
        <w:t>Таблица А.1- Перечень конструкторской документации для согласования Заказчиком и Генеральным проектировщиком*</w:t>
      </w:r>
    </w:p>
    <w:tbl>
      <w:tblPr>
        <w:tblStyle w:val="313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3"/>
        <w:gridCol w:w="6569"/>
        <w:gridCol w:w="2416"/>
      </w:tblGrid>
      <w:tr>
        <w:trPr>
          <w:tblHeader w:val="true"/>
          <w:trHeight w:val="624" w:hRule="atLeast"/>
        </w:trPr>
        <w:tc>
          <w:tcPr>
            <w:tcW w:w="6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5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Предложение участника</w:t>
            </w:r>
          </w:p>
        </w:tc>
      </w:tr>
      <w:tr>
        <w:trPr>
          <w:tblHeader w:val="true"/>
          <w:trHeight w:val="454" w:hRule="atLeast"/>
        </w:trPr>
        <w:tc>
          <w:tcPr>
            <w:tcW w:w="693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69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416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96" w:leader="none"/>
              </w:tabs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6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Конструкторская документация на шкафы пожарной автоматики, выполненная по ГОСТ Р 2.102-2023 </w:t>
            </w:r>
          </w:p>
        </w:tc>
        <w:tc>
          <w:tcPr>
            <w:tcW w:w="2416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top w:val="doub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96" w:leader="none"/>
              </w:tabs>
              <w:suppressAutoHyphens w:val="true"/>
              <w:spacing w:before="0" w:after="0"/>
              <w:ind w:firstLine="74" w:left="-7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69" w:type="dxa"/>
            <w:tcBorders>
              <w:top w:val="doub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Альбомы алгоритмов работы СПА</w:t>
            </w:r>
          </w:p>
        </w:tc>
        <w:tc>
          <w:tcPr>
            <w:tcW w:w="2416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firstLine="74" w:left="-7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pStyle w:val="Normal"/>
        <w:spacing w:before="0"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eastAsia="en-US"/>
        </w:rPr>
        <w:t>*</w:t>
      </w:r>
      <w:r>
        <w:rPr>
          <w:rFonts w:cs="Arial"/>
          <w:sz w:val="24"/>
          <w:szCs w:val="24"/>
        </w:rPr>
        <w:t xml:space="preserve"> - дополнительно к данному перечню должны предоставляться и другие чертежи и документы по запросу Генерального проектировщика.</w:t>
      </w:r>
    </w:p>
    <w:p>
      <w:pPr>
        <w:pStyle w:val="Normal"/>
        <w:ind w:firstLine="851"/>
        <w:rPr>
          <w:rFonts w:cs="Arial"/>
          <w:sz w:val="24"/>
          <w:szCs w:val="24"/>
          <w:lang w:eastAsia="en-US"/>
        </w:rPr>
      </w:pPr>
      <w:r>
        <w:rPr>
          <w:rFonts w:cs="Arial"/>
          <w:sz w:val="24"/>
          <w:szCs w:val="24"/>
          <w:lang w:eastAsia="en-US"/>
        </w:rPr>
      </w:r>
    </w:p>
    <w:p>
      <w:pPr>
        <w:pStyle w:val="Normal"/>
        <w:ind w:firstLine="851"/>
        <w:rPr>
          <w:rFonts w:cs="Arial"/>
          <w:sz w:val="24"/>
          <w:szCs w:val="24"/>
          <w:lang w:eastAsia="en-US"/>
        </w:rPr>
      </w:pPr>
      <w:r>
        <w:rPr>
          <w:rFonts w:cs="Arial"/>
          <w:sz w:val="24"/>
          <w:szCs w:val="24"/>
          <w:lang w:eastAsia="en-US"/>
        </w:rPr>
      </w:r>
    </w:p>
    <w:p>
      <w:pPr>
        <w:pStyle w:val="Normal"/>
        <w:ind w:right="-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tabs>
          <w:tab w:val="clear" w:pos="0"/>
        </w:tabs>
        <w:spacing w:before="120" w:after="120"/>
        <w:ind w:hanging="0" w:left="0"/>
        <w:jc w:val="right"/>
        <w:rPr>
          <w:b w:val="false"/>
          <w:sz w:val="22"/>
          <w:szCs w:val="22"/>
        </w:rPr>
      </w:pPr>
      <w:bookmarkStart w:id="176" w:name="_Toc240289540"/>
      <w:r>
        <w:rPr>
          <w:b w:val="false"/>
          <w:sz w:val="22"/>
          <w:szCs w:val="22"/>
        </w:rPr>
        <w:t>Приложение №</w:t>
      </w:r>
      <w:r>
        <w:rPr>
          <w:b w:val="false"/>
          <w:sz w:val="22"/>
          <w:szCs w:val="22"/>
          <w:lang w:val="ru-RU"/>
        </w:rPr>
        <w:t>3</w:t>
      </w:r>
      <w:r>
        <w:rPr>
          <w:b w:val="false"/>
          <w:sz w:val="22"/>
          <w:szCs w:val="22"/>
        </w:rPr>
        <w:t xml:space="preserve"> к Техническим требованиям</w:t>
      </w:r>
      <w:bookmarkEnd w:id="176"/>
    </w:p>
    <w:p>
      <w:pPr>
        <w:pStyle w:val="Heading1"/>
        <w:tabs>
          <w:tab w:val="clear" w:pos="0"/>
        </w:tabs>
        <w:spacing w:before="120" w:after="120"/>
        <w:ind w:hanging="0" w:left="0"/>
        <w:rPr/>
      </w:pPr>
      <w:bookmarkStart w:id="177" w:name="_Toc235117331"/>
      <w:bookmarkStart w:id="178" w:name="_Toc184726159"/>
      <w:bookmarkStart w:id="179" w:name="_Toc240289541"/>
      <w:bookmarkStart w:id="180" w:name="_Toc163574329"/>
      <w:r>
        <w:rPr/>
        <w:t>Основные нормативные документы</w:t>
      </w:r>
      <w:bookmarkEnd w:id="177"/>
      <w:bookmarkEnd w:id="178"/>
      <w:bookmarkEnd w:id="179"/>
      <w:bookmarkEnd w:id="180"/>
    </w:p>
    <w:p>
      <w:pPr>
        <w:pStyle w:val="Normal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>Работы выполнять в соответствии с нормативными документами, регламентирующими требования по обеспечению производства строительно-монтажных и пуско-наладочных работ согласно действующему законодательству РФ, регламентирующему производство работ, которые оказывают влияние на безопасность объектов капитального строительства, в том числе:</w:t>
      </w:r>
    </w:p>
    <w:p>
      <w:pPr>
        <w:pStyle w:val="Normal"/>
        <w:ind w:firstLine="432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Федеральные законы и нормативные правовые акты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Федеральный закон от 22.07.2008 г. № 123-ФЗ «Технический регламент о требованиях пожарной безопасности» (в действующей редакции);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Федеральный закон от 30.12.2009 г. № 384-ФЗ «Технический регламент о безопасности зданий и сооружений» (в действующей редакции);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Постановление Правительства РФ от 16.09.2020 г. № 1479 «Об утверждении Правил противопожарного режима в Российской Федерации» (в действующей редакции);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ТР ЕАЭС 043/2017 Технический регламент Евразийского экономического союза «О требованиях к средствам обеспечения пожарной безопасности и пожаротушения»;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Приказ Минтруда России от 16.11.2020 г. № 782н «Об утверждении Правил по охране труда при работе на высоте»;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Приказ Минтруда России от 11.12.2020 г. № 883н «Об утверждении Правил по охране труда при строительстве, реконструкции и ремонте»;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Приказ Минтруда России от 15.12.2020 г. № 903н «Об утверждении Правил по охране труда при эксплуатации электроустановок»;</w:t>
      </w:r>
    </w:p>
    <w:p>
      <w:pPr>
        <w:pStyle w:val="Normal"/>
        <w:ind w:firstLine="432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Своды правил (СП)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СП 3.13130.2026 Системы противопожарной защиты. Система оповещения и управления эвакуацией людей при пожаре. Требования пожарной безопасности;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>СП 6.13130.2025 Системы противопожарной защиты. Электроустановки низковольтные. Требования пожарной безопасности;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7.13130.2013 изм.3 Отопление, вентиляция и кондиционирование. Требования пожарной безопасности;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10.13130.2020 Системы противопожарной защиты. Внутренний противопожарный водопровод. Требования пожарной безопасности;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30.13330.2020 Внутренний водопровод и канализация зданий;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48.13330.2019 Организация строительства;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52.13330.2016 изм.2 Естественное и искусственное освещение;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60.13330.2020 Отопление, вентиляция и кондиционирование;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68.13330.2017 Приемка в эксплуатацию законченных строительством объектов. Основные положения;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76.13330.2016 Электротехнические устройства;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255.1325800.2016 Здания и сооружения. Правила эксплуатации. Основные положения;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484.1311500.2020 изм.1 Системы противопожарной защиты. Системы пожарной сигнализации и автоматизация систем противопожарной защиты. Нормы и правила проектирования;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485.1311500.2020 изм.1 Системы противопожарной защиты. Установки пожаротушения автоматические. Нормы и правила проектирования;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СП 486.1311500.2020 изм.1 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сигнализации;</w:t>
      </w:r>
    </w:p>
    <w:p>
      <w:pPr>
        <w:pStyle w:val="Normal"/>
        <w:ind w:firstLine="432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Межгосударственные и национальные стандарты (ГОСТ)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bCs/>
          <w:spacing w:val="-7"/>
        </w:rPr>
        <w:t xml:space="preserve"> </w:t>
      </w:r>
      <w:r>
        <w:rPr>
          <w:bCs/>
          <w:spacing w:val="-7"/>
        </w:rPr>
        <w:t xml:space="preserve">ГОСТ 12.1.030-81 ССБТ. </w:t>
      </w:r>
      <w:r>
        <w:rPr>
          <w:spacing w:val="-7"/>
        </w:rPr>
        <w:t>Электробезопасность. Защитное заземление. Зануление;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12.1.046-2014 ССБТ. Строительство. Нормы освещения строительных площадок;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12.4.026-2015 ССБТ. Цвета сигнальные, знаки безопасности и разметка сигнальная. Назначение и правила применения;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10434-82 Соединения контактные электрические. Классификация. Общие технические требования;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15150-69 Машины, приборы и другие технические изделия. Исполнения для различных климатических районов;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Р 50571.5.54-2024 Электроустановки низковольтные. Часть 5-54. Выбор и монтаж электрического оборудования. Заземляющие устройства, защитные проводники и защитные проводники уравнивания потенциалов;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Р 53325-2012 Техника пожарная. Технические средства пожарной автоматики. Общие технические требования и методы испытаний;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Р 58967-2020 Ограждения инвентарные строительных площадок и участков производства строительно-монтажных работ. Технические условия;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Р 59636-2021 изм.1 Установки пожаротушения автоматические. Руководство по проектированию, монтажу, техническому обслуживанию и ремонту;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Р 59638-2021 изм.1 Системы пожарной сигнализации. Руководство по проектированию, монтажу, техническому обслуживанию и ремонту;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ГОСТ Р 59639-2021 изм.1 Системы оповещения и управления эвакуацией людей при пожаре. Руководство по проектированию, монтажу, техническому обслуживанию и ремонту;</w:t>
      </w:r>
    </w:p>
    <w:p>
      <w:pPr>
        <w:pStyle w:val="Normal"/>
        <w:ind w:firstLine="432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Ведомственные документы, руководящие указания и стандарты организаций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Правила устройства электроустановок (ПУЭ) Издание 6, 7;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РД 153-34.0-20.525-00 Методические указания по контролю состояния заземляющих устройств электроустановок;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ind w:firstLine="426" w:left="0"/>
        <w:jc w:val="both"/>
        <w:rPr>
          <w:spacing w:val="-7"/>
        </w:rPr>
      </w:pPr>
      <w:r>
        <w:rPr>
          <w:spacing w:val="-7"/>
        </w:rPr>
        <w:t xml:space="preserve"> </w:t>
      </w:r>
      <w:r>
        <w:rPr>
          <w:spacing w:val="-7"/>
        </w:rPr>
        <w:t>СТО 34.01-26-001.2-2026, СТО34.01-26-001.3-2026 Руководство по обеспечению электромагнитной совместимости на объектах электросетевого хозяйства;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bCs/>
          <w:spacing w:val="-7"/>
          <w:sz w:val="24"/>
          <w:szCs w:val="24"/>
        </w:rPr>
      </w:pPr>
      <w:r>
        <w:rPr>
          <w:bCs/>
          <w:spacing w:val="-7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bCs/>
          <w:spacing w:val="-7"/>
          <w:sz w:val="24"/>
          <w:szCs w:val="24"/>
        </w:rPr>
      </w:pPr>
      <w:r>
        <w:rPr>
          <w:bCs/>
          <w:spacing w:val="-7"/>
          <w:sz w:val="24"/>
          <w:szCs w:val="24"/>
        </w:rPr>
      </w:r>
      <w:r>
        <w:br w:type="page"/>
      </w:r>
    </w:p>
    <w:p>
      <w:pPr>
        <w:pStyle w:val="Heading1"/>
        <w:tabs>
          <w:tab w:val="clear" w:pos="0"/>
        </w:tabs>
        <w:spacing w:before="120" w:after="120"/>
        <w:ind w:hanging="0" w:left="0"/>
        <w:jc w:val="right"/>
        <w:rPr>
          <w:b w:val="false"/>
          <w:sz w:val="22"/>
          <w:szCs w:val="22"/>
        </w:rPr>
      </w:pPr>
      <w:bookmarkStart w:id="181" w:name="_Toc240289542"/>
      <w:r>
        <w:rPr>
          <w:b w:val="false"/>
          <w:sz w:val="22"/>
          <w:szCs w:val="22"/>
        </w:rPr>
        <w:t>Приложение №</w:t>
      </w:r>
      <w:r>
        <w:rPr>
          <w:b w:val="false"/>
          <w:sz w:val="22"/>
          <w:szCs w:val="22"/>
          <w:lang w:val="ru-RU"/>
        </w:rPr>
        <w:t>4</w:t>
      </w:r>
      <w:r>
        <w:rPr>
          <w:b w:val="false"/>
          <w:sz w:val="22"/>
          <w:szCs w:val="22"/>
        </w:rPr>
        <w:t xml:space="preserve"> к Техническим требованиям</w:t>
      </w:r>
      <w:bookmarkEnd w:id="181"/>
    </w:p>
    <w:p>
      <w:pPr>
        <w:pStyle w:val="Heading1"/>
        <w:tabs>
          <w:tab w:val="clear" w:pos="0"/>
        </w:tabs>
        <w:spacing w:before="120" w:after="120"/>
        <w:ind w:hanging="0" w:left="0"/>
        <w:rPr>
          <w:bCs/>
          <w:spacing w:val="-7"/>
          <w:sz w:val="24"/>
          <w:szCs w:val="24"/>
        </w:rPr>
      </w:pPr>
      <w:bookmarkStart w:id="182" w:name="_Toc235117332"/>
      <w:bookmarkStart w:id="183" w:name="_Toc240289543"/>
      <w:r>
        <w:rPr/>
        <w:t xml:space="preserve">Схемы </w:t>
      </w:r>
      <w:r>
        <w:rPr>
          <w:lang w:val="ru-RU"/>
        </w:rPr>
        <w:t>структурные</w:t>
      </w:r>
      <w:r>
        <w:rPr/>
        <w:t xml:space="preserve"> СПА</w:t>
      </w:r>
      <w:bookmarkEnd w:id="182"/>
      <w:bookmarkEnd w:id="183"/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bCs/>
          <w:spacing w:val="-7"/>
          <w:sz w:val="24"/>
          <w:szCs w:val="24"/>
        </w:rPr>
      </w:pPr>
      <w:r>
        <w:rPr>
          <w:bCs/>
          <w:spacing w:val="-7"/>
          <w:sz w:val="24"/>
          <w:szCs w:val="24"/>
        </w:rPr>
      </w:r>
    </w:p>
    <w:tbl>
      <w:tblPr>
        <w:tblStyle w:val="afffff1"/>
        <w:tblpPr w:vertAnchor="text" w:horzAnchor="text" w:tblpXSpec="center" w:leftFromText="180" w:rightFromText="180" w:tblpY="1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99"/>
        <w:gridCol w:w="4562"/>
        <w:gridCol w:w="2217"/>
      </w:tblGrid>
      <w:tr>
        <w:trPr>
          <w:trHeight w:val="921" w:hRule="atLeast"/>
        </w:trPr>
        <w:tc>
          <w:tcPr>
            <w:tcW w:w="28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Обозначение</w:t>
            </w:r>
          </w:p>
        </w:tc>
        <w:tc>
          <w:tcPr>
            <w:tcW w:w="45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2.1-000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Общая структурная схема СПА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2.1-001, лист 1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СПК. Структурная схема СПС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2.1-001, лист 2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СПК. Структурная схема СОУЭ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2.1-001, лист 3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СПК. Структурная схема АПЗ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2.1-001, лист 4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СПК. Структурная схема АПЗ (ОВиК)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2.1-001, лист 5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СПК. Структурная схема АПЗ (АУП)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2.1-002, лист 1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ГАЭС. Структурная схема СПС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2.1-002, лист 2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ГАЭС. Структурная схема СОУЭ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2.1-002, лист 3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ГАЭС. Структурная схема АПЗ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2.1-002, лист 4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ГАЭС. Структурная схема АПЗ (ОВиК)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2.1-002, лист 5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ГАЭС. Структурная схема АПЗ (АУП)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2.1-002, лист 6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ГАЭС, КТП рыбохозяйства. Структурная схема СПС, СОУЭ, АПЗ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2.1-003, лист 1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Водоприемник. Структурная схема СПС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2.1-003, лист 2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Водоприемник. Структурная схема СОУЭ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2.1-003, лист 3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Водоприемник. Структурная схема АПЗ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2.1-003, лист 4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Водоприемник. Структурная схема АПЗ (ОВиК)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2.1-003, лист 5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Водоприемник. Структурная схема АПЗ (АУП)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2.1-004, лист 1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КПП. Структурная схема СПС, СОУЭ, АПЗ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28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2291.1-ПБ 2.1-005, лист 1, 2</w:t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Здание ДЭС ГАЭС/СПК. Структурная схема СПС, СОУЭ, АПЗ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425"/>
              <w:jc w:val="both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bCs/>
          <w:spacing w:val="-7"/>
          <w:sz w:val="24"/>
          <w:szCs w:val="24"/>
        </w:rPr>
      </w:pPr>
      <w:r>
        <w:rPr>
          <w:bCs/>
          <w:spacing w:val="-7"/>
          <w:sz w:val="24"/>
          <w:szCs w:val="24"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  <w:spacing w:val="-7"/>
          <w:sz w:val="24"/>
          <w:szCs w:val="24"/>
        </w:rPr>
        <w:t>*Чертежи приложены в отдельном файле</w:t>
      </w:r>
    </w:p>
    <w:sectPr>
      <w:headerReference w:type="default" r:id="rId111"/>
      <w:headerReference w:type="first" r:id="rId112"/>
      <w:footerReference w:type="default" r:id="rId113"/>
      <w:footerReference w:type="first" r:id="rId114"/>
      <w:footnotePr>
        <w:numFmt w:val="decimal"/>
      </w:footnotePr>
      <w:type w:val="nextPage"/>
      <w:pgSz w:w="11906" w:h="16838"/>
      <w:pgMar w:left="1304" w:right="924" w:gutter="0" w:header="0" w:top="85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Garamond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 CYR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2069210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84</w:t>
        </w:r>
        <w:r>
          <w:rPr/>
          <w:fldChar w:fldCharType="end"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3376191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85</w:t>
        </w:r>
        <w:r>
          <w:rPr/>
          <w:fldChar w:fldCharType="end"/>
        </w:r>
      </w:p>
    </w:sdtContent>
  </w:sdt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87</w:t>
    </w:r>
    <w:r>
      <w:rPr/>
      <w:fldChar w:fldCharType="end"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65</w:t>
    </w:r>
    <w:r>
      <w:rPr/>
      <w:fldChar w:fldCharType="end"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92</w:t>
    </w:r>
    <w:r>
      <w:rPr/>
      <w:fldChar w:fldCharType="end"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94</w:t>
    </w:r>
    <w:r>
      <w:rPr/>
      <w:fldChar w:fldCharType="end"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3959389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0613262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0247677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106</w:t>
        </w:r>
        <w:r>
          <w:rPr/>
          <w:fldChar w:fldCharType="end"/>
        </w:r>
      </w:p>
    </w:sdtContent>
  </w:sdt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1072955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108</w:t>
        </w:r>
        <w:r>
          <w:rPr/>
          <w:fldChar w:fldCharType="end"/>
        </w:r>
      </w:p>
    </w:sdtContent>
  </w:sdt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111</w:t>
    </w:r>
    <w:r>
      <w:rPr/>
      <w:fldChar w:fldCharType="end"/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112</w:t>
    </w:r>
    <w:r>
      <w:rPr/>
      <w:fldChar w:fldCharType="end"/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113</w:t>
    </w:r>
    <w:r>
      <w:rPr/>
      <w:fldChar w:fldCharType="end"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117</w:t>
    </w:r>
    <w:r>
      <w:rPr/>
      <w:fldChar w:fldCharType="end"/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</w:rPr>
    </w:pPr>
    <w:r>
      <w:rPr>
        <w:sz w:val="16"/>
        <w:szCs w:val="16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Закупки, на которые распространяются требования Градостроительного кодекса, Статья 8.3, пункт 1 «При этом сметные нормативы и сметные цены строительных ресурсов, использованные при определении сметной стоимости строительства, не подлежат применению при исполнении указанных контрактов или договоров».</w:t>
      </w:r>
    </w:p>
  </w:footnote>
  <w:footnote w:id="3"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Style w:val="Style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На официальном сайте единой межведомственной информационно-статистической системы (ЕМИСС) https://www.fedstat.ru указанная информация представлена по показателю «Среднемесячная номинальная начисленная заработная плата работающих в экономике с 2017 г.», в графе «Классификатор видов экономической деятельности» следует выбрать «Деятельность в области архитектуры и инженерно-технического проектирования; технических испытаний, исследований и анализа».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Для работ по проектированию объектов, являющихся особо опасными, технически сложными, уникальными объектами следует выбрать «Деятельность в области архитектуры, инженерных изысканий и предоставление технических консультаций в этих областях».</w:t>
      </w:r>
    </w:p>
  </w:footnote>
  <w:footnote w:id="4">
    <w:p>
      <w:pPr>
        <w:pStyle w:val="FootnoteText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Закупки, на которые распространяются требования Градостроительного кодекса, Статья 8.3, пункт 1 «При этом сметные нормативы и сметные цены строительных ресурсов, использованные при определении сметной стоимости строительства, не подлежат применению при исполнении указанных контрактов или договоров».</w:t>
      </w:r>
    </w:p>
  </w:footnote>
  <w:footnote w:id="5"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Style w:val="Style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На официальном сайте единой межведомственной информационно-статистической системы (ЕМИСС) https://www.fedstat.ru указанная информация представлена по показателю «Среднемесячная номинальная начисленная заработная плата работающих в экономике с 2017 г.», в графе «Классификатор видов экономической деятельности» следует выбрать «Деятельность в области архитектуры и инженерно-технического проектирования; технических испытаний, исследований и анализа».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Для работ по проектированию объектов, являющихся особо опасными, технически сложными, уникальными объектами следует выбрать «Деятельность в области архитектуры, инженерных изысканий и предоставление технических консультаций в этих областях».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b/>
        <w:szCs w:val="20"/>
        <w:bCs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21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696" w:hanging="48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6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94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3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95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528" w:hanging="1800"/>
      </w:pPr>
      <w:rPr/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2"/>
        <w:b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1430" w:hanging="720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uiPriority="99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 w:qFormat="1"/>
    <w:lsdException w:name="header" w:uiPriority="99" w:semiHidden="1" w:unhideWhenUsed="1"/>
    <w:lsdException w:name="footer" w:semiHidden="1" w:unhideWhenUsed="1"/>
    <w:lsdException w:name="index heading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uiPriority="99" w:semiHidden="1" w:unhideWhenUsed="1" w:qFormat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 w:qFormat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9d78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5c516a"/>
    <w:pPr>
      <w:jc w:val="center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1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1"/>
    <w:autoRedefine/>
    <w:qFormat/>
    <w:rsid w:val="005c516a"/>
    <w:pPr>
      <w:keepNext w:val="true"/>
      <w:tabs>
        <w:tab w:val="clear" w:pos="708"/>
        <w:tab w:val="left" w:pos="0" w:leader="none"/>
      </w:tabs>
      <w:spacing w:before="120" w:after="60"/>
      <w:ind w:hanging="504" w:left="122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752016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1"/>
    <w:qFormat/>
    <w:rsid w:val="005c516a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1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1"/>
    <w:qFormat/>
    <w:rsid w:val="005c516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21"/>
    <w:uiPriority w:val="10"/>
    <w:qFormat/>
    <w:rsid w:val="00d22f6d"/>
    <w:rPr>
      <w:sz w:val="28"/>
    </w:rPr>
  </w:style>
  <w:style w:type="character" w:styleId="12" w:customStyle="1">
    <w:name w:val="Подзаголовок Знак1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13" w:customStyle="1">
    <w:name w:val="Выделенная цитата Знак1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14" w:customStyle="1">
    <w:name w:val="Электронная подпись Знак1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5" w:customStyle="1">
    <w:name w:val="Подпункт Знак1"/>
    <w:link w:val="Style29"/>
    <w:qFormat/>
    <w:locked/>
    <w:rsid w:val="00d22f6d"/>
    <w:rPr>
      <w:sz w:val="28"/>
    </w:rPr>
  </w:style>
  <w:style w:type="character" w:styleId="16" w:customStyle="1">
    <w:name w:val="Текст сноски Знак1"/>
    <w:uiPriority w:val="99"/>
    <w:qFormat/>
    <w:rsid w:val="00d22f6d"/>
    <w:rPr/>
  </w:style>
  <w:style w:type="character" w:styleId="17" w:customStyle="1">
    <w:name w:val="Основной текст Знак1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18" w:customStyle="1">
    <w:name w:val="Абзац списка Знак1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2" w:customStyle="1">
    <w:name w:val="комментарий"/>
    <w:qFormat/>
    <w:rsid w:val="0025139e"/>
    <w:rPr>
      <w:b/>
      <w:i/>
      <w:shd w:fill="FFFF99" w:val="clear"/>
    </w:rPr>
  </w:style>
  <w:style w:type="character" w:styleId="Style3" w:customStyle="1">
    <w:name w:val="Подподпункт Знак"/>
    <w:link w:val="Style37"/>
    <w:qFormat/>
    <w:locked/>
    <w:rsid w:val="0025139e"/>
    <w:rPr>
      <w:sz w:val="26"/>
      <w:szCs w:val="26"/>
    </w:rPr>
  </w:style>
  <w:style w:type="character" w:styleId="3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19" w:customStyle="1">
    <w:name w:val="Верхний колонтитул Знак1"/>
    <w:uiPriority w:val="99"/>
    <w:qFormat/>
    <w:rsid w:val="002f31af"/>
    <w:rPr>
      <w:sz w:val="24"/>
      <w:szCs w:val="24"/>
    </w:rPr>
  </w:style>
  <w:style w:type="character" w:styleId="110" w:customStyle="1">
    <w:name w:val="Текст примечания Знак1"/>
    <w:link w:val="Annotationtext"/>
    <w:semiHidden/>
    <w:qFormat/>
    <w:rsid w:val="00dc0f7d"/>
    <w:rPr/>
  </w:style>
  <w:style w:type="character" w:styleId="111" w:customStyle="1">
    <w:name w:val="Текст концевой сноски Знак1"/>
    <w:basedOn w:val="DefaultParagraphFont"/>
    <w:qFormat/>
    <w:rsid w:val="003879d4"/>
    <w:rPr/>
  </w:style>
  <w:style w:type="character" w:styleId="Style4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7"/>
    <w:qFormat/>
    <w:rsid w:val="00de52bc"/>
    <w:rPr>
      <w:b/>
      <w:sz w:val="28"/>
    </w:rPr>
  </w:style>
  <w:style w:type="character" w:styleId="112" w:customStyle="1">
    <w:name w:val="УРОВЕНЬ_1. Знак"/>
    <w:link w:val="125"/>
    <w:qFormat/>
    <w:rsid w:val="004a17ae"/>
    <w:rPr>
      <w:rFonts w:eastAsia="Calibri"/>
      <w:caps/>
      <w:sz w:val="28"/>
      <w:szCs w:val="28"/>
      <w:lang w:eastAsia="en-US"/>
    </w:rPr>
  </w:style>
  <w:style w:type="character" w:styleId="1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11" w:customStyle="1">
    <w:name w:val="Основной текст с отступом 3 Знак1"/>
    <w:link w:val="BodyTextIndent3"/>
    <w:qFormat/>
    <w:rsid w:val="00c36f30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72123"/>
    <w:rPr>
      <w:color w:val="800080"/>
      <w:u w:val="single"/>
    </w:rPr>
  </w:style>
  <w:style w:type="character" w:styleId="114" w:customStyle="1">
    <w:name w:val="Заголовок 1 Знак"/>
    <w:basedOn w:val="DefaultParagraphFont"/>
    <w:qFormat/>
    <w:rsid w:val="00752016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2" w:customStyle="1">
    <w:name w:val="Заголовок 3 Знак"/>
    <w:basedOn w:val="DefaultParagraphFont"/>
    <w:qFormat/>
    <w:rsid w:val="00752016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Style5" w:customStyle="1">
    <w:name w:val="Верхний колонтитул Знак"/>
    <w:basedOn w:val="DefaultParagraphFont"/>
    <w:qFormat/>
    <w:rsid w:val="0075201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6" w:customStyle="1">
    <w:name w:val="Абзац списка Знак"/>
    <w:uiPriority w:val="34"/>
    <w:qFormat/>
    <w:locked/>
    <w:rsid w:val="00752016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7" w:customStyle="1">
    <w:name w:val="Нижний колонтитул Знак"/>
    <w:basedOn w:val="DefaultParagraphFont"/>
    <w:qFormat/>
    <w:rsid w:val="0075201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Заголовок 2 Знак"/>
    <w:basedOn w:val="DefaultParagraphFont"/>
    <w:qFormat/>
    <w:rsid w:val="00752016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8" w:customStyle="1">
    <w:name w:val="Текст сноски Знак"/>
    <w:basedOn w:val="DefaultParagraphFont"/>
    <w:uiPriority w:val="99"/>
    <w:qFormat/>
    <w:rsid w:val="007520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Основной текст с отступом Знак"/>
    <w:basedOn w:val="DefaultParagraphFont"/>
    <w:qFormat/>
    <w:rsid w:val="0075201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0" w:customStyle="1">
    <w:name w:val="Основной текст Знак"/>
    <w:basedOn w:val="DefaultParagraphFont"/>
    <w:qFormat/>
    <w:rsid w:val="0075201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4" w:customStyle="1">
    <w:name w:val="Основной текст с отступом 2 Знак"/>
    <w:basedOn w:val="DefaultParagraphFont"/>
    <w:link w:val="29"/>
    <w:qFormat/>
    <w:rsid w:val="00752016"/>
    <w:rPr>
      <w:rFonts w:ascii="Garamond" w:hAnsi="Garamond"/>
      <w:sz w:val="24"/>
    </w:rPr>
  </w:style>
  <w:style w:type="character" w:styleId="33" w:customStyle="1">
    <w:name w:val="Оглавление 3 Знак"/>
    <w:basedOn w:val="DefaultParagraphFont"/>
    <w:qFormat/>
    <w:rsid w:val="00de5367"/>
    <w:rPr>
      <w:rFonts w:cs="Calibri" w:cstheme="minorHAnsi"/>
      <w:b/>
      <w:sz w:val="28"/>
      <w:szCs w:val="28"/>
    </w:rPr>
  </w:style>
  <w:style w:type="character" w:styleId="34" w:customStyle="1">
    <w:name w:val="Основной текст с отступом 3 Знак"/>
    <w:basedOn w:val="DefaultParagraphFont"/>
    <w:link w:val="35"/>
    <w:qFormat/>
    <w:rsid w:val="00752016"/>
    <w:rPr>
      <w:b/>
      <w:sz w:val="24"/>
      <w:szCs w:val="24"/>
    </w:rPr>
  </w:style>
  <w:style w:type="character" w:styleId="25" w:customStyle="1">
    <w:name w:val="Основной текст 2 Знак"/>
    <w:basedOn w:val="DefaultParagraphFont"/>
    <w:qFormat/>
    <w:rsid w:val="0075201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1" w:customStyle="1">
    <w:name w:val="Текст выноски Знак"/>
    <w:basedOn w:val="DefaultParagraphFont"/>
    <w:semiHidden/>
    <w:qFormat/>
    <w:rsid w:val="00752016"/>
    <w:rPr>
      <w:rFonts w:ascii="Tahoma" w:hAnsi="Tahoma" w:eastAsia="Times New Roman" w:cs="Tahoma"/>
      <w:sz w:val="16"/>
      <w:szCs w:val="16"/>
      <w:lang w:eastAsia="ru-RU"/>
    </w:rPr>
  </w:style>
  <w:style w:type="character" w:styleId="Style12" w:customStyle="1">
    <w:name w:val="Текст примечания Знак"/>
    <w:basedOn w:val="DefaultParagraphFont"/>
    <w:semiHidden/>
    <w:qFormat/>
    <w:rsid w:val="007520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Тема примечания Знак"/>
    <w:basedOn w:val="Style12"/>
    <w:semiHidden/>
    <w:qFormat/>
    <w:rsid w:val="0075201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15" w:customStyle="1">
    <w:name w:val="Оглавление 1 Знак"/>
    <w:uiPriority w:val="39"/>
    <w:qFormat/>
    <w:rsid w:val="00752016"/>
    <w:rPr>
      <w:rFonts w:cs="Calibri Light (Заголовки)"/>
      <w:b/>
      <w:bCs/>
      <w:sz w:val="24"/>
      <w:szCs w:val="24"/>
    </w:rPr>
  </w:style>
  <w:style w:type="character" w:styleId="Style14" w:customStyle="1">
    <w:name w:val="Подзаголовок Знак"/>
    <w:basedOn w:val="DefaultParagraphFont"/>
    <w:uiPriority w:val="11"/>
    <w:qFormat/>
    <w:rsid w:val="00752016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Style15" w:customStyle="1">
    <w:name w:val="Выделенная цитата Знак"/>
    <w:basedOn w:val="DefaultParagraphFont"/>
    <w:uiPriority w:val="30"/>
    <w:qFormat/>
    <w:rsid w:val="00752016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tyle16" w:customStyle="1">
    <w:name w:val="Электронная подпись Знак"/>
    <w:basedOn w:val="DefaultParagraphFont"/>
    <w:uiPriority w:val="99"/>
    <w:qFormat/>
    <w:rsid w:val="00752016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Style17" w:customStyle="1">
    <w:name w:val="Текст концевой сноски Знак"/>
    <w:basedOn w:val="DefaultParagraphFont"/>
    <w:qFormat/>
    <w:rsid w:val="007520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Ссылка указателя"/>
    <w:qFormat/>
    <w:rsid w:val="00752016"/>
    <w:rPr/>
  </w:style>
  <w:style w:type="character" w:styleId="Style19" w:customStyle="1">
    <w:name w:val="Заголовок Знак"/>
    <w:basedOn w:val="DefaultParagraphFont"/>
    <w:qFormat/>
    <w:rsid w:val="00752016"/>
    <w:rPr>
      <w:rFonts w:ascii="Liberation Sans" w:hAnsi="Liberation Sans" w:eastAsia="Arial Unicode MS" w:cs="Arial Unicode MS"/>
      <w:sz w:val="28"/>
      <w:szCs w:val="28"/>
    </w:rPr>
  </w:style>
  <w:style w:type="character" w:styleId="116" w:customStyle="1">
    <w:name w:val="Нижний колонтитул Знак1"/>
    <w:basedOn w:val="DefaultParagraphFont"/>
    <w:qFormat/>
    <w:rsid w:val="00752016"/>
    <w:rPr>
      <w:sz w:val="28"/>
      <w:szCs w:val="28"/>
    </w:rPr>
  </w:style>
  <w:style w:type="character" w:styleId="117" w:customStyle="1">
    <w:name w:val="Основной текст с отступом Знак1"/>
    <w:basedOn w:val="DefaultParagraphFont"/>
    <w:qFormat/>
    <w:rsid w:val="00752016"/>
    <w:rPr>
      <w:sz w:val="24"/>
      <w:szCs w:val="24"/>
    </w:rPr>
  </w:style>
  <w:style w:type="character" w:styleId="BodyTextIndent2Char1" w:customStyle="1">
    <w:name w:val="Body Text Indent 2 Char1"/>
    <w:basedOn w:val="DefaultParagraphFont"/>
    <w:uiPriority w:val="99"/>
    <w:semiHidden/>
    <w:qFormat/>
    <w:rsid w:val="0075201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BodyText3Char1" w:customStyle="1">
    <w:name w:val="Body Text 3 Char1"/>
    <w:basedOn w:val="DefaultParagraphFont"/>
    <w:uiPriority w:val="99"/>
    <w:semiHidden/>
    <w:qFormat/>
    <w:rsid w:val="00752016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BodyText2Char" w:customStyle="1">
    <w:name w:val="Body Text 2 Char"/>
    <w:basedOn w:val="DefaultParagraphFont"/>
    <w:uiPriority w:val="99"/>
    <w:semiHidden/>
    <w:qFormat/>
    <w:rsid w:val="0075201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8" w:customStyle="1">
    <w:name w:val="Текст выноски Знак1"/>
    <w:basedOn w:val="DefaultParagraphFont"/>
    <w:link w:val="BalloonText"/>
    <w:semiHidden/>
    <w:qFormat/>
    <w:rsid w:val="00752016"/>
    <w:rPr>
      <w:rFonts w:ascii="Tahoma" w:hAnsi="Tahoma" w:cs="Tahoma"/>
      <w:sz w:val="16"/>
      <w:szCs w:val="16"/>
    </w:rPr>
  </w:style>
  <w:style w:type="character" w:styleId="119" w:customStyle="1">
    <w:name w:val="Тема примечания Знак1"/>
    <w:basedOn w:val="110"/>
    <w:link w:val="Annotationsubject"/>
    <w:semiHidden/>
    <w:qFormat/>
    <w:rsid w:val="00752016"/>
    <w:rPr>
      <w:b/>
      <w:bCs/>
    </w:rPr>
  </w:style>
  <w:style w:type="character" w:styleId="Style20" w:customStyle="1">
    <w:name w:val="Текст таблицы Знак"/>
    <w:link w:val="Style41"/>
    <w:qFormat/>
    <w:rsid w:val="00752016"/>
    <w:rPr>
      <w:sz w:val="24"/>
      <w:szCs w:val="24"/>
    </w:rPr>
  </w:style>
  <w:style w:type="character" w:styleId="2026" w:customStyle="1">
    <w:name w:val="2026 Таблицы Знак"/>
    <w:basedOn w:val="DefaultParagraphFont"/>
    <w:link w:val="20261"/>
    <w:qFormat/>
    <w:rsid w:val="00a86dc8"/>
    <w:rPr>
      <w:rFonts w:ascii="Times New Roman CYR" w:hAnsi="Times New Roman CYR" w:cs="Arial"/>
      <w:kern w:val="2"/>
      <w:sz w:val="24"/>
      <w:szCs w:val="26"/>
      <w14:cntxtAlts>
        <w14:cntxtAlts/>
      </w14:cntxtAlts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b2e50"/>
    <w:rPr>
      <w:color w:val="605E5C"/>
      <w:shd w:fill="E1DFDD" w:val="clear"/>
    </w:rPr>
  </w:style>
  <w:style w:type="character" w:styleId="Linenumber">
    <w:name w:val="line number"/>
    <w:qFormat/>
    <w:rPr/>
  </w:style>
  <w:style w:type="character" w:styleId="Hyperlink">
    <w:name w:val="Hyperlink"/>
    <w:basedOn w:val="DefaultParagraphFont"/>
    <w:uiPriority w:val="99"/>
    <w:unhideWhenUsed/>
    <w:rsid w:val="009c0b8b"/>
    <w:rPr>
      <w:color w:val="0563C1" w:themeColor="hyperlink"/>
      <w:u w:val="single"/>
    </w:rPr>
  </w:style>
  <w:style w:type="character" w:styleId="Style21">
    <w:name w:val="Маркеры"/>
    <w:qFormat/>
    <w:rPr>
      <w:rFonts w:ascii="Times New Roman" w:hAnsi="Times New Roman" w:eastAsia="OpenSymbol" w:cs="OpenSymbol"/>
      <w:sz w:val="24"/>
      <w:szCs w:val="24"/>
    </w:rPr>
  </w:style>
  <w:style w:type="character" w:styleId="Style22">
    <w:name w:val="Символ нумерации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17"/>
    <w:rsid w:val="0076353a"/>
    <w:pPr>
      <w:spacing w:before="0" w:after="120"/>
    </w:pPr>
    <w:rPr/>
  </w:style>
  <w:style w:type="paragraph" w:styleId="List">
    <w:name w:val="List"/>
    <w:basedOn w:val="BodyText"/>
    <w:rsid w:val="00752016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19"/>
    <w:qFormat/>
    <w:rsid w:val="00752016"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16"/>
    <w:uiPriority w:val="99"/>
    <w:qFormat/>
    <w:rsid w:val="00d561d9"/>
    <w:pPr/>
    <w:rPr>
      <w:sz w:val="20"/>
      <w:szCs w:val="20"/>
    </w:rPr>
  </w:style>
  <w:style w:type="paragraph" w:styleId="120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6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link w:val="34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21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19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117"/>
    <w:rsid w:val="0076353a"/>
    <w:pPr>
      <w:ind w:left="360"/>
    </w:pPr>
    <w:rPr>
      <w:sz w:val="24"/>
      <w:szCs w:val="24"/>
    </w:rPr>
  </w:style>
  <w:style w:type="paragraph" w:styleId="Footer">
    <w:name w:val="Footer"/>
    <w:basedOn w:val="Normal"/>
    <w:link w:val="116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11"/>
    <w:qFormat/>
    <w:rsid w:val="0076353a"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styleId="Style29" w:customStyle="1">
    <w:name w:val="Подпункт"/>
    <w:basedOn w:val="Normal"/>
    <w:link w:val="15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7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link w:val="115"/>
    <w:autoRedefine/>
    <w:uiPriority w:val="39"/>
    <w:rsid w:val="003f73c3"/>
    <w:pPr>
      <w:tabs>
        <w:tab w:val="clear" w:pos="708"/>
        <w:tab w:val="left" w:pos="284" w:leader="none"/>
        <w:tab w:val="right" w:pos="9911" w:leader="dot"/>
      </w:tabs>
      <w:spacing w:before="120" w:after="12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link w:val="33"/>
    <w:autoRedefine/>
    <w:uiPriority w:val="39"/>
    <w:rsid w:val="00de5367"/>
    <w:pPr>
      <w:tabs>
        <w:tab w:val="clear" w:pos="708"/>
        <w:tab w:val="left" w:pos="1418" w:leader="none"/>
        <w:tab w:val="right" w:pos="9911" w:leader="dot"/>
      </w:tabs>
    </w:pPr>
    <w:rPr>
      <w:rFonts w:cs="Calibri" w:cstheme="minorHAnsi"/>
      <w:b/>
    </w:rPr>
  </w:style>
  <w:style w:type="paragraph" w:styleId="Style30" w:customStyle="1">
    <w:name w:val="Раздел регламента"/>
    <w:basedOn w:val="Normal"/>
    <w:qFormat/>
    <w:rsid w:val="00e228fa"/>
    <w:pPr/>
    <w:rPr/>
  </w:style>
  <w:style w:type="paragraph" w:styleId="Style3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3f73c3"/>
    <w:pPr>
      <w:tabs>
        <w:tab w:val="clear" w:pos="708"/>
        <w:tab w:val="left" w:pos="851" w:leader="none"/>
        <w:tab w:val="left" w:pos="1134" w:leader="none"/>
        <w:tab w:val="right" w:pos="9911" w:leader="dot"/>
      </w:tabs>
      <w:spacing w:before="0" w:after="60"/>
      <w:ind w:left="709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118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1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119"/>
    <w:semiHidden/>
    <w:qFormat/>
    <w:rsid w:val="00b714b0"/>
    <w:pPr/>
    <w:rPr>
      <w:b/>
      <w:bCs/>
    </w:rPr>
  </w:style>
  <w:style w:type="paragraph" w:styleId="122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9c65d3"/>
    <w:pPr>
      <w:tabs>
        <w:tab w:val="clear" w:pos="708"/>
        <w:tab w:val="left" w:pos="1418" w:leader="none"/>
        <w:tab w:val="right" w:pos="9911" w:leader="dot"/>
      </w:tabs>
      <w:ind w:left="2109"/>
    </w:pPr>
    <w:rPr>
      <w:rFonts w:cs="Calibri" w:cstheme="minorHAnsi"/>
      <w:sz w:val="20"/>
      <w:szCs w:val="20"/>
    </w:rPr>
  </w:style>
  <w:style w:type="paragraph" w:styleId="28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12"/>
    <w:uiPriority w:val="11"/>
    <w:qFormat/>
    <w:rsid w:val="00d22f6d"/>
    <w:pPr>
      <w:numPr>
        <w:ilvl w:val="1"/>
      </w:num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18"/>
    <w:uiPriority w:val="34"/>
    <w:qFormat/>
    <w:rsid w:val="00d22f6d"/>
    <w:pPr>
      <w:spacing w:before="0" w:after="0"/>
      <w:ind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1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1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2" w:customStyle="1">
    <w:name w:val="Список 31"/>
    <w:basedOn w:val="Normal"/>
    <w:qFormat/>
    <w:rsid w:val="00752016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9" w:customStyle="1">
    <w:name w:val="Нумерованный список ур2"/>
    <w:basedOn w:val="Normal"/>
    <w:link w:val="24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23" w:customStyle="1">
    <w:name w:val="Абзац списка1"/>
    <w:basedOn w:val="Normal"/>
    <w:qFormat/>
    <w:rsid w:val="00d22f6d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3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6" w:customStyle="1">
    <w:name w:val="Таблица шапка"/>
    <w:basedOn w:val="Normal"/>
    <w:qFormat/>
    <w:rsid w:val="00f64089"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7" w:customStyle="1">
    <w:name w:val="Подподпункт"/>
    <w:basedOn w:val="Style29"/>
    <w:link w:val="Style3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8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9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24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111"/>
    <w:qFormat/>
    <w:rsid w:val="003879d4"/>
    <w:pPr/>
    <w:rPr>
      <w:sz w:val="20"/>
      <w:szCs w:val="20"/>
    </w:rPr>
  </w:style>
  <w:style w:type="paragraph" w:styleId="211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0" w:customStyle="1">
    <w:name w:val="Таблица текст"/>
    <w:basedOn w:val="Normal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25" w:customStyle="1">
    <w:name w:val="УРОВЕНЬ_1."/>
    <w:basedOn w:val="ListParagraph"/>
    <w:link w:val="112"/>
    <w:qFormat/>
    <w:rsid w:val="004a17ae"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772123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772123"/>
    <w:pPr>
      <w:spacing w:beforeAutospacing="1" w:afterAutospacing="1"/>
    </w:pPr>
    <w:rPr>
      <w:rFonts w:ascii="Arial Narrow" w:hAnsi="Arial Narrow"/>
      <w:i/>
      <w:iCs/>
      <w:sz w:val="20"/>
      <w:szCs w:val="20"/>
    </w:rPr>
  </w:style>
  <w:style w:type="paragraph" w:styleId="Xl65" w:customStyle="1">
    <w:name w:val="xl65"/>
    <w:basedOn w:val="Normal"/>
    <w:qFormat/>
    <w:rsid w:val="00772123"/>
    <w:pPr>
      <w:spacing w:beforeAutospacing="1" w:afterAutospacing="1"/>
    </w:pPr>
    <w:rPr>
      <w:rFonts w:ascii="Arial Narrow" w:hAnsi="Arial Narrow"/>
      <w:sz w:val="24"/>
      <w:szCs w:val="24"/>
    </w:rPr>
  </w:style>
  <w:style w:type="paragraph" w:styleId="Xl66" w:customStyle="1">
    <w:name w:val="xl66"/>
    <w:basedOn w:val="Normal"/>
    <w:qFormat/>
    <w:rsid w:val="00772123"/>
    <w:pPr>
      <w:spacing w:beforeAutospacing="1" w:afterAutospacing="1"/>
      <w:textAlignment w:val="center"/>
    </w:pPr>
    <w:rPr>
      <w:rFonts w:ascii="Arial Narrow" w:hAnsi="Arial Narrow"/>
      <w:sz w:val="24"/>
      <w:szCs w:val="24"/>
    </w:rPr>
  </w:style>
  <w:style w:type="paragraph" w:styleId="Xl67" w:customStyle="1">
    <w:name w:val="xl67"/>
    <w:basedOn w:val="Normal"/>
    <w:qFormat/>
    <w:rsid w:val="00772123"/>
    <w:pPr>
      <w:spacing w:beforeAutospacing="1" w:afterAutospacing="1"/>
      <w:textAlignment w:val="center"/>
    </w:pPr>
    <w:rPr>
      <w:rFonts w:ascii="Arial Narrow" w:hAnsi="Arial Narrow"/>
      <w:sz w:val="24"/>
      <w:szCs w:val="24"/>
    </w:rPr>
  </w:style>
  <w:style w:type="paragraph" w:styleId="Xl68" w:customStyle="1">
    <w:name w:val="xl68"/>
    <w:basedOn w:val="Normal"/>
    <w:qFormat/>
    <w:rsid w:val="00772123"/>
    <w:pPr>
      <w:spacing w:beforeAutospacing="1" w:afterAutospacing="1"/>
      <w:textAlignment w:val="top"/>
    </w:pPr>
    <w:rPr>
      <w:rFonts w:ascii="Arial Narrow" w:hAnsi="Arial Narrow"/>
      <w:sz w:val="24"/>
      <w:szCs w:val="24"/>
    </w:rPr>
  </w:style>
  <w:style w:type="paragraph" w:styleId="Xl69" w:customStyle="1">
    <w:name w:val="xl69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sz w:val="24"/>
      <w:szCs w:val="24"/>
    </w:rPr>
  </w:style>
  <w:style w:type="paragraph" w:styleId="Xl70" w:customStyle="1">
    <w:name w:val="xl70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Xl71" w:customStyle="1">
    <w:name w:val="xl71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Xl72" w:customStyle="1">
    <w:name w:val="xl72"/>
    <w:basedOn w:val="Normal"/>
    <w:qFormat/>
    <w:rsid w:val="00772123"/>
    <w:pPr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Xl73" w:customStyle="1">
    <w:name w:val="xl73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color w:val="000000"/>
      <w:sz w:val="24"/>
      <w:szCs w:val="24"/>
    </w:rPr>
  </w:style>
  <w:style w:type="paragraph" w:styleId="Xl74" w:customStyle="1">
    <w:name w:val="xl74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color w:val="000000"/>
      <w:sz w:val="24"/>
      <w:szCs w:val="24"/>
    </w:rPr>
  </w:style>
  <w:style w:type="paragraph" w:styleId="Xl75" w:customStyle="1">
    <w:name w:val="xl75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color w:val="000000"/>
      <w:sz w:val="24"/>
      <w:szCs w:val="24"/>
    </w:rPr>
  </w:style>
  <w:style w:type="paragraph" w:styleId="Xl76" w:customStyle="1">
    <w:name w:val="xl76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Xl77" w:customStyle="1">
    <w:name w:val="xl77"/>
    <w:basedOn w:val="Normal"/>
    <w:qFormat/>
    <w:rsid w:val="00772123"/>
    <w:pPr>
      <w:spacing w:beforeAutospacing="1" w:afterAutospacing="1"/>
    </w:pPr>
    <w:rPr>
      <w:sz w:val="24"/>
      <w:szCs w:val="24"/>
    </w:rPr>
  </w:style>
  <w:style w:type="paragraph" w:styleId="Xl78" w:customStyle="1">
    <w:name w:val="xl78"/>
    <w:basedOn w:val="Normal"/>
    <w:qFormat/>
    <w:rsid w:val="00772123"/>
    <w:pPr>
      <w:shd w:val="clear" w:color="000000" w:fill="FFFFFF"/>
      <w:spacing w:beforeAutospacing="1" w:afterAutospacing="1"/>
    </w:pPr>
    <w:rPr>
      <w:rFonts w:ascii="Arial Narrow" w:hAnsi="Arial Narrow"/>
      <w:sz w:val="24"/>
      <w:szCs w:val="24"/>
    </w:rPr>
  </w:style>
  <w:style w:type="paragraph" w:styleId="Xl79" w:customStyle="1">
    <w:name w:val="xl79"/>
    <w:basedOn w:val="Normal"/>
    <w:qFormat/>
    <w:rsid w:val="00772123"/>
    <w:pPr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Xl80" w:customStyle="1">
    <w:name w:val="xl80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pacing w:beforeAutospacing="1" w:afterAutospacing="1"/>
      <w:jc w:val="center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81" w:customStyle="1">
    <w:name w:val="xl81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ABF8F"/>
      <w:spacing w:beforeAutospacing="1" w:afterAutospacing="1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82" w:customStyle="1">
    <w:name w:val="xl82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83" w:customStyle="1">
    <w:name w:val="xl83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pacing w:beforeAutospacing="1" w:afterAutospacing="1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84" w:customStyle="1">
    <w:name w:val="xl84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85" w:customStyle="1">
    <w:name w:val="xl85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i/>
      <w:iCs/>
      <w:color w:val="000000"/>
      <w:sz w:val="24"/>
      <w:szCs w:val="24"/>
    </w:rPr>
  </w:style>
  <w:style w:type="paragraph" w:styleId="Xl86" w:customStyle="1">
    <w:name w:val="xl86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color w:val="000000"/>
      <w:sz w:val="24"/>
      <w:szCs w:val="24"/>
    </w:rPr>
  </w:style>
  <w:style w:type="paragraph" w:styleId="Xl87" w:customStyle="1">
    <w:name w:val="xl87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color w:val="000000"/>
      <w:sz w:val="24"/>
      <w:szCs w:val="24"/>
    </w:rPr>
  </w:style>
  <w:style w:type="paragraph" w:styleId="Xl88" w:customStyle="1">
    <w:name w:val="xl88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89" w:customStyle="1">
    <w:name w:val="xl89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90" w:customStyle="1">
    <w:name w:val="xl90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91" w:customStyle="1">
    <w:name w:val="xl91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92" w:customStyle="1">
    <w:name w:val="xl92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93" w:customStyle="1">
    <w:name w:val="xl93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i/>
      <w:iCs/>
      <w:color w:val="000000"/>
      <w:sz w:val="24"/>
      <w:szCs w:val="24"/>
    </w:rPr>
  </w:style>
  <w:style w:type="paragraph" w:styleId="Xl94" w:customStyle="1">
    <w:name w:val="xl94"/>
    <w:basedOn w:val="Normal"/>
    <w:qFormat/>
    <w:rsid w:val="007721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i/>
      <w:iCs/>
      <w:color w:val="000000"/>
      <w:sz w:val="24"/>
      <w:szCs w:val="24"/>
    </w:rPr>
  </w:style>
  <w:style w:type="paragraph" w:styleId="Xl95" w:customStyle="1">
    <w:name w:val="xl95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i/>
      <w:iCs/>
      <w:color w:val="000000"/>
      <w:sz w:val="24"/>
      <w:szCs w:val="24"/>
    </w:rPr>
  </w:style>
  <w:style w:type="paragraph" w:styleId="Xl96" w:customStyle="1">
    <w:name w:val="xl96"/>
    <w:basedOn w:val="Normal"/>
    <w:qFormat/>
    <w:rsid w:val="007721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i/>
      <w:iCs/>
      <w:sz w:val="24"/>
      <w:szCs w:val="24"/>
    </w:rPr>
  </w:style>
  <w:style w:type="paragraph" w:styleId="Xl97" w:customStyle="1">
    <w:name w:val="xl97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98" w:customStyle="1">
    <w:name w:val="xl98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pacing w:beforeAutospacing="1" w:afterAutospacing="1"/>
      <w:jc w:val="center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99" w:customStyle="1">
    <w:name w:val="xl99"/>
    <w:basedOn w:val="Normal"/>
    <w:qFormat/>
    <w:rsid w:val="00772123"/>
    <w:pPr>
      <w:spacing w:beforeAutospacing="1" w:afterAutospacing="1"/>
    </w:pPr>
    <w:rPr>
      <w:rFonts w:ascii="Arial Narrow" w:hAnsi="Arial Narrow"/>
      <w:sz w:val="24"/>
      <w:szCs w:val="24"/>
    </w:rPr>
  </w:style>
  <w:style w:type="paragraph" w:styleId="Xl100" w:customStyle="1">
    <w:name w:val="xl100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Xl101" w:customStyle="1">
    <w:name w:val="xl101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color w:val="000000"/>
      <w:sz w:val="24"/>
      <w:szCs w:val="24"/>
    </w:rPr>
  </w:style>
  <w:style w:type="paragraph" w:styleId="Xl102" w:customStyle="1">
    <w:name w:val="xl102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ABF8F"/>
      <w:spacing w:beforeAutospacing="1" w:afterAutospacing="1"/>
      <w:textAlignment w:val="center"/>
    </w:pPr>
    <w:rPr>
      <w:rFonts w:ascii="Arial Narrow" w:hAnsi="Arial Narrow"/>
      <w:b/>
      <w:bCs/>
      <w:color w:val="000000"/>
      <w:sz w:val="24"/>
      <w:szCs w:val="24"/>
    </w:rPr>
  </w:style>
  <w:style w:type="paragraph" w:styleId="Xl103" w:customStyle="1">
    <w:name w:val="xl103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pacing w:beforeAutospacing="1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styleId="Xl104" w:customStyle="1">
    <w:name w:val="xl104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Narrow" w:hAnsi="Arial Narrow"/>
      <w:sz w:val="24"/>
      <w:szCs w:val="24"/>
    </w:rPr>
  </w:style>
  <w:style w:type="paragraph" w:styleId="Xl105" w:customStyle="1">
    <w:name w:val="xl105"/>
    <w:basedOn w:val="Normal"/>
    <w:qFormat/>
    <w:rsid w:val="007721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52016"/>
    <w:pPr>
      <w:ind w:hanging="280" w:left="280"/>
    </w:pPr>
    <w:rPr/>
  </w:style>
  <w:style w:type="paragraph" w:styleId="Indexheading11" w:customStyle="1">
    <w:name w:val="index heading11"/>
    <w:basedOn w:val="Normal"/>
    <w:qFormat/>
    <w:rsid w:val="00752016"/>
    <w:pPr>
      <w:suppressLineNumbers/>
    </w:pPr>
    <w:rPr/>
  </w:style>
  <w:style w:type="paragraph" w:styleId="BodyText3Char" w:customStyle="1">
    <w:name w:val="Body Text 3 Char"/>
    <w:basedOn w:val="Normal"/>
    <w:qFormat/>
    <w:rsid w:val="00752016"/>
    <w:pPr>
      <w:jc w:val="both"/>
    </w:pPr>
    <w:rPr>
      <w:rFonts w:ascii="Garamond" w:hAnsi="Garamond"/>
      <w:sz w:val="24"/>
      <w:szCs w:val="20"/>
    </w:rPr>
  </w:style>
  <w:style w:type="paragraph" w:styleId="BodyTextIndent2Char" w:customStyle="1">
    <w:name w:val="Body Text Indent 2 Char"/>
    <w:basedOn w:val="Normal"/>
    <w:qFormat/>
    <w:rsid w:val="00752016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Style41" w:customStyle="1">
    <w:name w:val="Текст таблицы"/>
    <w:basedOn w:val="Normal"/>
    <w:link w:val="Style20"/>
    <w:qFormat/>
    <w:rsid w:val="00752016"/>
    <w:pPr/>
    <w:rPr>
      <w:sz w:val="24"/>
      <w:szCs w:val="24"/>
    </w:rPr>
  </w:style>
  <w:style w:type="paragraph" w:styleId="Style42" w:customStyle="1">
    <w:name w:val="Список маркированный"/>
    <w:basedOn w:val="Normal"/>
    <w:next w:val="Normal"/>
    <w:qFormat/>
    <w:rsid w:val="00cc37e1"/>
    <w:pPr>
      <w:keepNext w:val="true"/>
      <w:numPr>
        <w:ilvl w:val="1"/>
        <w:numId w:val="7"/>
      </w:numPr>
      <w:ind w:left="1276"/>
      <w:jc w:val="both"/>
    </w:pPr>
    <w:rPr>
      <w:sz w:val="24"/>
      <w:szCs w:val="24"/>
    </w:rPr>
  </w:style>
  <w:style w:type="paragraph" w:styleId="212" w:customStyle="1">
    <w:name w:val="2Марк"/>
    <w:basedOn w:val="Normal"/>
    <w:qFormat/>
    <w:rsid w:val="00cc37e1"/>
    <w:pPr>
      <w:widowControl w:val="false"/>
      <w:numPr>
        <w:ilvl w:val="0"/>
        <w:numId w:val="7"/>
      </w:numPr>
      <w:spacing w:before="60" w:after="60"/>
      <w:ind w:left="3621"/>
      <w:jc w:val="both"/>
    </w:pPr>
    <w:rPr>
      <w:sz w:val="24"/>
      <w:szCs w:val="24"/>
    </w:rPr>
  </w:style>
  <w:style w:type="paragraph" w:styleId="20261" w:customStyle="1">
    <w:name w:val="2026 Таблицы"/>
    <w:link w:val="2026"/>
    <w:qFormat/>
    <w:rsid w:val="00a86dc8"/>
    <w:pPr>
      <w:widowControl/>
      <w:suppressAutoHyphens w:val="true"/>
      <w:bidi w:val="0"/>
      <w:spacing w:before="240" w:after="120"/>
      <w:jc w:val="both"/>
    </w:pPr>
    <w:rPr>
      <w:rFonts w:ascii="Times New Roman CYR" w:hAnsi="Times New Roman CYR" w:eastAsia="Times New Roman" w:cs="Arial"/>
      <w:color w:val="auto"/>
      <w:kern w:val="2"/>
      <w:sz w:val="24"/>
      <w:szCs w:val="26"/>
      <w:lang w:val="ru-RU" w:eastAsia="ru-RU" w:bidi="ar-SA"/>
      <w14:cntxtAlts>
        <w14:cntxtAlts/>
      </w14:cntxtAlts>
    </w:rPr>
  </w:style>
  <w:style w:type="paragraph" w:styleId="Style43" w:customStyle="1">
    <w:name w:val="Содержимое врезки"/>
    <w:basedOn w:val="Normal"/>
    <w:qFormat/>
    <w:pPr/>
    <w:rPr/>
  </w:style>
  <w:style w:type="paragraph" w:styleId="Style4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5" w:customStyle="1">
    <w:name w:val="Заголовок таблицы"/>
    <w:basedOn w:val="Style44"/>
    <w:qFormat/>
    <w:pPr>
      <w:jc w:val="center"/>
    </w:pPr>
    <w:rPr>
      <w:b/>
      <w:bCs/>
    </w:rPr>
  </w:style>
  <w:style w:type="paragraph" w:styleId="Xmsolistparagraph">
    <w:name w:val="x_msolistparagraph"/>
    <w:basedOn w:val="Normal"/>
    <w:qFormat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Dt-p">
    <w:name w:val="dt-p"/>
    <w:basedOn w:val="Normal"/>
    <w:qFormat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ConsPlusNonformat">
    <w:name w:val="ConsPlusNonformat"/>
    <w:basedOn w:val="Normal"/>
    <w:qFormat/>
    <w:pPr>
      <w:spacing w:lineRule="auto" w:line="240" w:before="0" w:after="0"/>
    </w:pPr>
    <w:rPr>
      <w:rFonts w:ascii="Courier New" w:hAnsi="Courier New" w:eastAsia="Calibri" w:cs="Courier New" w:eastAsiaTheme="minorHAnsi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26" w:customStyle="1">
    <w:name w:val="Стиль1"/>
    <w:uiPriority w:val="99"/>
    <w:qFormat/>
    <w:rsid w:val="00f001e4"/>
  </w:style>
  <w:style w:type="numbering" w:styleId="213" w:customStyle="1">
    <w:name w:val="Стиль2"/>
    <w:uiPriority w:val="99"/>
    <w:qFormat/>
    <w:rsid w:val="006629c9"/>
  </w:style>
  <w:style w:type="numbering" w:styleId="10985219921">
    <w:name w:val="10985219921"/>
    <w:qFormat/>
  </w:style>
  <w:style w:type="numbering" w:styleId="28683599781">
    <w:name w:val="28683599781"/>
    <w:qFormat/>
  </w:style>
  <w:style w:type="numbering" w:styleId="29294501151">
    <w:name w:val="29294501151"/>
    <w:qFormat/>
  </w:style>
  <w:style w:type="numbering" w:styleId="105948991">
    <w:name w:val="105948991"/>
    <w:qFormat/>
  </w:style>
  <w:style w:type="numbering" w:styleId="7008053721">
    <w:name w:val="7008053721"/>
    <w:qFormat/>
  </w:style>
  <w:style w:type="numbering" w:styleId="11245384331">
    <w:name w:val="11245384331"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6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d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e">
    <w:name w:val="Таблица (ГОСТ)1"/>
    <w:basedOn w:val="a6"/>
    <w:uiPriority w:val="59"/>
    <w:rsid w:val="007520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1">
    <w:name w:val="Таблица (ГОСТ)2"/>
    <w:basedOn w:val="a6"/>
    <w:uiPriority w:val="59"/>
    <w:rsid w:val="007520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c">
    <w:name w:val="Таблица (ГОСТ)3"/>
    <w:basedOn w:val="a6"/>
    <w:uiPriority w:val="59"/>
    <w:rsid w:val="007520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">
    <w:name w:val="Сетка таблицы8"/>
    <w:basedOn w:val="a6"/>
    <w:uiPriority w:val="59"/>
    <w:rsid w:val="0075201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13">
    <w:name w:val="Таблица (ГОСТ)31"/>
    <w:basedOn w:val="a6"/>
    <w:uiPriority w:val="59"/>
    <w:rsid w:val="00a4580d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package" Target="embeddings/oleObject1.xlsx"/><Relationship Id="rId15" Type="http://schemas.openxmlformats.org/officeDocument/2006/relationships/image" Target="media/image1.wmf"/><Relationship Id="rId16" Type="http://schemas.openxmlformats.org/officeDocument/2006/relationships/package" Target="embeddings/oleObject2.xlsx"/><Relationship Id="rId17" Type="http://schemas.openxmlformats.org/officeDocument/2006/relationships/image" Target="media/image2.wmf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6.xml"/><Relationship Id="rId21" Type="http://schemas.openxmlformats.org/officeDocument/2006/relationships/footer" Target="footer7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8.xml"/><Relationship Id="rId25" Type="http://schemas.openxmlformats.org/officeDocument/2006/relationships/footer" Target="footer9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0.xml"/><Relationship Id="rId29" Type="http://schemas.openxmlformats.org/officeDocument/2006/relationships/footer" Target="footer11.xml"/><Relationship Id="rId30" Type="http://schemas.openxmlformats.org/officeDocument/2006/relationships/hyperlink" Target="./3&#1055;" TargetMode="External"/><Relationship Id="rId31" Type="http://schemas.openxmlformats.org/officeDocument/2006/relationships/header" Target="header14.xml"/><Relationship Id="rId32" Type="http://schemas.openxmlformats.org/officeDocument/2006/relationships/header" Target="header15.xml"/><Relationship Id="rId33" Type="http://schemas.openxmlformats.org/officeDocument/2006/relationships/footer" Target="footer12.xml"/><Relationship Id="rId34" Type="http://schemas.openxmlformats.org/officeDocument/2006/relationships/footer" Target="footer13.xml"/><Relationship Id="rId35" Type="http://schemas.openxmlformats.org/officeDocument/2006/relationships/hyperlink" Target="consultantplus://offline/ref=B32CDE0E905E401B1BFF323EF993DB2C6F6DF7AA75973444C3F7F56C5AF257E783F32977DC422FF8A5E3BD3C70CDE515FFC133518A0B25N" TargetMode="External"/><Relationship Id="rId36" Type="http://schemas.openxmlformats.org/officeDocument/2006/relationships/hyperlink" Target="consultantplus://offline/ref=B32CDE0E905E401B1BFF323EF993DB2C6F6DF7AA75973444C3F7F56C5AF257E783F32974D8482DA7A0F6AC647CCBFC0BFEDE2F5388B50824N" TargetMode="External"/><Relationship Id="rId37" Type="http://schemas.openxmlformats.org/officeDocument/2006/relationships/hyperlink" Target="consultantplus://offline/ref=B32CDE0E905E401B1BFF323EF993DB2C6865F0A971913444C3F7F56C5AF257E783F32977DF4D24ACF0ACBC60359FF614F9C1315096B586250A26N" TargetMode="External"/><Relationship Id="rId38" Type="http://schemas.openxmlformats.org/officeDocument/2006/relationships/hyperlink" Target="consultantplus://offline/ref=B32CDE0E905E401B1BFF323EF993DB2C6865F0A971913444C3F7F56C5AF257E783F32977DF4D24ACF0ACBC60359FF614F9C1315096B586250A26N" TargetMode="External"/><Relationship Id="rId39" Type="http://schemas.openxmlformats.org/officeDocument/2006/relationships/hyperlink" Target="consultantplus://offline/ref=B32CDE0E905E401B1BFF323EF993DB2C6865F0A971913444C3F7F56C5AF257E783F32977DF4E2DA4F5ACBC60359FF614F9C1315096B586250A26N" TargetMode="External"/><Relationship Id="rId40" Type="http://schemas.openxmlformats.org/officeDocument/2006/relationships/header" Target="header16.xml"/><Relationship Id="rId41" Type="http://schemas.openxmlformats.org/officeDocument/2006/relationships/header" Target="header17.xml"/><Relationship Id="rId42" Type="http://schemas.openxmlformats.org/officeDocument/2006/relationships/footer" Target="footer14.xml"/><Relationship Id="rId43" Type="http://schemas.openxmlformats.org/officeDocument/2006/relationships/footer" Target="footer15.xml"/><Relationship Id="rId44" Type="http://schemas.openxmlformats.org/officeDocument/2006/relationships/header" Target="header18.xml"/><Relationship Id="rId45" Type="http://schemas.openxmlformats.org/officeDocument/2006/relationships/header" Target="header19.xml"/><Relationship Id="rId46" Type="http://schemas.openxmlformats.org/officeDocument/2006/relationships/footer" Target="footer16.xml"/><Relationship Id="rId47" Type="http://schemas.openxmlformats.org/officeDocument/2006/relationships/footer" Target="footer17.xml"/><Relationship Id="rId48" Type="http://schemas.openxmlformats.org/officeDocument/2006/relationships/header" Target="header20.xml"/><Relationship Id="rId49" Type="http://schemas.openxmlformats.org/officeDocument/2006/relationships/header" Target="header21.xml"/><Relationship Id="rId50" Type="http://schemas.openxmlformats.org/officeDocument/2006/relationships/footer" Target="footer18.xml"/><Relationship Id="rId51" Type="http://schemas.openxmlformats.org/officeDocument/2006/relationships/footer" Target="footer19.xml"/><Relationship Id="rId52" Type="http://schemas.openxmlformats.org/officeDocument/2006/relationships/header" Target="header22.xml"/><Relationship Id="rId53" Type="http://schemas.openxmlformats.org/officeDocument/2006/relationships/header" Target="header23.xml"/><Relationship Id="rId54" Type="http://schemas.openxmlformats.org/officeDocument/2006/relationships/footer" Target="footer20.xml"/><Relationship Id="rId55" Type="http://schemas.openxmlformats.org/officeDocument/2006/relationships/footer" Target="footer21.xml"/><Relationship Id="rId56" Type="http://schemas.openxmlformats.org/officeDocument/2006/relationships/package" Target="embeddings/oleObject3.xlsx"/><Relationship Id="rId57" Type="http://schemas.openxmlformats.org/officeDocument/2006/relationships/image" Target="media/image1.wmf"/><Relationship Id="rId58" Type="http://schemas.openxmlformats.org/officeDocument/2006/relationships/header" Target="header24.xml"/><Relationship Id="rId59" Type="http://schemas.openxmlformats.org/officeDocument/2006/relationships/header" Target="header25.xml"/><Relationship Id="rId60" Type="http://schemas.openxmlformats.org/officeDocument/2006/relationships/header" Target="header26.xml"/><Relationship Id="rId61" Type="http://schemas.openxmlformats.org/officeDocument/2006/relationships/footer" Target="footer22.xml"/><Relationship Id="rId62" Type="http://schemas.openxmlformats.org/officeDocument/2006/relationships/footer" Target="footer23.xml"/><Relationship Id="rId63" Type="http://schemas.openxmlformats.org/officeDocument/2006/relationships/package" Target="embeddings/oleObject4.xlsx"/><Relationship Id="rId64" Type="http://schemas.openxmlformats.org/officeDocument/2006/relationships/image" Target="media/image2.wmf"/><Relationship Id="rId65" Type="http://schemas.openxmlformats.org/officeDocument/2006/relationships/header" Target="header27.xml"/><Relationship Id="rId66" Type="http://schemas.openxmlformats.org/officeDocument/2006/relationships/header" Target="header28.xml"/><Relationship Id="rId67" Type="http://schemas.openxmlformats.org/officeDocument/2006/relationships/footer" Target="footer24.xml"/><Relationship Id="rId68" Type="http://schemas.openxmlformats.org/officeDocument/2006/relationships/footer" Target="footer25.xml"/><Relationship Id="rId69" Type="http://schemas.openxmlformats.org/officeDocument/2006/relationships/header" Target="header29.xml"/><Relationship Id="rId70" Type="http://schemas.openxmlformats.org/officeDocument/2006/relationships/header" Target="header30.xml"/><Relationship Id="rId71" Type="http://schemas.openxmlformats.org/officeDocument/2006/relationships/footer" Target="footer26.xml"/><Relationship Id="rId72" Type="http://schemas.openxmlformats.org/officeDocument/2006/relationships/footer" Target="footer27.xml"/><Relationship Id="rId73" Type="http://schemas.openxmlformats.org/officeDocument/2006/relationships/header" Target="header31.xml"/><Relationship Id="rId74" Type="http://schemas.openxmlformats.org/officeDocument/2006/relationships/header" Target="header32.xml"/><Relationship Id="rId75" Type="http://schemas.openxmlformats.org/officeDocument/2006/relationships/footer" Target="footer28.xml"/><Relationship Id="rId76" Type="http://schemas.openxmlformats.org/officeDocument/2006/relationships/footer" Target="footer29.xml"/><Relationship Id="rId77" Type="http://schemas.openxmlformats.org/officeDocument/2006/relationships/hyperlink" Target="./3&#1055;" TargetMode="External"/><Relationship Id="rId78" Type="http://schemas.openxmlformats.org/officeDocument/2006/relationships/header" Target="header33.xml"/><Relationship Id="rId79" Type="http://schemas.openxmlformats.org/officeDocument/2006/relationships/header" Target="header34.xml"/><Relationship Id="rId80" Type="http://schemas.openxmlformats.org/officeDocument/2006/relationships/footer" Target="footer30.xml"/><Relationship Id="rId81" Type="http://schemas.openxmlformats.org/officeDocument/2006/relationships/footer" Target="footer31.xml"/><Relationship Id="rId82" Type="http://schemas.openxmlformats.org/officeDocument/2006/relationships/hyperlink" Target="consultantplus://offline/ref=B32CDE0E905E401B1BFF323EF993DB2C6F6DF7AA75973444C3F7F56C5AF257E783F32977DC422FF8A5E3BD3C70CDE515FFC133518A0B25N" TargetMode="External"/><Relationship Id="rId83" Type="http://schemas.openxmlformats.org/officeDocument/2006/relationships/hyperlink" Target="consultantplus://offline/ref=B32CDE0E905E401B1BFF323EF993DB2C6F6DF7AA75973444C3F7F56C5AF257E783F32974D8482DA7A0F6AC647CCBFC0BFEDE2F5388B50824N" TargetMode="External"/><Relationship Id="rId84" Type="http://schemas.openxmlformats.org/officeDocument/2006/relationships/hyperlink" Target="consultantplus://offline/ref=B32CDE0E905E401B1BFF323EF993DB2C6865F0A971913444C3F7F56C5AF257E783F32977DF4D24ACF0ACBC60359FF614F9C1315096B586250A26N" TargetMode="External"/><Relationship Id="rId85" Type="http://schemas.openxmlformats.org/officeDocument/2006/relationships/hyperlink" Target="consultantplus://offline/ref=B32CDE0E905E401B1BFF323EF993DB2C6865F0A971913444C3F7F56C5AF257E783F32977DF4D24ACF0ACBC60359FF614F9C1315096B586250A26N" TargetMode="External"/><Relationship Id="rId86" Type="http://schemas.openxmlformats.org/officeDocument/2006/relationships/hyperlink" Target="consultantplus://offline/ref=B32CDE0E905E401B1BFF323EF993DB2C6865F0A971913444C3F7F56C5AF257E783F32977DF4E2DA4F5ACBC60359FF614F9C1315096B586250A26N" TargetMode="External"/><Relationship Id="rId87" Type="http://schemas.openxmlformats.org/officeDocument/2006/relationships/header" Target="header35.xml"/><Relationship Id="rId88" Type="http://schemas.openxmlformats.org/officeDocument/2006/relationships/header" Target="header36.xml"/><Relationship Id="rId89" Type="http://schemas.openxmlformats.org/officeDocument/2006/relationships/footer" Target="footer32.xml"/><Relationship Id="rId90" Type="http://schemas.openxmlformats.org/officeDocument/2006/relationships/footer" Target="footer33.xml"/><Relationship Id="rId91" Type="http://schemas.openxmlformats.org/officeDocument/2006/relationships/header" Target="header37.xml"/><Relationship Id="rId92" Type="http://schemas.openxmlformats.org/officeDocument/2006/relationships/header" Target="header38.xml"/><Relationship Id="rId93" Type="http://schemas.openxmlformats.org/officeDocument/2006/relationships/footer" Target="footer34.xml"/><Relationship Id="rId94" Type="http://schemas.openxmlformats.org/officeDocument/2006/relationships/footer" Target="footer35.xml"/><Relationship Id="rId95" Type="http://schemas.openxmlformats.org/officeDocument/2006/relationships/header" Target="header39.xml"/><Relationship Id="rId96" Type="http://schemas.openxmlformats.org/officeDocument/2006/relationships/header" Target="header40.xml"/><Relationship Id="rId97" Type="http://schemas.openxmlformats.org/officeDocument/2006/relationships/footer" Target="footer36.xml"/><Relationship Id="rId98" Type="http://schemas.openxmlformats.org/officeDocument/2006/relationships/footer" Target="footer37.xml"/><Relationship Id="rId99" Type="http://schemas.openxmlformats.org/officeDocument/2006/relationships/package" Target="embeddings/oleObject5.xlsx"/><Relationship Id="rId100" Type="http://schemas.openxmlformats.org/officeDocument/2006/relationships/image" Target="media/image3.wmf"/><Relationship Id="rId101" Type="http://schemas.openxmlformats.org/officeDocument/2006/relationships/header" Target="header41.xml"/><Relationship Id="rId102" Type="http://schemas.openxmlformats.org/officeDocument/2006/relationships/header" Target="header42.xml"/><Relationship Id="rId103" Type="http://schemas.openxmlformats.org/officeDocument/2006/relationships/footer" Target="footer38.xml"/><Relationship Id="rId104" Type="http://schemas.openxmlformats.org/officeDocument/2006/relationships/footer" Target="footer39.xml"/><Relationship Id="rId105" Type="http://schemas.openxmlformats.org/officeDocument/2006/relationships/package" Target="embeddings/oleObject6.xlsx"/><Relationship Id="rId106" Type="http://schemas.openxmlformats.org/officeDocument/2006/relationships/image" Target="media/image4.wmf"/><Relationship Id="rId107" Type="http://schemas.openxmlformats.org/officeDocument/2006/relationships/header" Target="header43.xml"/><Relationship Id="rId108" Type="http://schemas.openxmlformats.org/officeDocument/2006/relationships/header" Target="header44.xml"/><Relationship Id="rId109" Type="http://schemas.openxmlformats.org/officeDocument/2006/relationships/footer" Target="footer40.xml"/><Relationship Id="rId110" Type="http://schemas.openxmlformats.org/officeDocument/2006/relationships/footer" Target="footer41.xml"/><Relationship Id="rId111" Type="http://schemas.openxmlformats.org/officeDocument/2006/relationships/header" Target="header45.xml"/><Relationship Id="rId112" Type="http://schemas.openxmlformats.org/officeDocument/2006/relationships/header" Target="header46.xml"/><Relationship Id="rId113" Type="http://schemas.openxmlformats.org/officeDocument/2006/relationships/footer" Target="footer42.xml"/><Relationship Id="rId114" Type="http://schemas.openxmlformats.org/officeDocument/2006/relationships/footer" Target="footer43.xml"/><Relationship Id="rId115" Type="http://schemas.openxmlformats.org/officeDocument/2006/relationships/footnotes" Target="footnotes.xml"/><Relationship Id="rId116" Type="http://schemas.openxmlformats.org/officeDocument/2006/relationships/numbering" Target="numbering.xml"/><Relationship Id="rId117" Type="http://schemas.openxmlformats.org/officeDocument/2006/relationships/fontTable" Target="fontTable.xml"/><Relationship Id="rId118" Type="http://schemas.openxmlformats.org/officeDocument/2006/relationships/settings" Target="settings.xml"/><Relationship Id="rId119" Type="http://schemas.openxmlformats.org/officeDocument/2006/relationships/theme" Target="theme/theme1.xml"/><Relationship Id="rId120" Type="http://schemas.openxmlformats.org/officeDocument/2006/relationships/customXml" Target="../customXml/item1.xml"/><Relationship Id="rId121" Type="http://schemas.openxmlformats.org/officeDocument/2006/relationships/customXml" Target="../customXml/item2.xml"/><Relationship Id="rId122" Type="http://schemas.openxmlformats.org/officeDocument/2006/relationships/customXml" Target="../customXml/item3.xml"/><Relationship Id="rId12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FE559-4857-4A7B-BB96-DEA29C682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14BDD-85ED-4876-8907-18386665A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8AE30B-932C-44FA-9F22-2C6786269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006AE8-2BBF-49F1-AA96-EE2CD63E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AlterOffice/2026.2.0.0$Linux_X86_64 LibreOffice_project/bc4ef1adf80b36c7a6365f8ed6cbf29021361edd</Application>
  <AppVersion>15.0000</AppVersion>
  <Pages>117</Pages>
  <Words>26304</Words>
  <Characters>181169</Characters>
  <CharactersWithSpaces>198127</CharactersWithSpaces>
  <Paragraphs>4699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2026-09-15T08:03:00Z</dcterms:created>
  <dc:creator>Быстров Олег Геннадьевич</dc:creator>
  <dc:description/>
  <dc:language>ru-RU</dc:language>
  <cp:lastModifiedBy>prorokovdr@corp.gidroogk.com</cp:lastModifiedBy>
  <cp:lastPrinted>2026-07-08T07:43:00Z</cp:lastPrinted>
  <dcterms:modified xsi:type="dcterms:W3CDTF">2026-09-15T16:18:14Z</dcterms:modified>
  <cp:revision>14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