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ind w:hanging="0" w:left="5529"/>
        <w:jc w:val="right"/>
        <w:rPr>
          <w:bCs/>
        </w:rPr>
      </w:pPr>
      <w:r>
        <w:rPr>
          <w:bCs/>
        </w:rPr>
      </w:r>
      <w:bookmarkStart w:id="0" w:name="_Toc137554584"/>
      <w:bookmarkStart w:id="1" w:name="_Toc141696704"/>
      <w:bookmarkStart w:id="2" w:name="_Toc139856287"/>
      <w:bookmarkStart w:id="3" w:name="_Toc137554584"/>
      <w:bookmarkStart w:id="4" w:name="_Toc14169670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41696704_Копия_1"/>
      <w:bookmarkStart w:id="7" w:name="_Toc137554584_Копия_1"/>
      <w:bookmarkStart w:id="8" w:name="_Toc139856287_Копия_1"/>
      <w:bookmarkStart w:id="9" w:name="_Toc141696704_Копия_1"/>
      <w:bookmarkStart w:id="10" w:name="_Toc137554584_Копия_1"/>
      <w:bookmarkStart w:id="11" w:name="_Toc139856287_Копия_1"/>
      <w:bookmarkEnd w:id="9"/>
      <w:bookmarkEnd w:id="10"/>
      <w:bookmarkEnd w:id="11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sz w:val="26"/>
          <w:szCs w:val="26"/>
        </w:rPr>
      </w:pPr>
      <w:r>
        <w:rPr>
          <w:rFonts w:eastAsia="Calibri" w:cs="Times New Roman"/>
          <w:b/>
          <w:bCs/>
          <w:spacing w:val="0"/>
          <w:sz w:val="24"/>
          <w:szCs w:val="24"/>
          <w:lang w:eastAsia="ru-RU"/>
        </w:rPr>
        <w:t xml:space="preserve">ОКПД 2: 45.20.21 </w:t>
      </w:r>
      <w:r>
        <w:rPr>
          <w:rFonts w:eastAsia="Geneva" w:cs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 xml:space="preserve">45.20.21 Услуги по текущему ремонту </w:t>
      </w:r>
      <w:r>
        <w:rPr>
          <w:rFonts w:eastAsia="Geneva" w:cs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>легкового автомобиля</w:t>
      </w:r>
      <w:r>
        <w:rPr>
          <w:rFonts w:eastAsia="Geneva" w:cs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 xml:space="preserve"> для нужд </w:t>
      </w:r>
      <w:r>
        <w:rPr>
          <w:rFonts w:eastAsia="Geneva" w:cs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>Якутского</w:t>
      </w:r>
      <w:r>
        <w:rPr>
          <w:rFonts w:eastAsia="Geneva" w:cs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 xml:space="preserve"> </w:t>
      </w:r>
      <w:r>
        <w:rPr>
          <w:rFonts w:eastAsia="Geneva" w:cs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>ТУ</w:t>
      </w:r>
      <w:r>
        <w:rPr>
          <w:rFonts w:eastAsia="Geneva" w:cs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 xml:space="preserve"> Дальневосточного филиала АО «ТК РусГидро».</w:t>
      </w:r>
    </w:p>
    <w:p>
      <w:pPr>
        <w:pStyle w:val="Normal"/>
        <w:keepNext w:val="true"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3</w:t>
          </w:r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rFonts w:eastAsia="新細明體" w:cs="Arial" w:ascii="Calibri" w:hAnsi="Calibri" w:asciiTheme="minorHAnsi" w:cstheme="minorBidi" w:eastAsiaTheme="minorEastAsia" w:hAnsiTheme="minorHAnsi"/>
              <w:vanish w:val="false"/>
              <w:sz w:val="24"/>
              <w:szCs w:val="24"/>
            </w:rPr>
            <w:t>3</w:t>
          </w:r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rFonts w:eastAsia="新細明體" w:cs="Arial" w:ascii="Calibri" w:hAnsi="Calibri" w:asciiTheme="minorHAnsi" w:cstheme="minorBidi" w:eastAsiaTheme="minorEastAsia" w:hAnsiTheme="minorHAnsi"/>
              <w:vanish w:val="false"/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4"/>
                <w:rFonts w:eastAsia="Times New Roman" w:cs="Calibri Light (Заголовки)"/>
                <w:b/>
                <w:bCs/>
                <w:vanish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Таблица 2. Перечень и объем оказываемых усл</w:t>
            </w:r>
            <w:r>
              <w:rPr>
                <w:rStyle w:val="Style14"/>
                <w:rFonts w:eastAsia="Times New Roman" w:cs="Calibri Light (Заголовки)"/>
                <w:b/>
                <w:bCs/>
                <w:vanish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уг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vanish w:val="false"/>
              </w:rPr>
              <w:tab/>
            </w:r>
          </w:hyperlink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vanish w:val="false"/>
            </w:rPr>
            <w:t>3</w:t>
          </w:r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rPr>
              <w:rFonts w:eastAsia="新細明體" w:cs="Arial" w:cstheme="minorBidi" w:eastAsiaTheme="minorEastAsia" w:ascii="Calibri" w:hAnsi="Calibri"/>
              <w:b w:val="false"/>
              <w:bCs w:val="false"/>
            </w:rPr>
          </w:r>
          <w:r>
            <w:rPr>
              <w:b w:val="false"/>
              <w:bCs w:val="false"/>
              <w:rFonts w:eastAsia="新細明體" w:cs="Arial" w:ascii="Calibri" w:hAnsi="Calibri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caps/>
        </w:rPr>
      </w:pPr>
      <w:bookmarkStart w:id="12" w:name="_Toc54643694"/>
      <w:r>
        <w:rPr/>
        <w:t>Общие сведения</w:t>
      </w:r>
      <w:bookmarkEnd w:id="12"/>
    </w:p>
    <w:p>
      <w:pPr>
        <w:pStyle w:val="Heading4"/>
        <w:numPr>
          <w:ilvl w:val="1"/>
          <w:numId w:val="3"/>
        </w:numPr>
        <w:ind w:hanging="0" w:left="432"/>
        <w:rPr>
          <w:sz w:val="26"/>
          <w:szCs w:val="26"/>
        </w:rPr>
      </w:pPr>
      <w:bookmarkStart w:id="13" w:name="_Toc46743505"/>
      <w:bookmarkStart w:id="14" w:name="_Toc54643695"/>
      <w:r>
        <w:rPr>
          <w:sz w:val="26"/>
          <w:szCs w:val="26"/>
        </w:rPr>
        <w:t>Обозначения и сокращения</w:t>
      </w:r>
      <w:bookmarkEnd w:id="13"/>
      <w:bookmarkEnd w:id="1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</w:rPr>
            </w:pPr>
            <w:r>
              <w:rPr/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</w:rPr>
            </w:pPr>
            <w:r>
              <w:rPr/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ТО и 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Техническое обслуживание и текущему ремонту</w:t>
            </w:r>
          </w:p>
        </w:tc>
      </w:tr>
    </w:tbl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1"/>
          <w:numId w:val="3"/>
        </w:numPr>
        <w:ind w:hanging="0" w:left="432"/>
        <w:rPr>
          <w:sz w:val="26"/>
          <w:szCs w:val="26"/>
        </w:rPr>
      </w:pPr>
      <w:bookmarkStart w:id="15" w:name="_Toc54643696"/>
      <w:bookmarkStart w:id="16" w:name="_Toc46743506"/>
      <w:r>
        <w:rPr>
          <w:sz w:val="26"/>
          <w:szCs w:val="26"/>
        </w:rPr>
        <w:t>Наименование закупаемой продукции</w:t>
      </w:r>
      <w:bookmarkEnd w:id="15"/>
      <w:bookmarkEnd w:id="16"/>
    </w:p>
    <w:p>
      <w:pPr>
        <w:pStyle w:val="Normal"/>
        <w:widowControl/>
        <w:numPr>
          <w:ilvl w:val="0"/>
        </w:numPr>
        <w:suppressAutoHyphens w:val="true"/>
        <w:bidi w:val="0"/>
        <w:spacing w:before="12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Style w:val="Style8"/>
          <w:rFonts w:eastAsia="Geneva" w:cs="Times New Roman"/>
          <w:b w:val="false"/>
          <w:i w:val="false"/>
          <w:color w:val="000000"/>
          <w:kern w:val="0"/>
          <w:sz w:val="26"/>
          <w:szCs w:val="26"/>
          <w:shd w:fill="FFFFFF" w:val="clear"/>
          <w:lang w:val="ru-RU" w:eastAsia="en-US" w:bidi="ar-SA"/>
        </w:rPr>
        <w:t>Услуги по текущему ремонту легкового автомобиля для нужд Якутского ТУ филиала Дальневосточного филиала АО «ТК РусГидро»</w:t>
      </w:r>
    </w:p>
    <w:p>
      <w:pPr>
        <w:pStyle w:val="Heading4"/>
        <w:numPr>
          <w:ilvl w:val="1"/>
          <w:numId w:val="3"/>
        </w:numPr>
        <w:ind w:hanging="0" w:left="432"/>
        <w:rPr>
          <w:i/>
          <w:i/>
          <w:sz w:val="26"/>
          <w:szCs w:val="26"/>
          <w:shd w:fill="FFFF99" w:val="clear"/>
        </w:rPr>
      </w:pPr>
      <w:bookmarkStart w:id="17" w:name="_Toc54643697"/>
      <w:bookmarkStart w:id="18" w:name="_Toc46743507"/>
      <w:r>
        <w:rPr>
          <w:sz w:val="26"/>
          <w:szCs w:val="26"/>
        </w:rPr>
        <w:t xml:space="preserve">Цель </w:t>
      </w:r>
      <w:bookmarkEnd w:id="18"/>
      <w:r>
        <w:rPr>
          <w:sz w:val="26"/>
          <w:szCs w:val="26"/>
        </w:rPr>
        <w:t xml:space="preserve">оказания услуг </w:t>
      </w:r>
      <w:bookmarkEnd w:id="17"/>
    </w:p>
    <w:p>
      <w:pPr>
        <w:pStyle w:val="Normal"/>
        <w:rPr>
          <w:lang w:eastAsia="x-none"/>
        </w:rPr>
      </w:pPr>
      <w:r>
        <w:rPr>
          <w:rFonts w:eastAsia="Calibri"/>
          <w:bCs/>
          <w:sz w:val="26"/>
          <w:szCs w:val="26"/>
          <w:lang w:eastAsia="x-none"/>
        </w:rPr>
        <w:t xml:space="preserve">     </w:t>
      </w:r>
      <w:r>
        <w:rPr>
          <w:rFonts w:eastAsia="Calibri"/>
          <w:bCs/>
          <w:sz w:val="26"/>
          <w:szCs w:val="26"/>
          <w:lang w:val="x-none" w:eastAsia="x-none"/>
        </w:rPr>
        <w:t xml:space="preserve">Проведение технического обслуживания, диагностических и сопутствующих работ с соблюдением «Правил оказания услуг (выполнения работ) по техническому обслуживанию и ремонту автомототранспортных средств», утвержденных Постановлением Правительства РФ от 11.04.2001 № 290 (в действующей редакции), инструкций по эксплуатации транспортных средств, государственных стандартов к техническому состоянию </w:t>
      </w:r>
      <w:r>
        <w:rPr>
          <w:rFonts w:eastAsia="Calibri"/>
          <w:bCs/>
          <w:sz w:val="26"/>
          <w:szCs w:val="26"/>
          <w:lang w:eastAsia="x-none"/>
        </w:rPr>
        <w:t>ТС</w:t>
      </w:r>
      <w:r>
        <w:rPr>
          <w:rFonts w:eastAsia="Calibri"/>
          <w:bCs/>
          <w:sz w:val="26"/>
          <w:szCs w:val="26"/>
          <w:lang w:val="x-none" w:eastAsia="x-none"/>
        </w:rPr>
        <w:t>, с целью поддержания надлежащего технического состояния.</w:t>
      </w:r>
    </w:p>
    <w:p>
      <w:pPr>
        <w:pStyle w:val="Heading4"/>
        <w:numPr>
          <w:ilvl w:val="1"/>
          <w:numId w:val="3"/>
        </w:numPr>
        <w:ind w:hanging="0" w:left="432"/>
        <w:rPr>
          <w:sz w:val="26"/>
          <w:szCs w:val="26"/>
        </w:rPr>
      </w:pPr>
      <w:bookmarkStart w:id="19" w:name="_Toc54643698"/>
      <w:bookmarkStart w:id="20" w:name="_Toc46743508"/>
      <w:r>
        <w:rPr>
          <w:sz w:val="26"/>
          <w:szCs w:val="26"/>
        </w:rPr>
        <w:t>Существующее положение</w:t>
      </w:r>
      <w:bookmarkEnd w:id="20"/>
      <w:r>
        <w:rPr>
          <w:sz w:val="26"/>
          <w:szCs w:val="26"/>
          <w:lang w:val="ru-RU"/>
        </w:rPr>
        <w:t xml:space="preserve"> </w:t>
      </w:r>
      <w:bookmarkEnd w:id="19"/>
    </w:p>
    <w:p>
      <w:pPr>
        <w:pStyle w:val="Normal"/>
        <w:widowControl w:val="false"/>
        <w:tabs>
          <w:tab w:val="clear" w:pos="709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6"/>
          <w:szCs w:val="26"/>
          <w:shd w:fill="auto" w:val="clear"/>
        </w:rPr>
      </w:pPr>
      <w:r>
        <w:rPr>
          <w:rStyle w:val="Style8"/>
          <w:b w:val="false"/>
          <w:bCs/>
          <w:i w:val="false"/>
          <w:sz w:val="26"/>
          <w:szCs w:val="26"/>
          <w:shd w:fill="auto" w:val="clear"/>
        </w:rPr>
        <w:t>Не применяется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6"/>
          <w:szCs w:val="26"/>
        </w:rPr>
      </w:pPr>
      <w:r>
        <w:rPr>
          <w:b w:val="false"/>
          <w:bCs/>
          <w:i w:val="false"/>
          <w:sz w:val="26"/>
          <w:szCs w:val="26"/>
        </w:rPr>
      </w:r>
    </w:p>
    <w:p>
      <w:pPr>
        <w:pStyle w:val="Heading1"/>
        <w:numPr>
          <w:ilvl w:val="0"/>
          <w:numId w:val="0"/>
        </w:numPr>
        <w:ind w:hanging="0" w:left="0"/>
        <w:rPr>
          <w:rStyle w:val="Style8"/>
          <w:b/>
          <w:i w:val="false"/>
          <w:i w:val="false"/>
          <w:sz w:val="26"/>
          <w:szCs w:val="26"/>
          <w:shd w:fill="auto" w:val="clear"/>
          <w:lang w:val="ru-RU"/>
        </w:rPr>
      </w:pPr>
      <w:bookmarkStart w:id="21" w:name="_Toc54643699"/>
      <w:r>
        <w:rPr>
          <w:sz w:val="26"/>
          <w:szCs w:val="26"/>
        </w:rPr>
        <w:t>Таблица 1. Перечень объектов заказчика</w:t>
      </w:r>
      <w:bookmarkEnd w:id="21"/>
    </w:p>
    <w:tbl>
      <w:tblPr>
        <w:tblW w:w="1034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64"/>
        <w:gridCol w:w="2126"/>
        <w:gridCol w:w="2977"/>
        <w:gridCol w:w="1560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02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Легковой автомобиль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г. Хабаровск ул. Карла Маркса, 150 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TOYOTA LAND CRUISER 150 (PRADO)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Г.Р.Н. У 001 УУ 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0"/>
          <w:numId w:val="0"/>
        </w:numPr>
        <w:ind w:hanging="0" w:left="432"/>
        <w:rPr/>
      </w:pPr>
      <w:r>
        <w:rPr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lang w:val="ru-RU"/>
        </w:rPr>
      </w:pPr>
      <w:bookmarkStart w:id="22" w:name="_Toc54643702"/>
      <w:bookmarkStart w:id="23" w:name="_Toc51339693"/>
      <w:r>
        <w:rPr>
          <w:lang w:val="ru-RU"/>
        </w:rPr>
        <w:t>Требования</w:t>
      </w:r>
      <w:r>
        <w:rPr/>
        <w:t xml:space="preserve"> к продукции</w:t>
      </w:r>
      <w:bookmarkEnd w:id="22"/>
      <w:bookmarkEnd w:id="23"/>
    </w:p>
    <w:p>
      <w:pPr>
        <w:pStyle w:val="Heading4"/>
        <w:numPr>
          <w:ilvl w:val="1"/>
          <w:numId w:val="3"/>
        </w:numPr>
        <w:ind w:hanging="0" w:left="432"/>
        <w:rPr/>
      </w:pPr>
      <w:bookmarkStart w:id="24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4"/>
    </w:p>
    <w:p>
      <w:pPr>
        <w:pStyle w:val="Heading3"/>
        <w:numPr>
          <w:ilvl w:val="2"/>
          <w:numId w:val="3"/>
        </w:numPr>
        <w:ind w:hanging="0" w:left="0"/>
        <w:rPr/>
      </w:pPr>
      <w:bookmarkStart w:id="25" w:name="_Toc54643704"/>
      <w:r>
        <w:rPr/>
        <w:t>Требования к перечню и объему услуг</w:t>
      </w:r>
      <w:bookmarkEnd w:id="25"/>
    </w:p>
    <w:p>
      <w:pPr>
        <w:pStyle w:val="Heading1"/>
        <w:numPr>
          <w:ilvl w:val="0"/>
          <w:numId w:val="0"/>
        </w:numPr>
        <w:ind w:hanging="0" w:left="0"/>
        <w:rPr/>
      </w:pPr>
      <w:bookmarkStart w:id="26" w:name="_Toc54643705"/>
      <w:bookmarkStart w:id="27" w:name="_Toc51339695"/>
      <w:r>
        <w:rPr/>
        <w:t xml:space="preserve">Таблица 2. Перечень </w:t>
      </w:r>
      <w:bookmarkEnd w:id="27"/>
      <w:r>
        <w:rPr/>
        <w:t>и объем оказываемых услуг</w:t>
      </w:r>
      <w:bookmarkEnd w:id="26"/>
    </w:p>
    <w:tbl>
      <w:tblPr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1"/>
        <w:gridCol w:w="6946"/>
        <w:gridCol w:w="1138"/>
        <w:gridCol w:w="1270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услуг / этапа услуг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Количество*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TOYOTA LAND CRUISER 150 (PRADO)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6"/>
                <w:szCs w:val="26"/>
                <w:lang w:val="ru-RU" w:eastAsia="ru-RU" w:bidi="ar-SA"/>
              </w:rPr>
              <w:t>Г.Р.Н. У 001 УУ 28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37" w:right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</w:numPr>
              <w:suppressAutoHyphens w:val="true"/>
              <w:bidi w:val="0"/>
              <w:spacing w:before="120" w:after="0"/>
              <w:ind w:hanging="0" w:left="0" w:righ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yle8"/>
                <w:rFonts w:eastAsia="Geneva" w:cs="Times New Roman"/>
                <w:b w:val="false"/>
                <w:i w:val="false"/>
                <w:color w:val="000000"/>
                <w:kern w:val="0"/>
                <w:sz w:val="26"/>
                <w:szCs w:val="26"/>
                <w:shd w:fill="FFFFFF" w:val="clear"/>
                <w:lang w:val="ru-RU" w:eastAsia="en-US" w:bidi="ar-SA"/>
              </w:rPr>
              <w:t>Текущий ремонт легкового автомобиля для нужд Якутского ТУ филиала Дальневосточного филиала АО «ТК РусГидро»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услуга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42" w:leader="none"/>
              </w:tabs>
              <w:suppressAutoHyphens w:val="true"/>
              <w:ind w:hanging="0" w:right="3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ind w:firstLine="567"/>
        <w:jc w:val="both"/>
        <w:rPr>
          <w:rStyle w:val="Strong"/>
          <w:b w:val="false"/>
          <w:i/>
          <w:i/>
          <w:sz w:val="24"/>
          <w:szCs w:val="24"/>
        </w:rPr>
      </w:pPr>
      <w:r>
        <w:rPr>
          <w:rStyle w:val="Strong"/>
          <w:b w:val="false"/>
          <w:i/>
          <w:sz w:val="24"/>
          <w:szCs w:val="24"/>
        </w:rPr>
        <w:t>* Объем продукции является ориентировочным, Заказчик не несет ответственности за неполную выборку продукции на общую сумму договора.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0"/>
          <w:numId w:val="0"/>
        </w:numPr>
        <w:ind w:hanging="0" w:left="0"/>
        <w:rPr>
          <w:sz w:val="26"/>
          <w:szCs w:val="26"/>
        </w:rPr>
      </w:pPr>
      <w:r>
        <w:rPr>
          <w:sz w:val="26"/>
          <w:szCs w:val="26"/>
        </w:rPr>
      </w:r>
      <w:bookmarkStart w:id="28" w:name="_Toc54643706"/>
      <w:bookmarkStart w:id="29" w:name="_Toc54643706"/>
    </w:p>
    <w:p>
      <w:pPr>
        <w:pStyle w:val="Heading3"/>
        <w:numPr>
          <w:ilvl w:val="2"/>
          <w:numId w:val="3"/>
        </w:numPr>
        <w:ind w:hanging="0" w:left="0"/>
        <w:rPr>
          <w:sz w:val="26"/>
          <w:szCs w:val="26"/>
        </w:rPr>
      </w:pPr>
      <w:bookmarkStart w:id="30" w:name="_Toc51339696"/>
      <w:r>
        <w:rPr>
          <w:sz w:val="26"/>
          <w:szCs w:val="26"/>
        </w:rPr>
        <w:t xml:space="preserve">Требования </w:t>
      </w:r>
      <w:bookmarkEnd w:id="30"/>
      <w:r>
        <w:rPr>
          <w:sz w:val="26"/>
          <w:szCs w:val="26"/>
        </w:rPr>
        <w:t>к срокам оказания услуг</w:t>
      </w:r>
      <w:bookmarkEnd w:id="29"/>
    </w:p>
    <w:p>
      <w:pPr>
        <w:pStyle w:val="Heading1"/>
        <w:numPr>
          <w:ilvl w:val="0"/>
          <w:numId w:val="0"/>
        </w:numPr>
        <w:ind w:hanging="0" w:left="0"/>
        <w:rPr>
          <w:sz w:val="26"/>
          <w:szCs w:val="26"/>
          <w:lang w:val="ru-RU"/>
        </w:rPr>
      </w:pPr>
      <w:bookmarkStart w:id="31" w:name="_Toc54643707"/>
      <w:bookmarkStart w:id="32" w:name="_Toc51339697"/>
      <w:bookmarkStart w:id="33" w:name="_Toc50125127"/>
      <w:bookmarkStart w:id="34" w:name="_Toc50125126_Копия_1"/>
      <w:bookmarkEnd w:id="34"/>
      <w:r>
        <w:rPr>
          <w:sz w:val="26"/>
          <w:szCs w:val="26"/>
        </w:rPr>
        <w:t xml:space="preserve">Таблица </w:t>
      </w:r>
      <w:r>
        <w:rPr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. </w:t>
      </w:r>
      <w:bookmarkStart w:id="35" w:name="_Hlk50465284"/>
      <w:r>
        <w:rPr>
          <w:sz w:val="26"/>
          <w:szCs w:val="26"/>
        </w:rPr>
        <w:t xml:space="preserve">Требования </w:t>
      </w:r>
      <w:r>
        <w:rPr>
          <w:sz w:val="26"/>
          <w:szCs w:val="26"/>
          <w:lang w:val="ru-RU"/>
        </w:rPr>
        <w:t>к</w:t>
      </w:r>
      <w:r>
        <w:rPr>
          <w:sz w:val="26"/>
          <w:szCs w:val="26"/>
        </w:rPr>
        <w:t xml:space="preserve"> срокам </w:t>
      </w:r>
      <w:bookmarkEnd w:id="32"/>
      <w:bookmarkEnd w:id="33"/>
      <w:bookmarkEnd w:id="35"/>
      <w:r>
        <w:rPr>
          <w:sz w:val="26"/>
          <w:szCs w:val="26"/>
          <w:lang w:val="ru-RU"/>
        </w:rPr>
        <w:t>оказания услуг</w:t>
      </w:r>
      <w:bookmarkEnd w:id="31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numPr>
                <w:ilvl w:val="0"/>
              </w:numPr>
              <w:suppressAutoHyphens w:val="true"/>
              <w:bidi w:val="0"/>
              <w:spacing w:before="120" w:after="0"/>
              <w:ind w:hanging="0" w:left="0" w:righ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yle8"/>
                <w:rFonts w:eastAsia="Geneva" w:cs="Times New Roman"/>
                <w:b w:val="false"/>
                <w:i w:val="false"/>
                <w:color w:val="000000"/>
                <w:kern w:val="0"/>
                <w:sz w:val="26"/>
                <w:szCs w:val="26"/>
                <w:shd w:fill="FFFFFF" w:val="clear"/>
                <w:lang w:val="ru-RU" w:eastAsia="en-US" w:bidi="ar-SA"/>
              </w:rPr>
              <w:t>Услуги по текущему ремонту легкового автомобиля для нужд Якутского ТУ филиала Дальневосточного филиала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момента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10 рабочих дней с даты подачи заявки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0"/>
          <w:numId w:val="0"/>
        </w:numPr>
        <w:ind w:hanging="0" w:left="432"/>
        <w:rPr/>
      </w:pPr>
      <w:r>
        <w:rPr/>
      </w:r>
      <w:bookmarkStart w:id="36" w:name="_Toc54643709"/>
      <w:bookmarkStart w:id="37" w:name="_Toc51339698"/>
      <w:bookmarkStart w:id="38" w:name="_Toc50125131"/>
      <w:bookmarkStart w:id="39" w:name="_Toc54643708"/>
      <w:bookmarkStart w:id="40" w:name="_Toc46743510_Копия_1"/>
      <w:bookmarkStart w:id="41" w:name="_Toc54643709"/>
      <w:bookmarkStart w:id="42" w:name="_Toc51339698"/>
      <w:bookmarkStart w:id="43" w:name="_Toc50125131"/>
      <w:bookmarkStart w:id="44" w:name="_Toc54643708"/>
      <w:bookmarkStart w:id="45" w:name="_Toc46743510_Копия_1"/>
      <w:bookmarkEnd w:id="45"/>
    </w:p>
    <w:p>
      <w:pPr>
        <w:pStyle w:val="Heading4"/>
        <w:numPr>
          <w:ilvl w:val="1"/>
          <w:numId w:val="3"/>
        </w:numPr>
        <w:ind w:hanging="0" w:left="432"/>
        <w:rPr>
          <w:sz w:val="26"/>
          <w:szCs w:val="26"/>
        </w:rPr>
      </w:pPr>
      <w:bookmarkStart w:id="46" w:name="_Toc46743511"/>
      <w:r>
        <w:rPr>
          <w:sz w:val="26"/>
          <w:szCs w:val="26"/>
        </w:rPr>
        <w:t xml:space="preserve">Требования к </w:t>
      </w:r>
      <w:bookmarkEnd w:id="46"/>
      <w:r>
        <w:rPr>
          <w:sz w:val="26"/>
          <w:szCs w:val="26"/>
          <w:lang w:val="ru-RU"/>
        </w:rPr>
        <w:t>качеству услуг</w:t>
      </w:r>
      <w:bookmarkEnd w:id="44"/>
    </w:p>
    <w:p>
      <w:pPr>
        <w:pStyle w:val="Heading1"/>
        <w:numPr>
          <w:ilvl w:val="0"/>
          <w:numId w:val="0"/>
        </w:numPr>
        <w:ind w:hanging="0" w:left="0"/>
        <w:rPr>
          <w:sz w:val="26"/>
          <w:szCs w:val="26"/>
        </w:rPr>
      </w:pPr>
      <w:r>
        <w:rPr>
          <w:sz w:val="26"/>
          <w:szCs w:val="26"/>
        </w:rPr>
        <w:t>Таблица </w:t>
      </w:r>
      <w:r>
        <w:rPr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. Требования к </w:t>
      </w:r>
      <w:bookmarkEnd w:id="42"/>
      <w:bookmarkEnd w:id="43"/>
      <w:r>
        <w:rPr>
          <w:sz w:val="26"/>
          <w:szCs w:val="26"/>
          <w:lang w:val="ru-RU"/>
        </w:rPr>
        <w:t>качеству услуг</w:t>
      </w:r>
      <w:bookmarkEnd w:id="41"/>
      <w:r>
        <w:rPr>
          <w:sz w:val="26"/>
          <w:szCs w:val="26"/>
        </w:rPr>
        <w:t xml:space="preserve"> 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Наименование услуг/этапа услуг (позиция №1 Таблицы 2):</w:t>
      </w:r>
      <w:r>
        <w:rPr>
          <w:sz w:val="26"/>
          <w:szCs w:val="26"/>
        </w:rPr>
        <w:t xml:space="preserve"> </w:t>
      </w:r>
      <w:r>
        <w:rPr>
          <w:rStyle w:val="Style8"/>
          <w:rFonts w:eastAsia="Geneva" w:cs="Times New Roman"/>
          <w:b w:val="false"/>
          <w:i w:val="false"/>
          <w:color w:val="000000"/>
          <w:kern w:val="0"/>
          <w:sz w:val="26"/>
          <w:szCs w:val="26"/>
          <w:shd w:fill="FFFFFF" w:val="clear"/>
          <w:lang w:val="ru-RU" w:eastAsia="en-US" w:bidi="ar-SA"/>
        </w:rPr>
        <w:t>Услуги по текущему ремонту легкового автомобиля для нужд Якутского ТУ филиала Дальневосточного филиала АО «ТК РусГидро»</w:t>
      </w:r>
    </w:p>
    <w:tbl>
      <w:tblPr>
        <w:tblStyle w:val="af"/>
        <w:tblW w:w="99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2117"/>
        <w:gridCol w:w="14"/>
        <w:gridCol w:w="2104"/>
        <w:gridCol w:w="1579"/>
        <w:gridCol w:w="1840"/>
        <w:gridCol w:w="1556"/>
      </w:tblGrid>
      <w:tr>
        <w:trPr>
          <w:trHeight w:val="551" w:hRule="atLeast"/>
        </w:trPr>
        <w:tc>
          <w:tcPr>
            <w:tcW w:w="7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3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1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41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556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26" w:hRule="atLeast"/>
        </w:trPr>
        <w:tc>
          <w:tcPr>
            <w:tcW w:w="7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3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6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47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7"/>
          </w:p>
        </w:tc>
        <w:tc>
          <w:tcPr>
            <w:tcW w:w="21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6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21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по заявке Заказчика оказывает услуги по техническому обслуживанию и текущему ремонту ТС согласно Таблицы №2.</w:t>
            </w:r>
          </w:p>
        </w:tc>
        <w:tc>
          <w:tcPr>
            <w:tcW w:w="157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проведения работ</w:t>
            </w:r>
          </w:p>
        </w:tc>
        <w:tc>
          <w:tcPr>
            <w:tcW w:w="21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Контрагент обязан обеспечить проведение ТО согласно установленным нормам и правилам процедуры технического обслуживания и ремонта ТС, установленными заводом-изготовителем и правилами оказания услуг (выполнения работ) по техническому обслуживанию и ремонту автомототранспортных средств Российской Федерации Утвержденными Постановлением Правительства Российской Федерации от 11.04.2001 № 290</w:t>
            </w:r>
          </w:p>
        </w:tc>
        <w:tc>
          <w:tcPr>
            <w:tcW w:w="15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3251" w:hRule="atLeast"/>
        </w:trPr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обеспечению сохранности и комплектности ТС на период оказания услуг</w:t>
            </w:r>
          </w:p>
        </w:tc>
        <w:tc>
          <w:tcPr>
            <w:tcW w:w="21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сохранность и комплектность ТС Заказчика на период оказания Услуг</w:t>
            </w:r>
          </w:p>
        </w:tc>
        <w:tc>
          <w:tcPr>
            <w:tcW w:w="157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1039" w:hRule="atLeast"/>
        </w:trPr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2104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Качество оказанных Услуг должно соответствовать нормативно-технической и технологической документации по техническому обслуживанию и ремонту ТС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.  </w:t>
            </w:r>
          </w:p>
        </w:tc>
        <w:tc>
          <w:tcPr>
            <w:tcW w:w="15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1.1.5.</w:t>
            </w:r>
          </w:p>
        </w:tc>
        <w:tc>
          <w:tcPr>
            <w:tcW w:w="21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ТС после прохождения ТО и ремонта</w:t>
            </w:r>
          </w:p>
        </w:tc>
        <w:tc>
          <w:tcPr>
            <w:tcW w:w="211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после ремонта должны удовлетворять требованиям ГОСТ 33997-2016 «Межгосударственный стандарт. Колесные транспортные средства. Требования к безопасности в эксплуатации и методы проверки» и Правила техники безопасности (ПТБ)</w:t>
            </w:r>
          </w:p>
        </w:tc>
        <w:tc>
          <w:tcPr>
            <w:tcW w:w="15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9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1.1.6.</w:t>
            </w:r>
          </w:p>
        </w:tc>
        <w:tc>
          <w:tcPr>
            <w:tcW w:w="211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оплаты проезда сервисного персонала к месту оказания услуг</w:t>
            </w:r>
          </w:p>
        </w:tc>
        <w:tc>
          <w:tcPr>
            <w:tcW w:w="211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Стоимость проезда сервисного персонала Исполнителя к месту оказания услуг/выполнения работ и обратно (в случае, если для проезда к месту оказания услуг/выполнения работ используется не служебный автотранспорт), а также стоимость проживания в месте оказания услуг/выполнения работ, по пути к указанному месту и обратно оплачивается Заказчиком, и должно быть включено в стоимость работ по техническому обслуживанию.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оповещению Заказчика при возникновении ситуации которые могут привести к снижению безопасности эксплуатации ТС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извещать Заказчика о возникновении в ходе оказания Услуг новых обстоятельств технического состояния, ремонтируемого ТС, которые могут привести к снижению безопасности его эксплуатации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характеристикам устанавливаемого оборудования и условиям его установки.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оказать услуги с использованием современного, безопасного, эффективного оборудования, техники, инструментов, материалов и методов</w:t>
            </w:r>
          </w:p>
        </w:tc>
        <w:tc>
          <w:tcPr>
            <w:tcW w:w="157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предоставлению материалов и запасных частей необходимых для проведения технического обслуживания и текущего ремонта ТС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самостоятельно осуществляет закупку запчастей и материалов, необходимых для проведения технического обслуживания и текущего ремонта транспортных средств;</w:t>
            </w:r>
          </w:p>
        </w:tc>
        <w:tc>
          <w:tcPr>
            <w:tcW w:w="15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9210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-128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1.4.1</w:t>
            </w:r>
          </w:p>
        </w:tc>
        <w:tc>
          <w:tcPr>
            <w:tcW w:w="213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обязан привлекать квалифицированный персонал в оказании услуг 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303" w:hRule="atLeast"/>
        </w:trPr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>
          <w:trHeight w:val="428" w:hRule="atLeast"/>
        </w:trPr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2.1.1</w:t>
            </w:r>
          </w:p>
        </w:tc>
        <w:tc>
          <w:tcPr>
            <w:tcW w:w="42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замененные в процессе обслуживания или ремонта детали и механизмы должен составлять не менее гарантийного срока, установленного заводом-изготовителем.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535" w:hRule="atLeast"/>
        </w:trPr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</w:tr>
      <w:tr>
        <w:trPr>
          <w:trHeight w:val="639" w:hRule="atLeast"/>
        </w:trPr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2.2.1</w:t>
            </w:r>
          </w:p>
        </w:tc>
        <w:tc>
          <w:tcPr>
            <w:tcW w:w="42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после ремонта должны удовлетворять требованиям Федерального закона от 10.12.1995 № 196-ФЗ «О безопасности дорожного движения»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Проверка качества оказанных услуг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результатов оказания услуг путем подписания с двух сторон Акта сдачи-приемки Услуг, выставленного Исполнителем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157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передает Заказчику счет на оплату после оказания услуги. </w:t>
            </w:r>
          </w:p>
        </w:tc>
        <w:tc>
          <w:tcPr>
            <w:tcW w:w="15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16" w:hRule="atLeast"/>
        </w:trPr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счет-фактуру (если Исполнитель является плательщиком НДС)</w:t>
            </w:r>
          </w:p>
        </w:tc>
        <w:tc>
          <w:tcPr>
            <w:tcW w:w="15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780" w:hRule="atLeast"/>
        </w:trPr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Сертификат качества на установленное оборудование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сертификат качества на установленное оборудование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Копия предоставления сертификатов качества на оборудование.</w:t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235" w:type="dxa"/>
            <w:gridSpan w:val="3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Гарантийные обязательства на оказанные Услуги должны составлять не менее 6 (шести) месяцев со дня подписания Акта выполненных работ.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1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23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0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Прочие требования к оказанию услуг 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1" w:type="dxa"/>
            <w:gridSpan w:val="2"/>
            <w:tcBorders/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b w:val="false"/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 xml:space="preserve">Не требуется  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b w:val="false"/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 xml:space="preserve">  </w:t>
            </w:r>
          </w:p>
        </w:tc>
        <w:tc>
          <w:tcPr>
            <w:tcW w:w="15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5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sz w:val="26"/>
          <w:szCs w:val="26"/>
        </w:rPr>
      </w:pPr>
      <w:r>
        <w:rPr>
          <w:sz w:val="26"/>
          <w:szCs w:val="26"/>
        </w:rPr>
        <w:t>Требования к документации по ценообразованию на этапе закупки</w:t>
      </w:r>
    </w:p>
    <w:p>
      <w:pPr>
        <w:pStyle w:val="Heading4"/>
        <w:numPr>
          <w:ilvl w:val="1"/>
          <w:numId w:val="3"/>
        </w:numPr>
        <w:ind w:hanging="0" w:left="432"/>
        <w:rPr>
          <w:b w:val="false"/>
        </w:rPr>
      </w:pPr>
      <w:r>
        <w:rPr>
          <w:b w:val="false"/>
        </w:rPr>
        <w:t>Общая цена за единицу услуг остаётся фиксированной на весь срок действия договора и не подлежит изменению;</w:t>
      </w:r>
    </w:p>
    <w:p>
      <w:pPr>
        <w:pStyle w:val="Heading4"/>
        <w:numPr>
          <w:ilvl w:val="1"/>
          <w:numId w:val="3"/>
        </w:numPr>
        <w:ind w:hanging="0" w:left="432"/>
        <w:rPr>
          <w:b w:val="false"/>
        </w:rPr>
      </w:pPr>
      <w:r>
        <w:rPr>
          <w:b w:val="false"/>
        </w:rPr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>
      <w:pPr>
        <w:pStyle w:val="Heading4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rPr>
          <w:lang w:val="x-none" w:eastAsia="x-none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994" w:footer="0" w:bottom="1276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8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11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93dc7"/>
    <w:pPr>
      <w:keepNext w:val="true"/>
      <w:numPr>
        <w:ilvl w:val="2"/>
        <w:numId w:val="3"/>
      </w:numPr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93dc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d64da"/>
    <w:pPr>
      <w:tabs>
        <w:tab w:val="clear" w:pos="709"/>
        <w:tab w:val="left" w:pos="1120" w:leader="none"/>
        <w:tab w:val="right" w:pos="992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080EB-3131-46D1-A7EE-4FD86FED4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Application>AlterOffice/2026.2.0.0$Linux_X86_64 LibreOffice_project/bc4ef1adf80b36c7a6365f8ed6cbf29021361edd</Application>
  <AppVersion>15.0000</AppVersion>
  <Pages>9</Pages>
  <Words>1128</Words>
  <Characters>7468</Characters>
  <CharactersWithSpaces>8416</CharactersWithSpaces>
  <Paragraphs>194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2023-03-11T02:56:00Z</dcterms:created>
  <dc:creator>Быстров Олег Геннадьевич</dc:creator>
  <dc:description/>
  <dc:language>ru-RU</dc:language>
  <cp:lastModifiedBy>khizhnyakvn@corp.gidroogk.com</cp:lastModifiedBy>
  <cp:lastPrinted>2023-02-22T05:15:00Z</cp:lastPrinted>
  <dcterms:modified xsi:type="dcterms:W3CDTF">2026-09-16T11:05:30Z</dcterms:modified>
  <cp:revision>13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