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ОКПД2 29.10.59.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310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 Поставка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многофункционального крана-манипулятора  на шасси Камаз 43118 </w:t>
      </w: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 xml:space="preserve">для филиала АО "ДРСК" "Южно-Якутские электрические сети" (г. Алдан) в рамках исполнения инвестиционного проекта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6"/>
          <w:szCs w:val="26"/>
        </w:rPr>
      </w:pPr>
      <w:r>
        <w:rPr>
          <w:rFonts w:eastAsia="Calibri" w:ascii="Liberation Serif" w:hAnsi="Liberation Serif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  <w:r>
        <w:br w:type="page"/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17158_3680773314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0_3680773314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2_3680773314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64_3680773314">
            <w:r>
              <w:rPr>
                <w:rStyle w:val="Style14"/>
              </w:rPr>
              <w:t>1.3. Цель использования закупаемой продукции: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68_3680773314">
            <w:r>
              <w:rPr>
                <w:rStyle w:val="Style14"/>
              </w:rPr>
              <w:t>2. Требования к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70_3680773314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172_3680773314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74_3680773314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76_3680773314">
            <w:r>
              <w:rPr>
                <w:rStyle w:val="Style14"/>
              </w:rPr>
              <w:t>Таблица 1.2 Перечень и объем закупаемых сопутствующих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178_3680773314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0_3680773314">
            <w:r>
              <w:rPr>
                <w:rStyle w:val="Style14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2_3680773314"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7184_3680773314">
            <w:r>
              <w:rPr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6_3680773314">
            <w:r>
              <w:rPr>
                <w:rStyle w:val="Style14"/>
              </w:rPr>
              <w:t xml:space="preserve"> </w:t>
            </w:r>
            <w:r>
              <w:rPr>
                <w:rStyle w:val="Style14"/>
              </w:rPr>
              <w:t>Таблица 3.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7188_3680773314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11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Liberation Serif" w:hAnsi="Liberation Serif"/>
          <w:vanish w:val="false"/>
        </w:rPr>
      </w:pPr>
      <w:r>
        <w:rPr>
          <w:rFonts w:ascii="Liberation Serif" w:hAnsi="Liberation Serif"/>
          <w:vanish w:val="false"/>
        </w:rPr>
      </w:r>
    </w:p>
    <w:p>
      <w:pPr>
        <w:pStyle w:val="Heading2"/>
        <w:numPr>
          <w:ilvl w:val="0"/>
          <w:numId w:val="0"/>
        </w:numPr>
        <w:ind w:left="0" w:right="0" w:hanging="0"/>
        <w:rPr>
          <w:rFonts w:ascii="Liberation Serif" w:hAnsi="Liberation Serif"/>
          <w:b w:val="false"/>
          <w:i/>
          <w:i/>
        </w:rPr>
      </w:pPr>
      <w:r>
        <w:rPr>
          <w:rFonts w:ascii="Liberation Serif" w:hAnsi="Liberation Serif"/>
          <w:b w:val="false"/>
          <w:i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4"/>
          <w:szCs w:val="24"/>
        </w:rPr>
      </w:pPr>
      <w:r>
        <w:rPr>
          <w:rFonts w:eastAsia="Calibri" w:ascii="Liberation Serif" w:hAnsi="Liberation Serif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0" w:name="__RefHeading___Toc17158_3680773314"/>
      <w:bookmarkStart w:id="1" w:name="_Toc75446566"/>
      <w:bookmarkStart w:id="2" w:name="_Toc51339692"/>
      <w:bookmarkEnd w:id="0"/>
      <w:r>
        <w:rPr>
          <w:rFonts w:ascii="Liberation Serif" w:hAnsi="Liberation Serif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3" w:name="__RefHeading___Toc17160_3680773314"/>
      <w:bookmarkStart w:id="4" w:name="_Toc75446567"/>
      <w:bookmarkStart w:id="5" w:name="_Toc46743505"/>
      <w:bookmarkEnd w:id="3"/>
      <w:r>
        <w:rPr>
          <w:rFonts w:ascii="Liberation Serif" w:hAnsi="Liberation Serif"/>
        </w:rPr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8"/>
      </w:tblGrid>
      <w:tr>
        <w:trPr>
          <w:trHeight w:val="21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ЗИП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Запасные части, инструменты и принадлежности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Коробка перемены передач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РК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Раздаточная коробка</w:t>
            </w:r>
          </w:p>
        </w:tc>
      </w:tr>
    </w:tbl>
    <w:p>
      <w:pPr>
        <w:pStyle w:val="Normal"/>
        <w:keepNext w:val="true"/>
        <w:keepLines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6" w:name="__RefHeading___Toc17162_3680773314"/>
      <w:bookmarkEnd w:id="6"/>
      <w:r>
        <w:rPr>
          <w:rFonts w:ascii="Liberation Serif" w:hAnsi="Liberation Serif"/>
        </w:rPr>
        <w:t>Н</w:t>
      </w:r>
      <w:bookmarkStart w:id="7" w:name="_Toc75446568"/>
      <w:bookmarkStart w:id="8" w:name="_Toc46743506"/>
      <w:r>
        <w:rPr>
          <w:rFonts w:ascii="Liberation Serif" w:hAnsi="Liberation Serif"/>
        </w:rPr>
        <w:t>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Liberation Serif" w:hAnsi="Liberation Serif"/>
          <w:i w:val="false"/>
          <w:i w:val="false"/>
          <w:iCs w:val="false"/>
        </w:rPr>
      </w:pP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Поставка автогидроподъемника с высотой подъема люльки не 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менее 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>20</w:t>
      </w: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 xml:space="preserve"> м. для филиала АО "ДРСК" "Южно-Якутские электрические сети» (г. Алдан)</w:t>
      </w:r>
    </w:p>
    <w:p>
      <w:pPr>
        <w:pStyle w:val="Heading4"/>
        <w:numPr>
          <w:ilvl w:val="1"/>
          <w:numId w:val="4"/>
        </w:numPr>
        <w:spacing w:before="240" w:after="60"/>
        <w:ind w:left="431" w:right="0" w:hanging="431"/>
        <w:rPr>
          <w:rFonts w:ascii="Liberation Serif" w:hAnsi="Liberation Serif"/>
        </w:rPr>
      </w:pPr>
      <w:bookmarkStart w:id="9" w:name="__RefHeading___Toc17164_3680773314"/>
      <w:bookmarkStart w:id="10" w:name="_Toc75446569"/>
      <w:bookmarkStart w:id="11" w:name="_Toc46743507"/>
      <w:bookmarkEnd w:id="9"/>
      <w:r>
        <w:rPr>
          <w:rFonts w:ascii="Liberation Serif" w:hAnsi="Liberation Serif"/>
        </w:rPr>
        <w:t xml:space="preserve">Цель </w:t>
      </w:r>
      <w:bookmarkEnd w:id="11"/>
      <w:r>
        <w:rPr>
          <w:rFonts w:ascii="Liberation Serif" w:hAnsi="Liberation Serif"/>
          <w:lang w:val="ru-RU"/>
        </w:rPr>
        <w:t xml:space="preserve">использования закупаемой продукции: </w:t>
      </w:r>
      <w:bookmarkEnd w:id="10"/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BodyText"/>
        <w:rPr>
          <w:rFonts w:ascii="Liberation Serif" w:hAnsi="Liberation Serif"/>
          <w:sz w:val="24"/>
          <w:szCs w:val="24"/>
        </w:rPr>
      </w:pPr>
      <w:bookmarkStart w:id="12" w:name="__RefHeading___Toc17166_3680773314"/>
      <w:bookmarkEnd w:id="12"/>
      <w:r>
        <w:rPr>
          <w:rFonts w:ascii="Liberation Serif" w:hAnsi="Liberation Serif"/>
          <w:sz w:val="24"/>
          <w:szCs w:val="24"/>
        </w:rPr>
        <w:t>Подъем и перемещение людей, инструмента и материалов на заданную высоту для проведения ремонтных и профилактических работ</w:t>
      </w:r>
    </w:p>
    <w:p>
      <w:pPr>
        <w:pStyle w:val="Normal"/>
        <w:ind w:left="432" w:right="0" w:hanging="0"/>
        <w:rPr>
          <w:rFonts w:ascii="Liberation Serif" w:hAnsi="Liberation Serif"/>
          <w:b w:val="false"/>
          <w:bCs/>
          <w:sz w:val="24"/>
          <w:szCs w:val="24"/>
          <w:lang w:val="ru-RU"/>
        </w:rPr>
      </w:pPr>
      <w:r>
        <w:rPr>
          <w:rFonts w:ascii="Liberation Serif" w:hAnsi="Liberation Serif"/>
          <w:b w:val="false"/>
          <w:bCs/>
          <w:sz w:val="24"/>
          <w:szCs w:val="24"/>
          <w:lang w:val="ru-RU"/>
        </w:rPr>
      </w:r>
      <w:bookmarkStart w:id="13" w:name="_Toc46743510"/>
      <w:bookmarkStart w:id="14" w:name="_Toc50125126"/>
      <w:bookmarkStart w:id="15" w:name="_Toc46743510"/>
      <w:bookmarkStart w:id="16" w:name="_Toc50125126"/>
      <w:bookmarkEnd w:id="15"/>
      <w:bookmarkEnd w:id="16"/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17" w:name="__RefHeading___Toc17168_3680773314"/>
      <w:bookmarkStart w:id="18" w:name="_Toc75446573"/>
      <w:bookmarkStart w:id="19" w:name="_Toc51339693"/>
      <w:bookmarkEnd w:id="17"/>
      <w:r>
        <w:rPr>
          <w:rFonts w:ascii="Liberation Serif" w:hAnsi="Liberation Serif"/>
          <w:iCs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20" w:name="__RefHeading___Toc17170_3680773314"/>
      <w:bookmarkStart w:id="21" w:name="_Toc75446574"/>
      <w:bookmarkEnd w:id="20"/>
      <w:r>
        <w:rPr>
          <w:rFonts w:ascii="Liberation Serif" w:hAnsi="Liberation Serif"/>
        </w:rPr>
        <w:t xml:space="preserve">Требования к объемам и срокам </w:t>
      </w:r>
      <w:r>
        <w:rPr>
          <w:rFonts w:ascii="Liberation Serif" w:hAnsi="Liberation Serif"/>
          <w:lang w:val="ru-RU"/>
        </w:rPr>
        <w:t>поставки</w:t>
      </w:r>
      <w:bookmarkEnd w:id="21"/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2" w:name="__RefHeading___Toc17172_3680773314"/>
      <w:bookmarkStart w:id="23" w:name="_Toc75446575"/>
      <w:bookmarkEnd w:id="22"/>
      <w:r>
        <w:rPr>
          <w:rFonts w:ascii="Liberation Serif" w:hAnsi="Liberation Serif"/>
          <w:lang w:val="ru-RU"/>
        </w:rPr>
        <w:t>Перечень и объем закупаемой продукции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4" w:name="__RefHeading___Toc17174_3680773314"/>
      <w:bookmarkStart w:id="25" w:name="_Toc75446576"/>
      <w:bookmarkStart w:id="26" w:name="_Toc51339695"/>
      <w:bookmarkEnd w:id="24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1.1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 xml:space="preserve">Перечень </w:t>
      </w:r>
      <w:bookmarkEnd w:id="26"/>
      <w:r>
        <w:rPr>
          <w:rFonts w:ascii="Liberation Serif" w:hAnsi="Liberation Serif"/>
          <w:sz w:val="24"/>
          <w:szCs w:val="24"/>
          <w:lang w:val="ru-RU"/>
        </w:rPr>
        <w:t>и объем закупаемой продукции</w:t>
      </w:r>
      <w:bookmarkEnd w:id="25"/>
    </w:p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tbl>
      <w:tblPr>
        <w:tblW w:w="1035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956"/>
        <w:gridCol w:w="1482"/>
        <w:gridCol w:w="1927"/>
      </w:tblGrid>
      <w:tr>
        <w:trPr>
          <w:trHeight w:val="780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Наименование продукции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Количество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left="1224" w:hanging="0"/>
              <w:jc w:val="left"/>
              <w:rPr>
                <w:rFonts w:ascii="Liberation Serif" w:hAnsi="Liberation Serif"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>Многофункциональный автомобиль МКМ  на шасси Камаз 43118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 w:val="false"/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7" w:name="__RefHeading___Toc17176_3680773314"/>
      <w:bookmarkStart w:id="28" w:name="_Toc75446577"/>
      <w:bookmarkEnd w:id="27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1.2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>Перечень и объем закупаемых сопутствующих услуг</w:t>
      </w:r>
      <w:bookmarkEnd w:id="28"/>
    </w:p>
    <w:tbl>
      <w:tblPr>
        <w:tblW w:w="101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5386"/>
        <w:gridCol w:w="1189"/>
        <w:gridCol w:w="2712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Необходимость в сопутствующих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услугах отсутствует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left="0" w:right="0" w:firstLine="142"/>
        <w:rPr>
          <w:rFonts w:ascii="Liberation Serif" w:hAnsi="Liberation Serif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9" w:name="__RefHeading___Toc17178_3680773314"/>
      <w:bookmarkStart w:id="30" w:name="_Toc75446578"/>
      <w:bookmarkStart w:id="31" w:name="_Toc51339696"/>
      <w:bookmarkEnd w:id="29"/>
      <w:r>
        <w:rPr>
          <w:rFonts w:ascii="Liberation Serif" w:hAnsi="Liberation Serif"/>
          <w:lang w:val="ru-RU"/>
        </w:rPr>
        <w:t xml:space="preserve">Требования </w:t>
      </w:r>
      <w:bookmarkEnd w:id="31"/>
      <w:r>
        <w:rPr>
          <w:rFonts w:ascii="Liberation Serif" w:hAnsi="Liberation Serif"/>
          <w:lang w:val="ru-RU"/>
        </w:rPr>
        <w:t>к срокам поставки продукции и оказания сопутствующих услуг</w:t>
      </w:r>
      <w:bookmarkEnd w:id="30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32" w:name="__RefHeading___Toc17180_3680773314"/>
      <w:bookmarkStart w:id="33" w:name="_Toc75446579"/>
      <w:bookmarkStart w:id="34" w:name="_Toc50125127"/>
      <w:bookmarkStart w:id="35" w:name="_Toc51339697"/>
      <w:bookmarkStart w:id="36" w:name="_Toc50125126_Копия_1"/>
      <w:bookmarkEnd w:id="32"/>
      <w:bookmarkEnd w:id="36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1</w:t>
      </w:r>
      <w:r>
        <w:rPr>
          <w:rFonts w:ascii="Liberation Serif" w:hAnsi="Liberation Serif"/>
          <w:sz w:val="24"/>
          <w:szCs w:val="24"/>
        </w:rPr>
        <w:t xml:space="preserve"> </w:t>
      </w:r>
      <w:bookmarkStart w:id="37" w:name="_Hlk50465284"/>
      <w:r>
        <w:rPr>
          <w:rFonts w:ascii="Liberation Serif" w:hAnsi="Liberation Serif"/>
          <w:sz w:val="24"/>
          <w:szCs w:val="24"/>
        </w:rPr>
        <w:t xml:space="preserve">Требования по срокам </w:t>
      </w:r>
      <w:bookmarkEnd w:id="34"/>
      <w:bookmarkEnd w:id="35"/>
      <w:bookmarkEnd w:id="37"/>
      <w:r>
        <w:rPr>
          <w:rFonts w:ascii="Liberation Serif" w:hAnsi="Liberation Serif"/>
          <w:sz w:val="24"/>
          <w:szCs w:val="24"/>
          <w:lang w:val="ru-RU"/>
        </w:rPr>
        <w:t>поставки продукции</w:t>
      </w:r>
      <w:bookmarkEnd w:id="33"/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tbl>
      <w:tblPr>
        <w:tblW w:w="137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682"/>
        <w:gridCol w:w="3289"/>
        <w:gridCol w:w="5668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uppressAutoHyphens w:val="true"/>
              <w:spacing w:before="120" w:after="60"/>
              <w:ind w:left="1224" w:hanging="0"/>
              <w:jc w:val="both"/>
              <w:rPr/>
            </w:pPr>
            <w:r>
              <w:rPr>
                <w:rStyle w:val="Style15"/>
                <w:rFonts w:eastAsia="Arial Unicode MS" w:ascii="Liberation Serif" w:hAnsi="Liberation Serif"/>
                <w:b w:val="false"/>
                <w:bCs w:val="false"/>
                <w:iCs/>
                <w:color w:val="000000"/>
                <w:sz w:val="24"/>
                <w:szCs w:val="24"/>
              </w:rPr>
              <w:t>Многофункциональный автомобиль на шасси Камаз 43118</w:t>
            </w:r>
          </w:p>
          <w:p>
            <w:pPr>
              <w:pStyle w:val="Normal"/>
              <w:widowControl w:val="false"/>
              <w:suppressAutoHyphens w:val="true"/>
              <w:rPr>
                <w:rStyle w:val="Style15"/>
              </w:rPr>
            </w:pPr>
            <w:r>
              <w:rPr/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В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 xml:space="preserve"> течение 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0 календарных дней с даты заключения договора</w:t>
            </w:r>
          </w:p>
        </w:tc>
      </w:tr>
    </w:tbl>
    <w:p>
      <w:pPr>
        <w:pStyle w:val="Heading1"/>
        <w:numPr>
          <w:ilvl w:val="0"/>
          <w:numId w:val="0"/>
        </w:numPr>
        <w:ind w:left="0" w:right="0" w:hanging="0"/>
        <w:rPr>
          <w:rFonts w:ascii="Liberation Serif" w:hAnsi="Liberation Serif"/>
        </w:rPr>
      </w:pPr>
      <w:bookmarkStart w:id="38" w:name="__RefHeading___Toc17182_3680773314"/>
      <w:bookmarkStart w:id="39" w:name="_Toc54785622"/>
      <w:bookmarkStart w:id="40" w:name="_Toc75446580"/>
      <w:bookmarkStart w:id="41" w:name="_Toc46743510_Копия_1"/>
      <w:bookmarkEnd w:id="38"/>
      <w:bookmarkEnd w:id="41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 xml:space="preserve"> Требования по срокам </w:t>
      </w:r>
      <w:r>
        <w:rPr>
          <w:rFonts w:ascii="Liberation Serif" w:hAnsi="Liberation Serif"/>
          <w:sz w:val="24"/>
          <w:szCs w:val="24"/>
          <w:lang w:val="ru-RU"/>
        </w:rPr>
        <w:t xml:space="preserve">оказания </w:t>
      </w:r>
      <w:r>
        <w:rPr>
          <w:rFonts w:ascii="Liberation Serif" w:hAnsi="Liberation Serif"/>
          <w:sz w:val="24"/>
          <w:szCs w:val="24"/>
        </w:rPr>
        <w:t>сопутствующих услуг</w:t>
      </w:r>
      <w:bookmarkEnd w:id="39"/>
      <w:bookmarkEnd w:id="40"/>
    </w:p>
    <w:tbl>
      <w:tblPr>
        <w:tblW w:w="991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132"/>
        <w:gridCol w:w="2268"/>
        <w:gridCol w:w="2551"/>
        <w:gridCol w:w="1843"/>
      </w:tblGrid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8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отсутствуют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42" w:name="__RefHeading___Toc17184_3680773314"/>
      <w:bookmarkStart w:id="43" w:name="_Toc51339698"/>
      <w:bookmarkStart w:id="44" w:name="_Toc75446581"/>
      <w:bookmarkStart w:id="45" w:name="_Toc46743511"/>
      <w:bookmarkEnd w:id="42"/>
      <w:r>
        <w:rPr>
          <w:rFonts w:ascii="Liberation Serif" w:hAnsi="Liberation Serif"/>
        </w:rPr>
        <w:t xml:space="preserve">Требования к </w:t>
      </w:r>
      <w:bookmarkEnd w:id="45"/>
      <w:r>
        <w:rPr>
          <w:rFonts w:ascii="Liberation Serif" w:hAnsi="Liberation Serif"/>
          <w:lang w:val="ru-RU"/>
        </w:rPr>
        <w:t>качеству продукции</w:t>
      </w:r>
      <w:bookmarkEnd w:id="44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46" w:name="__RefHeading___Toc17186_3680773314"/>
      <w:bookmarkEnd w:id="46"/>
      <w:r>
        <w:rPr>
          <w:rFonts w:ascii="Liberation Serif" w:hAnsi="Liberation Serif"/>
          <w:sz w:val="24"/>
          <w:szCs w:val="24"/>
        </w:rPr>
        <w:t xml:space="preserve"> </w:t>
      </w:r>
      <w:bookmarkStart w:id="47" w:name="_Toc75446582"/>
      <w:r>
        <w:rPr>
          <w:rFonts w:ascii="Liberation Serif" w:hAnsi="Liberation Serif"/>
          <w:sz w:val="24"/>
          <w:szCs w:val="24"/>
        </w:rPr>
        <w:t>Таблица </w:t>
      </w:r>
      <w:r>
        <w:rPr>
          <w:rFonts w:ascii="Liberation Serif" w:hAnsi="Liberation Serif"/>
          <w:sz w:val="24"/>
          <w:szCs w:val="24"/>
          <w:lang w:val="ru-RU"/>
        </w:rPr>
        <w:t>3</w:t>
      </w:r>
      <w:r>
        <w:rPr>
          <w:rFonts w:ascii="Liberation Serif" w:hAnsi="Liberation Serif"/>
          <w:sz w:val="24"/>
          <w:szCs w:val="24"/>
        </w:rPr>
        <w:t xml:space="preserve">. Требования к </w:t>
      </w:r>
      <w:r>
        <w:rPr>
          <w:rFonts w:ascii="Liberation Serif" w:hAnsi="Liberation Serif"/>
          <w:sz w:val="24"/>
          <w:szCs w:val="24"/>
          <w:lang w:val="ru-RU"/>
        </w:rPr>
        <w:t>качеству продукции</w:t>
      </w:r>
      <w:bookmarkEnd w:id="47"/>
      <w:r>
        <w:rPr>
          <w:rFonts w:ascii="Liberation Serif" w:hAnsi="Liberation Serif"/>
          <w:sz w:val="24"/>
          <w:szCs w:val="24"/>
        </w:rPr>
        <w:t xml:space="preserve"> </w:t>
      </w:r>
      <w:bookmarkEnd w:id="43"/>
    </w:p>
    <w:p>
      <w:pPr>
        <w:pStyle w:val="Normal"/>
        <w:rPr/>
      </w:pPr>
      <w:r>
        <w:rPr>
          <w:rStyle w:val="Style8"/>
          <w:rFonts w:ascii="Liberation Serif" w:hAnsi="Liberation Serif"/>
          <w:b w:val="false"/>
        </w:rPr>
        <w:t xml:space="preserve"> </w:t>
      </w:r>
    </w:p>
    <w:p>
      <w:pPr>
        <w:pStyle w:val="Normal"/>
        <w:jc w:val="both"/>
        <w:rPr>
          <w:rFonts w:ascii="Liberation Serif" w:hAnsi="Liberation Serif"/>
          <w:b/>
          <w:bCs/>
          <w:i/>
          <w:i/>
          <w:iCs/>
          <w:sz w:val="24"/>
          <w:szCs w:val="24"/>
        </w:rPr>
      </w:pPr>
      <w:r>
        <w:rPr>
          <w:rFonts w:ascii="Liberation Serif" w:hAnsi="Liberation Serif"/>
          <w:b/>
          <w:bCs/>
          <w:i/>
          <w:iCs/>
          <w:sz w:val="24"/>
          <w:szCs w:val="24"/>
        </w:rPr>
        <w:t>Наименование продукции - Многофункциональный автомобиль МКМ с КМУ Hotomi Auger Ls 1036 на шасси Камаз 43118</w:t>
      </w:r>
    </w:p>
    <w:p>
      <w:pPr>
        <w:pStyle w:val="Normal"/>
        <w:jc w:val="both"/>
        <w:rPr/>
      </w:pPr>
      <w:r>
        <w:rPr/>
      </w:r>
    </w:p>
    <w:tbl>
      <w:tblPr>
        <w:tblW w:w="15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609"/>
        <w:gridCol w:w="4536"/>
        <w:gridCol w:w="1974"/>
        <w:gridCol w:w="3406"/>
        <w:gridCol w:w="1929"/>
      </w:tblGrid>
      <w:tr>
        <w:trPr>
          <w:trHeight w:val="23" w:hRule="atLeast"/>
        </w:trPr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№</w:t>
            </w:r>
            <w:r>
              <w:rPr>
                <w:rFonts w:eastAsia="Times New Roman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Наименование параметра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bookmarkStart w:id="48" w:name="_Hlk51251235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Требование заказчика</w:t>
            </w:r>
            <w:bookmarkEnd w:id="48"/>
          </w:p>
        </w:tc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bookmarkStart w:id="49" w:name="_Hlk51253264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подтверждающего документа или иной способ подтверждения</w:t>
            </w:r>
            <w:bookmarkEnd w:id="49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Cs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году выпуска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Не ранее 202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7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984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новизне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Новая - под новым следует понимать автотехнику, которая не была в употреблении, не проходила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Наименование транспортного средства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  <w:t>Указать наименование в соответствии с ПТС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Производитель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  <w:t>Указать производителя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Категория ТС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«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С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Полная масса ТС, кг. не более: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39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Двигатель, мощность л.с. не менее: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изельный,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400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л.с. экологический класс не ниже Евро-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Механическая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девятиступенчатая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РК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Механическая, с прямой и низшей передачами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Рулевое управление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Гидроусилитель руля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Колесная формула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6*6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Шины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шины пневматические, с регулированием давления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425/85R21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Кабина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Цельнометаллическая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со спальником,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кресла оборудованы ремнями безопасности,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Число мест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, включая место водителя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Система отопления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отопителя кабины, работающи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й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от системы охлаждения двигателя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и дополнительный автономный воздушный отопитель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Северное климатическое исполнение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шасси транспортного средства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Утепление кабины по всему контуру, выполняется теплоизоляционным материалом;</w:t>
            </w:r>
          </w:p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Подогрев топлива - осуществляется за счет тепла, отводимого охлаждающей жидкостью от  ДВС; </w:t>
            </w:r>
          </w:p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Замена пластиковых трубок тормозной системы и системы питания на медные;</w:t>
            </w:r>
          </w:p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Установка комплекса подогрева топливопроводов (подача/обратка) -  ленточный подогрев топливных трубок;</w:t>
            </w:r>
          </w:p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Предпусковой подогреватель двигателя;</w:t>
            </w:r>
          </w:p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Установка подогрева фильтров тонкой и грубой очистки топлива;</w:t>
            </w:r>
          </w:p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Утепление моторного отсека.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Северное климатическое исполнение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рабочего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оборудования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Применение морозостойких РВД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; </w:t>
            </w:r>
          </w:p>
          <w:p>
            <w:pPr>
              <w:pStyle w:val="Style40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Применение в гидросистеме морозостойкого гидравлического масла с индексом вязкости при 40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  <w:vertAlign w:val="superscript"/>
              </w:rPr>
              <w:t>0</w:t>
            </w:r>
            <w:r>
              <w:rPr>
                <w:rFonts w:cs="Times New Roman" w:ascii="Liberation Serif" w:hAnsi="Liberation Serif"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 xml:space="preserve"> С не более 22 мм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cs="Times New Roman" w:ascii="Liberation Serif" w:hAnsi="Liberation Serif"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>/с и температурой застывания не выше  - 50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  <w:vertAlign w:val="superscript"/>
              </w:rPr>
              <w:t>0</w:t>
            </w:r>
            <w:r>
              <w:rPr>
                <w:rFonts w:cs="Times New Roman" w:ascii="Liberation Serif" w:hAnsi="Liberation Serif"/>
                <w:color w:val="000000"/>
                <w:position w:val="0"/>
                <w:sz w:val="20"/>
                <w:sz w:val="20"/>
                <w:szCs w:val="20"/>
                <w:vertAlign w:val="baseline"/>
              </w:rPr>
              <w:t>С.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Конструктивное исполнение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 xml:space="preserve">Рабочее оборудование </w:t>
            </w:r>
            <w:r>
              <w:rPr>
                <w:rFonts w:cs="Times New Roman"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МКМ</w:t>
            </w:r>
            <w:r>
              <w:rPr>
                <w:rFonts w:cs="Times New Roman"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 xml:space="preserve"> должно быть установлено стационарно, последовательно за кабиной водителя  перед грузовой платформой.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Тип стрелы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 xml:space="preserve">Телескопическая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Высота подъёма, м. не менее: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17 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Максимальный вылет, м., не менее: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Угол поворота, град., не менее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Г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рузоподъемность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крановой установки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,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не менее,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 тонн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Грузовой момент, т/м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Грузоподъёмность люльки, кг. не менее: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Максимальное количество человек в люльке, на менее: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Изоляция люльки, вольт, не менее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Max, крутящий момент на вращателе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буровой установки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,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не менее, Нм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</w:t>
            </w: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Max, радиус (рабочая зона) бурения,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не менее, м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Max, рабочий радиус 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буровой установки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,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не менее, м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Глубина бурения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не менее, м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Диаметр шнека не менее, мм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Буровой инструмент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Телескопический шнек, бур конусный лопастной с резцами РБЦ-38 не менее 9 шт.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Гидравлические опоры (аутригеры), шт.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Тип привода вращения бурильного инструмента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Гидравлический с реверсом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Размещение электропроводки и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рукавов высокого давления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Внутри стрелы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либо  проложены в защитных лотках сбоку секций стрелы или в электро-гидравлическом барабане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Управление 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рабочим оборудованием</w:t>
            </w: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, шт.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Электрогидравлическо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е либо гидравлическое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, Наличие в люльке кнопки аварийной остановки ДВС, звукового сигнала.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Рабочее место оператора: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Кабина оператора с автономным отопител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ем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Требования к приборам безопасности подъёмника: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1) ограничитель предельного груза (ОПГ);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2) анемометр;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ориентации пола люльки в горизонтальном положении во всей зоне обслуживания; при этом угол наклона пола люльки не должен превышать 5°;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блокировки подъема и поворота колен при не выставленном на опоры подъемнике;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блокировки подъема опор при рабочем положении стрелы;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аварийного опускания люльки при отказе гидросистемы, электропривода или привода гидронасоса;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устройство, предохраняющим выносные опоры подъемника от самопроизвольного выдвижения (поворота) во время движения подъемника;</w:t>
            </w:r>
          </w:p>
          <w:p>
            <w:pPr>
              <w:pStyle w:val="Normal"/>
              <w:tabs>
                <w:tab w:val="clear" w:pos="708"/>
                <w:tab w:val="left" w:pos="295" w:leader="none"/>
              </w:tabs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</w:t>
            </w:r>
            <w:r>
              <w:rPr>
                <w:rFonts w:ascii="Liberation Serif" w:hAnsi="Liberation Serif"/>
                <w:sz w:val="20"/>
                <w:szCs w:val="20"/>
              </w:rPr>
              <w:t>) устройство (указатель) угла наклона подъемника.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Температурный режим эксплуатации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от -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0°С до +40°С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1.4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Опции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Пульт дистанционного управления ,люлька.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2"/>
              <w:widowControl w:val="false"/>
              <w:bidi w:val="0"/>
              <w:spacing w:before="0" w:after="0"/>
              <w:ind w:left="0" w:right="0" w:hanging="0"/>
              <w:contextualSpacing w:val="false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безопасности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Требования безопасности ТС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2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bidi w:val="0"/>
              <w:snapToGrid w:val="false"/>
              <w:spacing w:before="0" w:after="0"/>
              <w:ind w:left="0" w:right="0" w:hanging="0"/>
              <w:contextualSpacing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Соответствие требованиям технического регламента Таможенного союза ТР ТС 010/2011 «О безопасности машин и оборудования»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Предоставить сертификат о соответствии требованиям ТР ТС 010/2011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Устройство в</w:t>
            </w:r>
            <w:r>
              <w:rPr>
                <w:rFonts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ызова экстренных оперативных служб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2"/>
              <w:widowControl w:val="false"/>
              <w:tabs>
                <w:tab w:val="clear" w:pos="708"/>
                <w:tab w:val="left" w:pos="461" w:leader="none"/>
              </w:tabs>
              <w:bidi w:val="0"/>
              <w:snapToGrid w:val="false"/>
              <w:spacing w:before="0" w:after="0"/>
              <w:ind w:left="0" w:right="0" w:hanging="0"/>
              <w:contextualSpacing w:val="false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Устройство ЭВ «ЭРА ГЛОНАСС»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 w:val="false"/>
                <w:bCs w:val="false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>Приборы безопасности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bidi w:val="0"/>
              <w:snapToGrid w:val="false"/>
              <w:spacing w:before="0" w:after="0"/>
              <w:ind w:left="0" w:right="0" w:hanging="0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Обязательное наличие, с указанием марки приборов.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45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31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left"/>
              <w:rPr/>
            </w:pPr>
            <w:r>
              <w:rPr>
                <w:rStyle w:val="Style16"/>
                <w:rFonts w:ascii="Liberation Serif" w:hAnsi="Liberation Serif"/>
                <w:vanish w:val="false"/>
                <w:color w:val="000000"/>
                <w:sz w:val="20"/>
                <w:szCs w:val="20"/>
              </w:rPr>
              <w:t>Поставка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both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>Доставка ж/д транспортом, автотранспортом. Не допускается доставка своим ходом.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Место поставки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Республика Саха (Якутия) г. Алдан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гарантиям, гарантийному и послегарантийному обслуживанию 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Гарантия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 менее 24 месяцев. С момента поставки товара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Указать срок гарантии на предлагаемую продукцию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  <w:lang w:val="en-US"/>
              </w:rPr>
              <w:t>5.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происхождению поставляемой продукции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 соответствии с Постановлением Правительства РФ от 23.12.2024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Все заявки на участие в закупке, содержащие предложение о поставке товара, происходящего из иностранного государства, в отношении которого установлен запрет подлежат отклонению.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продукции,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 или номер реестровой записи из евразийского реестра промышленных товаров государств - членов Евразийского экономического союза, содержащей в том числе: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  <w:lang w:val="en-US"/>
              </w:rPr>
              <w:t>6.</w:t>
            </w:r>
          </w:p>
        </w:tc>
        <w:tc>
          <w:tcPr>
            <w:tcW w:w="1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ЗИП согласно комплектации завода-изготовителя;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Противотуманные фары;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Домкрат 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шоферского инструмента;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Счетчик моточасов работы установки;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Прожектор на стрелу;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Огнетушитель ОП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2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(3) -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Знак аварийной остановки-2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Противооткатные упоры - 2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Аптечка первой помощи автомобильная 1 шт.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Дополнительная 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Транспортное средство в соответствии с требованиями Приказов Минтранса России от 13.02.2013г. № 36 и от 21.08.2013г. № 273 должно быть оборудовано техническим средством контроля, обеспечивающего непрерывную, некорректируемую регистрацию информации о скорости и маршруте движения транспортного средства, о режиме труда и отдыха водителя (тахографом).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Утеплитель передка – 1 шт.;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Шприц рычажно-плунжерный – 1 шт.;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Ключ для регулировки подшипников ступиц колес–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головок торцевых ½” (8-32) с воротком, трещоткой и удлинителями - 1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ключей, комбинированных (8-32) – 1 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Видеорегистратор — техническое средство, работающее в автоматическом режиме, с поддержкой функций фото-, видеофиксации, для обеспечения контроля за дорожным движением. Конструктивно не ограничивающее  обзора дорожной ситуации при установке регистратора на ветровое стекло с учетом требований ПДД РФ. Имеющее возможность расширения внутренней памяти по средствам установки карты памяти типа MicroSD — 1шт.;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Карта памяти  типа MicroSD объемом не менее 64 Gb — 1 шт.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Буровые резцы РБЦ-38 — 100 шт.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 применяемых фильтрующих элементов для проведения 1 и 2 ТО ТС (топливные, масляные, воздушные).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 применяемых фильтрующих элементов для проведения 1 и 2 ТО  установки гидроподъемника.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Необходимое наличие комплекта документов при поставке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1)</w:t>
              <w:tab/>
              <w:t>заверенная поставщиком копия выписки из электронного паспорта транспортного средства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2)</w:t>
              <w:tab/>
              <w:t>руководство (инструкция) по эксплуатации ;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3)</w:t>
              <w:tab/>
              <w:t xml:space="preserve">паспорт на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кму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для регистрации в органах Ростехнадзора;</w:t>
            </w:r>
          </w:p>
          <w:p>
            <w:pPr>
              <w:pStyle w:val="BodyTextIndent"/>
              <w:widowControl w:val="false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4) паспорта и руководства по эксплуатации приборов и устройств безопасности.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5) каталог сборочных единиц.</w:t>
            </w:r>
          </w:p>
          <w:p>
            <w:pPr>
              <w:pStyle w:val="Normal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6) сервисная книжка.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Next w:val="true"/>
        <w:keepLines/>
        <w:widowControl/>
        <w:numPr>
          <w:ilvl w:val="0"/>
          <w:numId w:val="0"/>
        </w:numPr>
        <w:tabs>
          <w:tab w:val="clear" w:pos="708"/>
          <w:tab w:val="left" w:pos="632" w:leader="none"/>
          <w:tab w:val="left" w:pos="1134" w:leader="none"/>
        </w:tabs>
        <w:bidi w:val="0"/>
        <w:spacing w:lineRule="auto" w:line="240" w:before="0" w:after="0"/>
        <w:ind w:left="567" w:right="0" w:hanging="0"/>
        <w:contextualSpacing/>
        <w:jc w:val="left"/>
        <w:rPr>
          <w:rFonts w:ascii="Liberation Serif" w:hAnsi="Liberation Serif"/>
        </w:rPr>
      </w:pPr>
      <w:bookmarkStart w:id="50" w:name="__RefHeading___Toc17188_3680773314"/>
      <w:bookmarkEnd w:id="50"/>
      <w:r>
        <w:rPr>
          <w:rFonts w:ascii="Liberation Serif" w:hAnsi="Liberation Serif"/>
          <w:sz w:val="22"/>
          <w:szCs w:val="22"/>
          <w:lang w:val="ru-RU"/>
        </w:rPr>
        <w:t xml:space="preserve">3. </w:t>
      </w:r>
      <w:bookmarkStart w:id="51" w:name="_Toc75446583"/>
      <w:bookmarkStart w:id="52" w:name="_Toc53393312"/>
      <w:r>
        <w:rPr>
          <w:rFonts w:ascii="Liberation Serif" w:hAnsi="Liberation Serif"/>
          <w:sz w:val="22"/>
          <w:szCs w:val="22"/>
          <w:lang w:val="ru-RU"/>
        </w:rPr>
        <w:t>Требования к документации по ценообразованию</w:t>
      </w:r>
      <w:bookmarkEnd w:id="52"/>
      <w:r>
        <w:rPr>
          <w:rFonts w:ascii="Liberation Serif" w:hAnsi="Liberation Serif"/>
          <w:sz w:val="22"/>
          <w:szCs w:val="22"/>
          <w:lang w:val="ru-RU"/>
        </w:rPr>
        <w:t xml:space="preserve"> на этапе закупки</w:t>
      </w:r>
      <w:bookmarkEnd w:id="51"/>
    </w:p>
    <w:p>
      <w:pPr>
        <w:pStyle w:val="Normal"/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2"/>
          <w:szCs w:val="22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sz w:val="22"/>
          <w:szCs w:val="22"/>
          <w:lang w:val="ru-RU"/>
        </w:rPr>
        <w:t>3.2.</w:t>
      </w:r>
      <w:r>
        <w:rPr>
          <w:rFonts w:ascii="Liberation Serif" w:hAnsi="Liberation Serif"/>
          <w:sz w:val="22"/>
          <w:szCs w:val="22"/>
          <w:lang w:val="ru-RU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4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2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yle15">
    <w:name w:val="Основной шрифт абзаца"/>
    <w:qFormat/>
    <w:rPr/>
  </w:style>
  <w:style w:type="character" w:styleId="Style16">
    <w:name w:val="Знак примечания"/>
    <w:qFormat/>
    <w:rPr>
      <w:sz w:val="16"/>
      <w:szCs w:val="16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1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2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3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4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5">
    <w:name w:val="Раздел регламента"/>
    <w:basedOn w:val="Normal"/>
    <w:qFormat/>
    <w:pPr/>
    <w:rPr/>
  </w:style>
  <w:style w:type="paragraph" w:styleId="Style26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7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8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0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2">
    <w:name w:val="Подподпункт"/>
    <w:basedOn w:val="Style24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3">
    <w:name w:val="УРОВЕНЬ_(а)"/>
    <w:basedOn w:val="ListParagraph"/>
    <w:qFormat/>
    <w:pPr>
      <w:numPr>
        <w:ilvl w:val="3"/>
        <w:numId w:val="5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5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>
    <w:name w:val="УРОВЕНЬ_Подпись"/>
    <w:basedOn w:val="ListParagraph"/>
    <w:qFormat/>
    <w:pPr>
      <w:keepNext w:val="true"/>
      <w:numPr>
        <w:ilvl w:val="5"/>
        <w:numId w:val="5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6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36">
    <w:name w:val="Содержимое врезки"/>
    <w:basedOn w:val="Normal"/>
    <w:qFormat/>
    <w:pPr/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Нумерованный список"/>
    <w:basedOn w:val="Normal"/>
    <w:qFormat/>
    <w:pPr>
      <w:widowControl/>
      <w:spacing w:lineRule="auto" w:line="360" w:before="60" w:after="0"/>
      <w:jc w:val="both"/>
    </w:pPr>
    <w:rPr>
      <w:sz w:val="28"/>
      <w:szCs w:val="24"/>
    </w:rPr>
  </w:style>
  <w:style w:type="paragraph" w:styleId="Style39">
    <w:name w:val="Заголовок таблицы"/>
    <w:basedOn w:val="Style37"/>
    <w:qFormat/>
    <w:pPr>
      <w:suppressLineNumbers/>
      <w:jc w:val="center"/>
    </w:pPr>
    <w:rPr>
      <w:b/>
      <w:bCs/>
    </w:rPr>
  </w:style>
  <w:style w:type="paragraph" w:styleId="Style40">
    <w:name w:val="Обычный (веб)"/>
    <w:basedOn w:val="Normal"/>
    <w:qFormat/>
    <w:pPr>
      <w:spacing w:before="280" w:after="280"/>
    </w:pPr>
    <w:rPr>
      <w:rFonts w:ascii="Verdana" w:hAnsi="Verdana" w:eastAsia="Arial Unicode MS" w:cs="Arial Unicode MS"/>
      <w:color w:val="333333"/>
      <w:sz w:val="16"/>
      <w:szCs w:val="16"/>
    </w:rPr>
  </w:style>
  <w:style w:type="paragraph" w:styleId="Style41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42">
    <w:name w:val="Абзац списка"/>
    <w:basedOn w:val="Normal"/>
    <w:qFormat/>
    <w:pPr>
      <w:spacing w:before="0" w:after="0"/>
      <w:ind w:left="720" w:right="0" w:hanging="0"/>
      <w:contextualSpacing/>
    </w:pPr>
    <w:rPr>
      <w:rFonts w:eastAsia="Calibri"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1455</TotalTime>
  <Application>AlterOffice/2025.3.1.0$Linux_X86_64 LibreOffice_project/431cd1b79110582f53535c95ed0a2449aadc8bf9</Application>
  <AppVersion>15.0000</AppVersion>
  <Pages>13</Pages>
  <Words>1835</Words>
  <Characters>12382</Characters>
  <CharactersWithSpaces>13839</CharactersWithSpaces>
  <Paragraphs>412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lapukhin_an</cp:lastModifiedBy>
  <cp:lastPrinted>2025-10-21T20:05:46Z</cp:lastPrinted>
  <dcterms:modified xsi:type="dcterms:W3CDTF">2026-08-19T09:46:29Z</dcterms:modified>
  <cp:revision>53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