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header8.xml" ContentType="application/vnd.openxmlformats-officedocument.wordprocessingml.header+xml"/>
  <Override PartName="/word/header7.xml" ContentType="application/vnd.openxmlformats-officedocument.wordprocessingml.header+xml"/>
  <Override PartName="/word/header4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header5.xml" ContentType="application/vnd.openxmlformats-officedocument.wordprocessingml.header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keepNext w:val="true"/>
        <w:keepLines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</w:r>
    </w:p>
    <w:p>
      <w:pPr>
        <w:pStyle w:val="Normal"/>
        <w:keepNext w:val="true"/>
        <w:keepLines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</w:r>
    </w:p>
    <w:p>
      <w:pPr>
        <w:pStyle w:val="Normal"/>
        <w:keepNext w:val="true"/>
        <w:keepLines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</w:r>
    </w:p>
    <w:p>
      <w:pPr>
        <w:pStyle w:val="Normal"/>
        <w:keepNext w:val="true"/>
        <w:keepLines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</w:r>
    </w:p>
    <w:p>
      <w:pPr>
        <w:pStyle w:val="Normal"/>
        <w:keepNext w:val="true"/>
        <w:keepLines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</w:r>
    </w:p>
    <w:p>
      <w:pPr>
        <w:pStyle w:val="Normal"/>
        <w:keepNext w:val="true"/>
        <w:keepLines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</w:r>
    </w:p>
    <w:p>
      <w:pPr>
        <w:pStyle w:val="Normal"/>
        <w:keepNext w:val="true"/>
        <w:keepLines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</w:r>
    </w:p>
    <w:p>
      <w:pPr>
        <w:pStyle w:val="Normal"/>
        <w:keepNext w:val="true"/>
        <w:keepLines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</w:r>
    </w:p>
    <w:p>
      <w:pPr>
        <w:pStyle w:val="Normal"/>
        <w:keepNext w:val="true"/>
        <w:keepLines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</w:r>
    </w:p>
    <w:p>
      <w:pPr>
        <w:pStyle w:val="Normal"/>
        <w:keepNext w:val="true"/>
        <w:keepLines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ascii="Liberation Serif" w:hAnsi="Liberation Serif"/>
        </w:rPr>
      </w:pPr>
      <w:r>
        <w:rPr>
          <w:rFonts w:eastAsia="Calibri" w:ascii="Liberation Serif" w:hAnsi="Liberation Serif"/>
          <w:b/>
          <w:sz w:val="26"/>
          <w:szCs w:val="26"/>
        </w:rPr>
        <w:t>Технические требования на поставку МТР</w:t>
      </w:r>
    </w:p>
    <w:p>
      <w:pPr>
        <w:pStyle w:val="Normal"/>
        <w:keepNext w:val="true"/>
        <w:keepLines/>
        <w:jc w:val="center"/>
        <w:rPr>
          <w:rFonts w:ascii="Liberation Serif" w:hAnsi="Liberation Serif" w:eastAsia="Calibri"/>
          <w:b/>
          <w:sz w:val="26"/>
          <w:szCs w:val="26"/>
        </w:rPr>
      </w:pPr>
      <w:r>
        <w:rPr>
          <w:rFonts w:eastAsia="Calibri" w:ascii="Liberation Serif" w:hAnsi="Liberation Serif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ascii="Liberation Serif" w:hAnsi="Liberation Serif" w:eastAsia="Calibri"/>
          <w:b/>
          <w:sz w:val="26"/>
          <w:szCs w:val="26"/>
        </w:rPr>
      </w:pPr>
      <w:r>
        <w:rPr>
          <w:rFonts w:eastAsia="Calibri" w:ascii="Liberation Serif" w:hAnsi="Liberation Serif"/>
          <w:b/>
          <w:sz w:val="26"/>
          <w:szCs w:val="26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center"/>
        <w:rPr/>
      </w:pPr>
      <w:r>
        <w:rPr>
          <w:rStyle w:val="Style15"/>
          <w:rFonts w:eastAsia="Calibri" w:ascii="Liberation Serif" w:hAnsi="Liberation Serif"/>
          <w:b/>
          <w:bCs/>
          <w:i/>
          <w:iCs/>
          <w:color w:val="000000"/>
          <w:sz w:val="26"/>
          <w:szCs w:val="26"/>
        </w:rPr>
        <w:t>ОКПД2 29.10.59.</w:t>
      </w:r>
      <w:r>
        <w:rPr>
          <w:rStyle w:val="Style15"/>
          <w:rFonts w:eastAsia="Calibri" w:ascii="Liberation Serif" w:hAnsi="Liberation Serif"/>
          <w:b/>
          <w:bCs/>
          <w:i/>
          <w:iCs/>
          <w:color w:val="000000"/>
          <w:sz w:val="26"/>
          <w:szCs w:val="26"/>
        </w:rPr>
        <w:t>270</w:t>
      </w:r>
      <w:r>
        <w:rPr>
          <w:rStyle w:val="Style15"/>
          <w:rFonts w:eastAsia="Calibri" w:ascii="Liberation Serif" w:hAnsi="Liberation Serif"/>
          <w:b/>
          <w:bCs/>
          <w:i/>
          <w:iCs/>
          <w:color w:val="000000"/>
          <w:sz w:val="26"/>
          <w:szCs w:val="26"/>
        </w:rPr>
        <w:t xml:space="preserve"> Поставка автогидроподъемника с высотой подъема люльки не </w:t>
      </w:r>
      <w:r>
        <w:rPr>
          <w:rStyle w:val="Style15"/>
          <w:rFonts w:eastAsia="Calibri" w:ascii="Liberation Serif" w:hAnsi="Liberation Serif"/>
          <w:b/>
          <w:bCs/>
          <w:i/>
          <w:iCs/>
          <w:color w:val="000000"/>
          <w:sz w:val="26"/>
          <w:szCs w:val="26"/>
        </w:rPr>
        <w:t xml:space="preserve">менее </w:t>
      </w:r>
      <w:r>
        <w:rPr>
          <w:rStyle w:val="Style15"/>
          <w:rFonts w:eastAsia="Calibri" w:ascii="Liberation Serif" w:hAnsi="Liberation Serif"/>
          <w:b/>
          <w:bCs/>
          <w:i/>
          <w:iCs/>
          <w:color w:val="000000"/>
          <w:sz w:val="26"/>
          <w:szCs w:val="26"/>
        </w:rPr>
        <w:t>20</w:t>
      </w:r>
      <w:r>
        <w:rPr>
          <w:rStyle w:val="Style15"/>
          <w:rFonts w:eastAsia="Calibri" w:ascii="Liberation Serif" w:hAnsi="Liberation Serif"/>
          <w:b/>
          <w:bCs/>
          <w:i/>
          <w:iCs/>
          <w:color w:val="000000"/>
          <w:sz w:val="26"/>
          <w:szCs w:val="26"/>
        </w:rPr>
        <w:t xml:space="preserve"> м для филиала АО "ДРСК" "Южно-Якутские электрические сети" (г. Алдан) в рамках исполнения инвестиционного проекта </w:t>
      </w:r>
    </w:p>
    <w:p>
      <w:pPr>
        <w:pStyle w:val="Normal"/>
        <w:keepNext w:val="true"/>
        <w:keepLines/>
        <w:jc w:val="center"/>
        <w:rPr>
          <w:rFonts w:ascii="Liberation Serif" w:hAnsi="Liberation Serif" w:eastAsia="Calibri"/>
          <w:b/>
          <w:i/>
          <w:i/>
          <w:sz w:val="26"/>
          <w:szCs w:val="26"/>
        </w:rPr>
      </w:pPr>
      <w:r>
        <w:rPr>
          <w:rFonts w:eastAsia="Calibri" w:ascii="Liberation Serif" w:hAnsi="Liberation Serif"/>
          <w:b/>
          <w:i/>
          <w:sz w:val="26"/>
          <w:szCs w:val="26"/>
        </w:rPr>
      </w:r>
    </w:p>
    <w:p>
      <w:pPr>
        <w:pStyle w:val="Normal"/>
        <w:keepNext w:val="true"/>
        <w:keepLines/>
        <w:jc w:val="both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</w:r>
    </w:p>
    <w:p>
      <w:pPr>
        <w:pStyle w:val="Normal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</w:r>
      <w:r>
        <w:br w:type="page"/>
      </w:r>
    </w:p>
    <w:p>
      <w:pPr>
        <w:pStyle w:val="Normal"/>
        <w:jc w:val="center"/>
        <w:rPr>
          <w:rFonts w:ascii="Liberation Serif" w:hAnsi="Liberation Serif"/>
        </w:rPr>
      </w:pPr>
      <w:r>
        <w:rPr>
          <w:rFonts w:ascii="Liberation Serif" w:hAnsi="Liberation Serif"/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r>
            <w:fldChar w:fldCharType="begin"/>
          </w:r>
          <w:r>
            <w:rPr>
              <w:rStyle w:val="Style14"/>
            </w:rPr>
            <w:instrText xml:space="preserve"> TOC \o "1-4" \h</w:instrText>
          </w:r>
          <w:r>
            <w:rPr>
              <w:rStyle w:val="Style14"/>
            </w:rPr>
            <w:fldChar w:fldCharType="separate"/>
          </w:r>
          <w:hyperlink w:anchor="__RefHeading___Toc17158_3680773314">
            <w:r>
              <w:rPr>
                <w:rStyle w:val="Style14"/>
              </w:rPr>
              <w:t>1. Общие сведения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17160_3680773314">
            <w:r>
              <w:rPr>
                <w:rStyle w:val="Style14"/>
              </w:rPr>
              <w:t>1.1. Обозначения и сокращения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17162_3680773314">
            <w:r>
              <w:rPr>
                <w:rStyle w:val="Style14"/>
              </w:rPr>
              <w:t>1.2. Наименование закупаемой продукции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17164_3680773314">
            <w:r>
              <w:rPr>
                <w:rStyle w:val="Style14"/>
              </w:rPr>
              <w:t>1.3. Цель использования закупаемой продукции:</w:t>
              <w:tab/>
              <w:t>3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17168_3680773314">
            <w:r>
              <w:rPr>
                <w:rStyle w:val="Style14"/>
              </w:rPr>
              <w:t>2. Требования к продукции</w:t>
              <w:tab/>
              <w:t>4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17170_3680773314">
            <w:r>
              <w:rPr>
                <w:rStyle w:val="Style14"/>
              </w:rPr>
              <w:t>2.1. Требования к объемам и срокам поставки</w:t>
              <w:tab/>
              <w:t>4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17172_3680773314">
            <w:r>
              <w:rPr>
                <w:rStyle w:val="Style14"/>
              </w:rPr>
              <w:t>2.1.1. Перечень и объем закупаемой продукции</w:t>
              <w:tab/>
              <w:t>4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17174_3680773314">
            <w:r>
              <w:rPr>
                <w:rStyle w:val="Style14"/>
              </w:rPr>
              <w:t>Таблица 1.1 Перечень и объем закупаемой продукции</w:t>
              <w:tab/>
              <w:t>4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17176_3680773314">
            <w:r>
              <w:rPr>
                <w:rStyle w:val="Style14"/>
              </w:rPr>
              <w:t>Таблица 1.2 Перечень и объем закупаемых сопутствующих услуг</w:t>
              <w:tab/>
              <w:t>4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17178_3680773314">
            <w:r>
              <w:rPr>
                <w:rStyle w:val="Style14"/>
              </w:rPr>
              <w:t>2.1.2. Требования к срокам поставки продукции и оказания сопутствующих услуг</w:t>
              <w:tab/>
              <w:t>4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17180_3680773314">
            <w:r>
              <w:rPr>
                <w:rStyle w:val="Style14"/>
              </w:rPr>
              <w:t>Таблица 2.1 Требования по срокам поставки продукции</w:t>
              <w:tab/>
              <w:t>4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17182_3680773314">
            <w:r>
              <w:rPr>
                <w:rStyle w:val="Style14"/>
              </w:rPr>
              <w:t>Таблица 2.2 Требования по срокам оказания сопутствующих услуг</w:t>
              <w:tab/>
              <w:t>5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17184_3680773314">
            <w:r>
              <w:rPr>
                <w:rStyle w:val="Style14"/>
              </w:rPr>
              <w:t>2.2. Требования к качеству продукции</w:t>
              <w:tab/>
              <w:t>6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17186_3680773314">
            <w:r>
              <w:rPr>
                <w:rStyle w:val="Style14"/>
              </w:rPr>
              <w:t xml:space="preserve"> </w:t>
            </w:r>
            <w:r>
              <w:rPr>
                <w:rStyle w:val="Style14"/>
              </w:rPr>
              <w:t>Таблица 3. Требования к качеству продукции</w:t>
              <w:tab/>
              <w:t>6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17188_3680773314">
            <w:r>
              <w:rPr>
                <w:rStyle w:val="Style14"/>
              </w:rPr>
              <w:t>3. Требования к документации по ценообразованию на этапе закупки</w:t>
              <w:tab/>
              <w:t>11</w:t>
            </w:r>
          </w:hyperlink>
          <w:r>
            <w:rPr>
              <w:rStyle w:val="Style14"/>
            </w:rPr>
            <w:fldChar w:fldCharType="end"/>
          </w:r>
        </w:p>
      </w:sdtContent>
    </w:sdt>
    <w:p>
      <w:pPr>
        <w:pStyle w:val="TOC1"/>
        <w:tabs>
          <w:tab w:val="clear" w:pos="708"/>
          <w:tab w:val="left" w:pos="560" w:leader="none"/>
          <w:tab w:val="right" w:pos="9911" w:leader="dot"/>
        </w:tabs>
        <w:rPr>
          <w:rFonts w:ascii="Liberation Serif" w:hAnsi="Liberation Serif"/>
          <w:vanish w:val="false"/>
        </w:rPr>
      </w:pPr>
      <w:r>
        <w:rPr>
          <w:rFonts w:ascii="Liberation Serif" w:hAnsi="Liberation Serif"/>
          <w:vanish w:val="false"/>
        </w:rPr>
      </w:r>
    </w:p>
    <w:p>
      <w:pPr>
        <w:pStyle w:val="Heading2"/>
        <w:numPr>
          <w:ilvl w:val="0"/>
          <w:numId w:val="0"/>
        </w:numPr>
        <w:ind w:left="0" w:right="0" w:hanging="0"/>
        <w:rPr>
          <w:rFonts w:ascii="Liberation Serif" w:hAnsi="Liberation Serif"/>
          <w:b w:val="false"/>
          <w:i/>
          <w:i/>
        </w:rPr>
      </w:pPr>
      <w:r>
        <w:rPr>
          <w:rFonts w:ascii="Liberation Serif" w:hAnsi="Liberation Serif"/>
          <w:b w:val="false"/>
          <w:i/>
        </w:rPr>
      </w:r>
    </w:p>
    <w:p>
      <w:pPr>
        <w:pStyle w:val="Normal"/>
        <w:keepNext w:val="true"/>
        <w:keepLines/>
        <w:jc w:val="center"/>
        <w:rPr>
          <w:rFonts w:ascii="Liberation Serif" w:hAnsi="Liberation Serif" w:eastAsia="Calibri"/>
          <w:b/>
          <w:i/>
          <w:i/>
          <w:sz w:val="24"/>
          <w:szCs w:val="24"/>
        </w:rPr>
      </w:pPr>
      <w:r>
        <w:rPr>
          <w:rFonts w:eastAsia="Calibri" w:ascii="Liberation Serif" w:hAnsi="Liberation Serif"/>
          <w:b/>
          <w:i/>
          <w:sz w:val="24"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4"/>
        </w:numPr>
        <w:ind w:left="357" w:right="0" w:hanging="357"/>
        <w:jc w:val="center"/>
        <w:rPr>
          <w:rFonts w:ascii="Liberation Serif" w:hAnsi="Liberation Serif"/>
        </w:rPr>
      </w:pPr>
      <w:bookmarkStart w:id="0" w:name="__RefHeading___Toc17158_3680773314"/>
      <w:bookmarkStart w:id="1" w:name="_Toc75446566"/>
      <w:bookmarkStart w:id="2" w:name="_Toc51339692"/>
      <w:bookmarkEnd w:id="0"/>
      <w:r>
        <w:rPr>
          <w:rFonts w:ascii="Liberation Serif" w:hAnsi="Liberation Serif"/>
          <w:lang w:val="ru-RU"/>
        </w:rPr>
        <w:t>Общие сведения</w:t>
      </w:r>
      <w:bookmarkEnd w:id="1"/>
      <w:bookmarkEnd w:id="2"/>
    </w:p>
    <w:p>
      <w:pPr>
        <w:pStyle w:val="Heading4"/>
        <w:numPr>
          <w:ilvl w:val="1"/>
          <w:numId w:val="4"/>
        </w:numPr>
        <w:rPr>
          <w:rFonts w:ascii="Liberation Serif" w:hAnsi="Liberation Serif"/>
        </w:rPr>
      </w:pPr>
      <w:bookmarkStart w:id="3" w:name="__RefHeading___Toc17160_3680773314"/>
      <w:bookmarkStart w:id="4" w:name="_Toc75446567"/>
      <w:bookmarkStart w:id="5" w:name="_Toc46743505"/>
      <w:bookmarkEnd w:id="3"/>
      <w:r>
        <w:rPr>
          <w:rFonts w:ascii="Liberation Serif" w:hAnsi="Liberation Serif"/>
        </w:rPr>
        <w:t>Обозначения и сокращения</w:t>
      </w:r>
      <w:bookmarkEnd w:id="4"/>
      <w:bookmarkEnd w:id="5"/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5"/>
        <w:gridCol w:w="7998"/>
      </w:tblGrid>
      <w:tr>
        <w:trPr>
          <w:trHeight w:val="218" w:hRule="atLeast"/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/>
                <w:bCs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bCs/>
                <w:color w:val="000000"/>
                <w:sz w:val="20"/>
                <w:szCs w:val="20"/>
              </w:rPr>
              <w:t>ТС</w:t>
            </w:r>
          </w:p>
        </w:tc>
        <w:tc>
          <w:tcPr>
            <w:tcW w:w="7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/>
                <w:bCs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bCs/>
                <w:color w:val="000000"/>
                <w:sz w:val="20"/>
                <w:szCs w:val="20"/>
              </w:rPr>
              <w:t>Транспортное средство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/>
                <w:bCs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bCs/>
                <w:color w:val="000000"/>
                <w:sz w:val="20"/>
                <w:szCs w:val="20"/>
              </w:rPr>
              <w:t>ЗИП</w:t>
            </w:r>
          </w:p>
        </w:tc>
        <w:tc>
          <w:tcPr>
            <w:tcW w:w="7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/>
                <w:bCs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bCs/>
                <w:color w:val="000000"/>
                <w:sz w:val="20"/>
                <w:szCs w:val="20"/>
              </w:rPr>
              <w:t>Запасные части, инструменты и принадлежности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/>
                <w:bCs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bCs/>
                <w:color w:val="000000"/>
                <w:sz w:val="20"/>
                <w:szCs w:val="20"/>
              </w:rPr>
              <w:t>КПП</w:t>
            </w:r>
          </w:p>
        </w:tc>
        <w:tc>
          <w:tcPr>
            <w:tcW w:w="7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/>
                <w:bCs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bCs/>
                <w:color w:val="000000"/>
                <w:sz w:val="20"/>
                <w:szCs w:val="20"/>
              </w:rPr>
              <w:t>Коробка перемены передач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/>
                <w:bCs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bCs/>
                <w:color w:val="000000"/>
                <w:sz w:val="20"/>
                <w:szCs w:val="20"/>
              </w:rPr>
              <w:t>РК</w:t>
            </w:r>
          </w:p>
        </w:tc>
        <w:tc>
          <w:tcPr>
            <w:tcW w:w="7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/>
                <w:bCs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bCs/>
                <w:color w:val="000000"/>
                <w:sz w:val="20"/>
                <w:szCs w:val="20"/>
              </w:rPr>
              <w:t>Раздаточная коробка</w:t>
            </w:r>
          </w:p>
        </w:tc>
      </w:tr>
    </w:tbl>
    <w:p>
      <w:pPr>
        <w:pStyle w:val="Normal"/>
        <w:keepNext w:val="true"/>
        <w:keepLines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Heading4"/>
        <w:numPr>
          <w:ilvl w:val="1"/>
          <w:numId w:val="4"/>
        </w:numPr>
        <w:rPr>
          <w:rFonts w:ascii="Liberation Serif" w:hAnsi="Liberation Serif"/>
        </w:rPr>
      </w:pPr>
      <w:bookmarkStart w:id="6" w:name="__RefHeading___Toc17162_3680773314"/>
      <w:bookmarkEnd w:id="6"/>
      <w:r>
        <w:rPr>
          <w:rFonts w:ascii="Liberation Serif" w:hAnsi="Liberation Serif"/>
        </w:rPr>
        <w:t>Н</w:t>
      </w:r>
      <w:bookmarkStart w:id="7" w:name="_Toc75446568"/>
      <w:bookmarkStart w:id="8" w:name="_Toc46743506"/>
      <w:r>
        <w:rPr>
          <w:rFonts w:ascii="Liberation Serif" w:hAnsi="Liberation Serif"/>
        </w:rPr>
        <w:t>аименование закупаемой продукции</w:t>
      </w:r>
      <w:bookmarkEnd w:id="7"/>
      <w:bookmarkEnd w:id="8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Fonts w:ascii="Liberation Serif" w:hAnsi="Liberation Serif"/>
          <w:i w:val="false"/>
          <w:i w:val="false"/>
          <w:iCs w:val="false"/>
        </w:rPr>
      </w:pPr>
      <w:r>
        <w:rPr>
          <w:rFonts w:eastAsia="Calibri" w:ascii="Liberation Serif" w:hAnsi="Liberation Serif"/>
          <w:i w:val="false"/>
          <w:iCs w:val="false"/>
          <w:sz w:val="24"/>
          <w:szCs w:val="24"/>
          <w:lang w:eastAsia="x-none"/>
        </w:rPr>
        <w:t xml:space="preserve">Поставка автогидроподъемника с высотой подъема люльки не </w:t>
      </w:r>
      <w:r>
        <w:rPr>
          <w:rFonts w:eastAsia="Calibri" w:ascii="Liberation Serif" w:hAnsi="Liberation Serif"/>
          <w:i w:val="false"/>
          <w:iCs w:val="false"/>
          <w:sz w:val="24"/>
          <w:szCs w:val="24"/>
          <w:lang w:eastAsia="x-none"/>
        </w:rPr>
        <w:t xml:space="preserve">менее </w:t>
      </w:r>
      <w:r>
        <w:rPr>
          <w:rFonts w:eastAsia="Calibri" w:ascii="Liberation Serif" w:hAnsi="Liberation Serif"/>
          <w:i w:val="false"/>
          <w:iCs w:val="false"/>
          <w:sz w:val="24"/>
          <w:szCs w:val="24"/>
          <w:lang w:eastAsia="x-none"/>
        </w:rPr>
        <w:t>20</w:t>
      </w:r>
      <w:r>
        <w:rPr>
          <w:rFonts w:eastAsia="Calibri" w:ascii="Liberation Serif" w:hAnsi="Liberation Serif"/>
          <w:i w:val="false"/>
          <w:iCs w:val="false"/>
          <w:sz w:val="24"/>
          <w:szCs w:val="24"/>
          <w:lang w:eastAsia="x-none"/>
        </w:rPr>
        <w:t xml:space="preserve"> м. для филиала АО "ДРСК" "Южно-Якутские электрические сети» (г. Алдан)</w:t>
      </w:r>
    </w:p>
    <w:p>
      <w:pPr>
        <w:pStyle w:val="Heading4"/>
        <w:numPr>
          <w:ilvl w:val="1"/>
          <w:numId w:val="4"/>
        </w:numPr>
        <w:spacing w:before="240" w:after="60"/>
        <w:ind w:left="431" w:right="0" w:hanging="431"/>
        <w:rPr>
          <w:rFonts w:ascii="Liberation Serif" w:hAnsi="Liberation Serif"/>
        </w:rPr>
      </w:pPr>
      <w:bookmarkStart w:id="9" w:name="__RefHeading___Toc17164_3680773314"/>
      <w:bookmarkStart w:id="10" w:name="_Toc75446569"/>
      <w:bookmarkStart w:id="11" w:name="_Toc46743507"/>
      <w:bookmarkEnd w:id="9"/>
      <w:r>
        <w:rPr>
          <w:rFonts w:ascii="Liberation Serif" w:hAnsi="Liberation Serif"/>
        </w:rPr>
        <w:t xml:space="preserve">Цель </w:t>
      </w:r>
      <w:bookmarkEnd w:id="11"/>
      <w:r>
        <w:rPr>
          <w:rFonts w:ascii="Liberation Serif" w:hAnsi="Liberation Serif"/>
          <w:lang w:val="ru-RU"/>
        </w:rPr>
        <w:t xml:space="preserve">использования закупаемой продукции: </w:t>
      </w:r>
      <w:bookmarkEnd w:id="10"/>
    </w:p>
    <w:p>
      <w:pPr>
        <w:sectPr>
          <w:headerReference w:type="default" r:id="rId2"/>
          <w:headerReference w:type="first" r:id="rId3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  <w:pStyle w:val="BodyText"/>
        <w:rPr>
          <w:rFonts w:ascii="Liberation Serif" w:hAnsi="Liberation Serif"/>
          <w:sz w:val="24"/>
          <w:szCs w:val="24"/>
        </w:rPr>
      </w:pPr>
      <w:bookmarkStart w:id="12" w:name="__RefHeading___Toc17166_3680773314"/>
      <w:bookmarkEnd w:id="12"/>
      <w:r>
        <w:rPr>
          <w:rFonts w:ascii="Liberation Serif" w:hAnsi="Liberation Serif"/>
          <w:sz w:val="24"/>
          <w:szCs w:val="24"/>
        </w:rPr>
        <w:t>Подъем и перемещение людей, инструмента и материалов на заданную высоту для проведения ремонтных и профилактических работ</w:t>
      </w:r>
    </w:p>
    <w:p>
      <w:pPr>
        <w:pStyle w:val="Normal"/>
        <w:ind w:left="432" w:right="0" w:hanging="0"/>
        <w:rPr>
          <w:rFonts w:ascii="Liberation Serif" w:hAnsi="Liberation Serif"/>
          <w:b w:val="false"/>
          <w:bCs/>
          <w:sz w:val="24"/>
          <w:szCs w:val="24"/>
          <w:lang w:val="ru-RU"/>
        </w:rPr>
      </w:pPr>
      <w:r>
        <w:rPr>
          <w:rFonts w:ascii="Liberation Serif" w:hAnsi="Liberation Serif"/>
          <w:b w:val="false"/>
          <w:bCs/>
          <w:sz w:val="24"/>
          <w:szCs w:val="24"/>
          <w:lang w:val="ru-RU"/>
        </w:rPr>
      </w:r>
      <w:bookmarkStart w:id="13" w:name="_Toc46743510"/>
      <w:bookmarkStart w:id="14" w:name="_Toc50125126"/>
      <w:bookmarkStart w:id="15" w:name="_Toc46743510"/>
      <w:bookmarkStart w:id="16" w:name="_Toc50125126"/>
      <w:bookmarkEnd w:id="15"/>
      <w:bookmarkEnd w:id="16"/>
    </w:p>
    <w:p>
      <w:pPr>
        <w:pStyle w:val="Heading1"/>
        <w:keepLines/>
        <w:numPr>
          <w:ilvl w:val="0"/>
          <w:numId w:val="4"/>
        </w:numPr>
        <w:ind w:left="357" w:right="0" w:hanging="357"/>
        <w:jc w:val="center"/>
        <w:rPr>
          <w:rFonts w:ascii="Liberation Serif" w:hAnsi="Liberation Serif"/>
        </w:rPr>
      </w:pPr>
      <w:bookmarkStart w:id="17" w:name="__RefHeading___Toc17168_3680773314"/>
      <w:bookmarkStart w:id="18" w:name="_Toc75446573"/>
      <w:bookmarkStart w:id="19" w:name="_Toc51339693"/>
      <w:bookmarkEnd w:id="17"/>
      <w:r>
        <w:rPr>
          <w:rFonts w:ascii="Liberation Serif" w:hAnsi="Liberation Serif"/>
          <w:iCs/>
        </w:rPr>
        <w:t>Требования к продукции</w:t>
      </w:r>
      <w:bookmarkEnd w:id="18"/>
      <w:bookmarkEnd w:id="19"/>
    </w:p>
    <w:p>
      <w:pPr>
        <w:pStyle w:val="Heading4"/>
        <w:numPr>
          <w:ilvl w:val="1"/>
          <w:numId w:val="4"/>
        </w:numPr>
        <w:rPr>
          <w:rFonts w:ascii="Liberation Serif" w:hAnsi="Liberation Serif"/>
        </w:rPr>
      </w:pPr>
      <w:bookmarkStart w:id="20" w:name="__RefHeading___Toc17170_3680773314"/>
      <w:bookmarkStart w:id="21" w:name="_Toc75446574"/>
      <w:bookmarkEnd w:id="20"/>
      <w:r>
        <w:rPr>
          <w:rFonts w:ascii="Liberation Serif" w:hAnsi="Liberation Serif"/>
        </w:rPr>
        <w:t xml:space="preserve">Требования к объемам и срокам </w:t>
      </w:r>
      <w:r>
        <w:rPr>
          <w:rFonts w:ascii="Liberation Serif" w:hAnsi="Liberation Serif"/>
          <w:lang w:val="ru-RU"/>
        </w:rPr>
        <w:t>поставки</w:t>
      </w:r>
      <w:bookmarkEnd w:id="21"/>
    </w:p>
    <w:p>
      <w:pPr>
        <w:pStyle w:val="Heading3"/>
        <w:numPr>
          <w:ilvl w:val="2"/>
          <w:numId w:val="4"/>
        </w:numPr>
        <w:rPr>
          <w:rFonts w:ascii="Liberation Serif" w:hAnsi="Liberation Serif"/>
        </w:rPr>
      </w:pPr>
      <w:bookmarkStart w:id="22" w:name="__RefHeading___Toc17172_3680773314"/>
      <w:bookmarkStart w:id="23" w:name="_Toc75446575"/>
      <w:bookmarkEnd w:id="22"/>
      <w:r>
        <w:rPr>
          <w:rFonts w:ascii="Liberation Serif" w:hAnsi="Liberation Serif"/>
          <w:lang w:val="ru-RU"/>
        </w:rPr>
        <w:t>Перечень и объем закупаемой продукции</w:t>
      </w:r>
      <w:bookmarkEnd w:id="23"/>
    </w:p>
    <w:p>
      <w:pPr>
        <w:pStyle w:val="Heading1"/>
        <w:keepLines/>
        <w:numPr>
          <w:ilvl w:val="0"/>
          <w:numId w:val="0"/>
        </w:numPr>
        <w:spacing w:before="240" w:after="60"/>
        <w:ind w:left="0" w:right="0" w:hanging="0"/>
        <w:rPr>
          <w:rFonts w:ascii="Liberation Serif" w:hAnsi="Liberation Serif"/>
        </w:rPr>
      </w:pPr>
      <w:bookmarkStart w:id="24" w:name="__RefHeading___Toc17174_3680773314"/>
      <w:bookmarkStart w:id="25" w:name="_Toc75446576"/>
      <w:bookmarkStart w:id="26" w:name="_Toc51339695"/>
      <w:bookmarkEnd w:id="24"/>
      <w:r>
        <w:rPr>
          <w:rFonts w:ascii="Liberation Serif" w:hAnsi="Liberation Serif"/>
          <w:sz w:val="24"/>
          <w:szCs w:val="24"/>
        </w:rPr>
        <w:t xml:space="preserve">Таблица </w:t>
      </w:r>
      <w:r>
        <w:rPr>
          <w:rFonts w:ascii="Liberation Serif" w:hAnsi="Liberation Serif"/>
          <w:sz w:val="24"/>
          <w:szCs w:val="24"/>
          <w:lang w:val="ru-RU"/>
        </w:rPr>
        <w:t>1.1</w:t>
      </w:r>
      <w:r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  <w:lang w:val="ru-RU"/>
        </w:rPr>
        <w:t xml:space="preserve">Перечень </w:t>
      </w:r>
      <w:bookmarkEnd w:id="26"/>
      <w:r>
        <w:rPr>
          <w:rFonts w:ascii="Liberation Serif" w:hAnsi="Liberation Serif"/>
          <w:sz w:val="24"/>
          <w:szCs w:val="24"/>
          <w:lang w:val="ru-RU"/>
        </w:rPr>
        <w:t>и объем закупаемой продукции</w:t>
      </w:r>
      <w:bookmarkEnd w:id="25"/>
    </w:p>
    <w:p>
      <w:pPr>
        <w:pStyle w:val="Normal"/>
        <w:tabs>
          <w:tab w:val="clear" w:pos="708"/>
        </w:tabs>
        <w:ind w:left="-142" w:right="0" w:hanging="0"/>
        <w:rPr>
          <w:rFonts w:ascii="Liberation Serif" w:hAnsi="Liberation Serif"/>
          <w:b w:val="false"/>
          <w:bCs w:val="false"/>
          <w:sz w:val="24"/>
          <w:szCs w:val="24"/>
        </w:rPr>
      </w:pPr>
      <w:r>
        <w:rPr>
          <w:rFonts w:ascii="Liberation Serif" w:hAnsi="Liberation Serif"/>
          <w:b w:val="false"/>
          <w:bCs w:val="false"/>
          <w:sz w:val="24"/>
          <w:szCs w:val="24"/>
        </w:rPr>
      </w:r>
    </w:p>
    <w:tbl>
      <w:tblPr>
        <w:tblW w:w="10358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"/>
        <w:gridCol w:w="5956"/>
        <w:gridCol w:w="1482"/>
        <w:gridCol w:w="1927"/>
      </w:tblGrid>
      <w:tr>
        <w:trPr>
          <w:trHeight w:val="780" w:hRule="atLeast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№</w:t>
            </w:r>
          </w:p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5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Наименование продукции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Единица измерения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Количество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1</w:t>
            </w:r>
          </w:p>
        </w:tc>
        <w:tc>
          <w:tcPr>
            <w:tcW w:w="5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2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3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  <w:iCs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i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5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 w:eastAsia="Arial Unicode MS"/>
                <w:color w:val="000000"/>
                <w:sz w:val="24"/>
                <w:szCs w:val="24"/>
              </w:rPr>
            </w:pPr>
            <w:r>
              <w:rPr>
                <w:rFonts w:eastAsia="Arial Unicode MS" w:ascii="Liberation Serif" w:hAnsi="Liberation Serif"/>
                <w:color w:val="000000"/>
                <w:sz w:val="24"/>
                <w:szCs w:val="24"/>
              </w:rPr>
              <w:t xml:space="preserve">Автогидроподъемник с высотой подъема люльки не </w:t>
            </w:r>
            <w:r>
              <w:rPr>
                <w:rFonts w:eastAsia="Arial Unicode MS" w:ascii="Liberation Serif" w:hAnsi="Liberation Serif"/>
                <w:color w:val="000000"/>
                <w:sz w:val="24"/>
                <w:szCs w:val="24"/>
              </w:rPr>
              <w:t>менее</w:t>
            </w:r>
            <w:r>
              <w:rPr>
                <w:rFonts w:eastAsia="Arial Unicode MS" w:ascii="Liberation Serif" w:hAnsi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Arial Unicode MS" w:ascii="Liberation Serif" w:hAnsi="Liberation Serif"/>
                <w:color w:val="000000"/>
                <w:sz w:val="24"/>
                <w:szCs w:val="24"/>
              </w:rPr>
              <w:t>20</w:t>
            </w:r>
            <w:r>
              <w:rPr>
                <w:rFonts w:eastAsia="Arial Unicode MS" w:ascii="Liberation Serif" w:hAnsi="Liberation Serif"/>
                <w:color w:val="000000"/>
                <w:sz w:val="24"/>
                <w:szCs w:val="24"/>
              </w:rPr>
              <w:t xml:space="preserve"> м.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  <w:iCs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iCs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  <w:iCs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iCs/>
                <w:color w:val="000000"/>
                <w:sz w:val="24"/>
                <w:szCs w:val="24"/>
              </w:rPr>
              <w:t>1</w:t>
            </w:r>
          </w:p>
        </w:tc>
      </w:tr>
    </w:tbl>
    <w:p>
      <w:pPr>
        <w:pStyle w:val="Normal"/>
        <w:tabs>
          <w:tab w:val="clear" w:pos="708"/>
        </w:tabs>
        <w:ind w:left="-142" w:right="0" w:hanging="0"/>
        <w:rPr>
          <w:rFonts w:ascii="Liberation Serif" w:hAnsi="Liberation Serif"/>
          <w:b w:val="false"/>
          <w:bCs/>
          <w:i/>
          <w:i/>
          <w:sz w:val="24"/>
          <w:szCs w:val="24"/>
          <w:shd w:fill="FFFF99" w:val="clear"/>
        </w:rPr>
      </w:pPr>
      <w:r>
        <w:rPr>
          <w:rFonts w:ascii="Liberation Serif" w:hAnsi="Liberation Serif"/>
          <w:b w:val="false"/>
          <w:bCs/>
          <w:i/>
          <w:sz w:val="24"/>
          <w:szCs w:val="24"/>
          <w:shd w:fill="FFFF99" w:val="clear"/>
        </w:rPr>
      </w:r>
    </w:p>
    <w:p>
      <w:pPr>
        <w:pStyle w:val="Heading1"/>
        <w:keepLines/>
        <w:numPr>
          <w:ilvl w:val="0"/>
          <w:numId w:val="0"/>
        </w:numPr>
        <w:spacing w:before="240" w:after="60"/>
        <w:ind w:left="0" w:right="0" w:hanging="0"/>
        <w:rPr>
          <w:rFonts w:ascii="Liberation Serif" w:hAnsi="Liberation Serif"/>
        </w:rPr>
      </w:pPr>
      <w:bookmarkStart w:id="27" w:name="__RefHeading___Toc17176_3680773314"/>
      <w:bookmarkStart w:id="28" w:name="_Toc75446577"/>
      <w:bookmarkEnd w:id="27"/>
      <w:r>
        <w:rPr>
          <w:rFonts w:ascii="Liberation Serif" w:hAnsi="Liberation Serif"/>
          <w:sz w:val="24"/>
          <w:szCs w:val="24"/>
        </w:rPr>
        <w:t xml:space="preserve">Таблица </w:t>
      </w:r>
      <w:r>
        <w:rPr>
          <w:rFonts w:ascii="Liberation Serif" w:hAnsi="Liberation Serif"/>
          <w:sz w:val="24"/>
          <w:szCs w:val="24"/>
          <w:lang w:val="ru-RU"/>
        </w:rPr>
        <w:t>1.2</w:t>
      </w:r>
      <w:r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  <w:lang w:val="ru-RU"/>
        </w:rPr>
        <w:t>Перечень и объем закупаемых сопутствующих услуг</w:t>
      </w:r>
      <w:bookmarkEnd w:id="28"/>
    </w:p>
    <w:tbl>
      <w:tblPr>
        <w:tblW w:w="10136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9"/>
        <w:gridCol w:w="5386"/>
        <w:gridCol w:w="1189"/>
        <w:gridCol w:w="2712"/>
      </w:tblGrid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п/п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Наименование услуг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Единица измерения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2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3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/>
            </w:pPr>
            <w:r>
              <w:rPr>
                <w:rStyle w:val="Style8"/>
                <w:rFonts w:ascii="Liberation Serif" w:hAnsi="Liberation Serif"/>
                <w:b w:val="false"/>
                <w:bCs/>
                <w:i/>
                <w:iCs/>
                <w:color w:val="000000"/>
                <w:sz w:val="24"/>
                <w:szCs w:val="24"/>
                <w:shd w:fill="auto" w:val="clear"/>
                <w:lang w:val="ru-RU"/>
              </w:rPr>
              <w:t>Необходимость в сопутствующих</w:t>
            </w:r>
            <w:r>
              <w:rPr>
                <w:rStyle w:val="Style8"/>
                <w:rFonts w:ascii="Liberation Serif" w:hAnsi="Liberation Serif"/>
                <w:b w:val="false"/>
                <w:bCs/>
                <w:i/>
                <w:iCs/>
                <w:color w:val="000000"/>
                <w:sz w:val="24"/>
                <w:szCs w:val="24"/>
                <w:shd w:fill="auto" w:val="clear"/>
                <w:lang w:val="en-US"/>
              </w:rPr>
              <w:t xml:space="preserve"> </w:t>
            </w:r>
            <w:r>
              <w:rPr>
                <w:rStyle w:val="Style8"/>
                <w:rFonts w:ascii="Liberation Serif" w:hAnsi="Liberation Serif"/>
                <w:b w:val="false"/>
                <w:bCs/>
                <w:i/>
                <w:iCs/>
                <w:color w:val="000000"/>
                <w:sz w:val="24"/>
                <w:szCs w:val="24"/>
                <w:shd w:fill="auto" w:val="clear"/>
                <w:lang w:val="ru-RU"/>
              </w:rPr>
              <w:t>услугах отсутствует</w:t>
            </w:r>
            <w:r>
              <w:rPr>
                <w:rStyle w:val="Style8"/>
                <w:rFonts w:ascii="Liberation Serif" w:hAnsi="Liberation Serif"/>
                <w:b w:val="false"/>
                <w:bCs/>
                <w:i/>
                <w:iCs/>
                <w:color w:val="000000"/>
                <w:sz w:val="24"/>
                <w:szCs w:val="24"/>
                <w:shd w:fill="auto" w:val="clear"/>
                <w:lang w:val="en-US"/>
              </w:rPr>
              <w:t xml:space="preserve"> 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  <w:i/>
                <w:i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sz w:val="24"/>
                <w:szCs w:val="24"/>
              </w:rPr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  <w:i/>
                <w:i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sz w:val="24"/>
                <w:szCs w:val="24"/>
              </w:rPr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left="0" w:right="0" w:firstLine="142"/>
        <w:rPr>
          <w:rFonts w:ascii="Liberation Serif" w:hAnsi="Liberation Serif"/>
          <w:bCs/>
          <w:i/>
          <w:i/>
          <w:sz w:val="24"/>
          <w:szCs w:val="24"/>
          <w:shd w:fill="FFFF99" w:val="clear"/>
        </w:rPr>
      </w:pPr>
      <w:r>
        <w:rPr>
          <w:rFonts w:ascii="Liberation Serif" w:hAnsi="Liberation Serif"/>
          <w:bCs/>
          <w:i/>
          <w:sz w:val="24"/>
          <w:szCs w:val="24"/>
          <w:shd w:fill="FFFF99" w:val="clear"/>
        </w:rPr>
      </w:r>
    </w:p>
    <w:p>
      <w:pPr>
        <w:pStyle w:val="Heading3"/>
        <w:numPr>
          <w:ilvl w:val="2"/>
          <w:numId w:val="4"/>
        </w:numPr>
        <w:rPr>
          <w:rFonts w:ascii="Liberation Serif" w:hAnsi="Liberation Serif"/>
        </w:rPr>
      </w:pPr>
      <w:bookmarkStart w:id="29" w:name="__RefHeading___Toc17178_3680773314"/>
      <w:bookmarkStart w:id="30" w:name="_Toc75446578"/>
      <w:bookmarkStart w:id="31" w:name="_Toc51339696"/>
      <w:bookmarkEnd w:id="29"/>
      <w:r>
        <w:rPr>
          <w:rFonts w:ascii="Liberation Serif" w:hAnsi="Liberation Serif"/>
          <w:lang w:val="ru-RU"/>
        </w:rPr>
        <w:t xml:space="preserve">Требования </w:t>
      </w:r>
      <w:bookmarkEnd w:id="31"/>
      <w:r>
        <w:rPr>
          <w:rFonts w:ascii="Liberation Serif" w:hAnsi="Liberation Serif"/>
          <w:lang w:val="ru-RU"/>
        </w:rPr>
        <w:t>к срокам поставки продукции и оказания сопутствующих услуг</w:t>
      </w:r>
      <w:bookmarkEnd w:id="30"/>
    </w:p>
    <w:p>
      <w:pPr>
        <w:pStyle w:val="Heading1"/>
        <w:keepLines/>
        <w:numPr>
          <w:ilvl w:val="0"/>
          <w:numId w:val="0"/>
        </w:numPr>
        <w:spacing w:before="240" w:after="60"/>
        <w:ind w:left="0" w:right="0" w:hanging="0"/>
        <w:rPr>
          <w:rFonts w:ascii="Liberation Serif" w:hAnsi="Liberation Serif"/>
        </w:rPr>
      </w:pPr>
      <w:bookmarkStart w:id="32" w:name="__RefHeading___Toc17180_3680773314"/>
      <w:bookmarkStart w:id="33" w:name="_Toc75446579"/>
      <w:bookmarkStart w:id="34" w:name="_Toc50125127"/>
      <w:bookmarkStart w:id="35" w:name="_Toc51339697"/>
      <w:bookmarkStart w:id="36" w:name="_Toc50125126_Копия_1"/>
      <w:bookmarkEnd w:id="32"/>
      <w:bookmarkEnd w:id="36"/>
      <w:r>
        <w:rPr>
          <w:rFonts w:ascii="Liberation Serif" w:hAnsi="Liberation Serif"/>
          <w:sz w:val="24"/>
          <w:szCs w:val="24"/>
        </w:rPr>
        <w:t xml:space="preserve">Таблица </w:t>
      </w:r>
      <w:r>
        <w:rPr>
          <w:rFonts w:ascii="Liberation Serif" w:hAnsi="Liberation Serif"/>
          <w:sz w:val="24"/>
          <w:szCs w:val="24"/>
          <w:lang w:val="ru-RU"/>
        </w:rPr>
        <w:t>2</w:t>
      </w:r>
      <w:r>
        <w:rPr>
          <w:rFonts w:ascii="Liberation Serif" w:hAnsi="Liberation Serif"/>
          <w:sz w:val="24"/>
          <w:szCs w:val="24"/>
        </w:rPr>
        <w:t>.</w:t>
      </w:r>
      <w:r>
        <w:rPr>
          <w:rFonts w:ascii="Liberation Serif" w:hAnsi="Liberation Serif"/>
          <w:sz w:val="24"/>
          <w:szCs w:val="24"/>
          <w:lang w:val="ru-RU"/>
        </w:rPr>
        <w:t>1</w:t>
      </w:r>
      <w:r>
        <w:rPr>
          <w:rFonts w:ascii="Liberation Serif" w:hAnsi="Liberation Serif"/>
          <w:sz w:val="24"/>
          <w:szCs w:val="24"/>
        </w:rPr>
        <w:t xml:space="preserve"> </w:t>
      </w:r>
      <w:bookmarkStart w:id="37" w:name="_Hlk50465284"/>
      <w:r>
        <w:rPr>
          <w:rFonts w:ascii="Liberation Serif" w:hAnsi="Liberation Serif"/>
          <w:sz w:val="24"/>
          <w:szCs w:val="24"/>
        </w:rPr>
        <w:t xml:space="preserve">Требования по срокам </w:t>
      </w:r>
      <w:bookmarkEnd w:id="34"/>
      <w:bookmarkEnd w:id="35"/>
      <w:bookmarkEnd w:id="37"/>
      <w:r>
        <w:rPr>
          <w:rFonts w:ascii="Liberation Serif" w:hAnsi="Liberation Serif"/>
          <w:sz w:val="24"/>
          <w:szCs w:val="24"/>
          <w:lang w:val="ru-RU"/>
        </w:rPr>
        <w:t>поставки продукции</w:t>
      </w:r>
      <w:bookmarkEnd w:id="33"/>
      <w:r>
        <w:rPr>
          <w:rFonts w:ascii="Liberation Serif" w:hAnsi="Liberation Serif"/>
          <w:sz w:val="24"/>
          <w:szCs w:val="24"/>
          <w:lang w:val="ru-RU"/>
        </w:rPr>
        <w:t xml:space="preserve"> </w:t>
      </w:r>
    </w:p>
    <w:tbl>
      <w:tblPr>
        <w:tblW w:w="13768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3682"/>
        <w:gridCol w:w="3289"/>
        <w:gridCol w:w="5668"/>
      </w:tblGrid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№ </w:t>
            </w:r>
            <w:r>
              <w:rPr>
                <w:rFonts w:ascii="Liberation Serif" w:hAnsi="Liberation Serif"/>
                <w:sz w:val="24"/>
                <w:szCs w:val="24"/>
              </w:rPr>
              <w:t>п/п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1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2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keepNext w:val="false"/>
              <w:widowControl w:val="false"/>
              <w:spacing w:before="40" w:after="4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3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keepNext w:val="false"/>
              <w:widowControl w:val="false"/>
              <w:spacing w:before="40" w:after="4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rFonts w:ascii="Liberation Serif" w:hAnsi="Liberation Serif" w:eastAsia="Arial Unicode MS"/>
                <w:color w:val="000000"/>
                <w:sz w:val="22"/>
                <w:szCs w:val="22"/>
              </w:rPr>
            </w:pPr>
            <w:r>
              <w:rPr>
                <w:rStyle w:val="Style15"/>
                <w:rFonts w:eastAsia="Arial Unicode MS" w:ascii="Liberation Serif" w:hAnsi="Liberation Serif"/>
                <w:b w:val="false"/>
                <w:bCs w:val="false"/>
                <w:iCs/>
                <w:color w:val="000000"/>
                <w:sz w:val="24"/>
                <w:szCs w:val="24"/>
              </w:rPr>
              <w:t xml:space="preserve">Автогидроподъемник с высотой подъема люльки не </w:t>
            </w:r>
            <w:r>
              <w:rPr>
                <w:rStyle w:val="Style15"/>
                <w:rFonts w:eastAsia="Arial Unicode MS" w:ascii="Liberation Serif" w:hAnsi="Liberation Serif"/>
                <w:b w:val="false"/>
                <w:bCs w:val="false"/>
                <w:iCs/>
                <w:color w:val="000000"/>
                <w:sz w:val="24"/>
                <w:szCs w:val="24"/>
              </w:rPr>
              <w:t xml:space="preserve">менее </w:t>
            </w:r>
            <w:r>
              <w:rPr>
                <w:rStyle w:val="Style15"/>
                <w:rFonts w:eastAsia="Arial Unicode MS" w:ascii="Liberation Serif" w:hAnsi="Liberation Serif"/>
                <w:b w:val="false"/>
                <w:bCs w:val="false"/>
                <w:iCs/>
                <w:color w:val="000000"/>
                <w:sz w:val="24"/>
                <w:szCs w:val="24"/>
              </w:rPr>
              <w:t>20</w:t>
            </w:r>
            <w:r>
              <w:rPr>
                <w:rStyle w:val="Style15"/>
                <w:rFonts w:eastAsia="Arial Unicode MS" w:ascii="Liberation Serif" w:hAnsi="Liberation Serif"/>
                <w:b w:val="false"/>
                <w:bCs w:val="false"/>
                <w:iCs/>
                <w:color w:val="000000"/>
                <w:sz w:val="24"/>
                <w:szCs w:val="24"/>
              </w:rPr>
              <w:t xml:space="preserve"> м.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/>
                <w:iCs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iCs/>
                <w:color w:val="000000"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/>
                <w:iCs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iCs/>
                <w:color w:val="000000"/>
                <w:sz w:val="24"/>
                <w:szCs w:val="24"/>
              </w:rPr>
              <w:t>В</w:t>
            </w:r>
            <w:r>
              <w:rPr>
                <w:rFonts w:ascii="Liberation Serif" w:hAnsi="Liberation Serif"/>
                <w:iCs/>
                <w:color w:val="000000"/>
                <w:sz w:val="24"/>
                <w:szCs w:val="24"/>
              </w:rPr>
              <w:t xml:space="preserve"> течение </w:t>
            </w:r>
            <w:r>
              <w:rPr>
                <w:rFonts w:ascii="Liberation Serif" w:hAnsi="Liberation Serif"/>
                <w:iCs/>
                <w:color w:val="000000"/>
                <w:sz w:val="24"/>
                <w:szCs w:val="24"/>
              </w:rPr>
              <w:t>6</w:t>
            </w:r>
            <w:r>
              <w:rPr>
                <w:rFonts w:ascii="Liberation Serif" w:hAnsi="Liberation Serif"/>
                <w:iCs/>
                <w:color w:val="000000"/>
                <w:sz w:val="24"/>
                <w:szCs w:val="24"/>
              </w:rPr>
              <w:t>0 календарных дней с даты заключения договора</w:t>
            </w:r>
          </w:p>
        </w:tc>
      </w:tr>
    </w:tbl>
    <w:p>
      <w:pPr>
        <w:pStyle w:val="Heading1"/>
        <w:numPr>
          <w:ilvl w:val="0"/>
          <w:numId w:val="0"/>
        </w:numPr>
        <w:ind w:left="0" w:right="0" w:hanging="0"/>
        <w:rPr>
          <w:rFonts w:ascii="Liberation Serif" w:hAnsi="Liberation Serif"/>
        </w:rPr>
      </w:pPr>
      <w:bookmarkStart w:id="38" w:name="__RefHeading___Toc17182_3680773314"/>
      <w:bookmarkStart w:id="39" w:name="_Toc54785622"/>
      <w:bookmarkStart w:id="40" w:name="_Toc75446580"/>
      <w:bookmarkStart w:id="41" w:name="_Toc46743510_Копия_1"/>
      <w:bookmarkEnd w:id="38"/>
      <w:bookmarkEnd w:id="41"/>
      <w:r>
        <w:rPr>
          <w:rFonts w:ascii="Liberation Serif" w:hAnsi="Liberation Serif"/>
          <w:sz w:val="24"/>
          <w:szCs w:val="24"/>
        </w:rPr>
        <w:t xml:space="preserve">Таблица </w:t>
      </w:r>
      <w:r>
        <w:rPr>
          <w:rFonts w:ascii="Liberation Serif" w:hAnsi="Liberation Serif"/>
          <w:sz w:val="24"/>
          <w:szCs w:val="24"/>
          <w:lang w:val="ru-RU"/>
        </w:rPr>
        <w:t>2</w:t>
      </w:r>
      <w:r>
        <w:rPr>
          <w:rFonts w:ascii="Liberation Serif" w:hAnsi="Liberation Serif"/>
          <w:sz w:val="24"/>
          <w:szCs w:val="24"/>
        </w:rPr>
        <w:t>.</w:t>
      </w:r>
      <w:r>
        <w:rPr>
          <w:rFonts w:ascii="Liberation Serif" w:hAnsi="Liberation Serif"/>
          <w:sz w:val="24"/>
          <w:szCs w:val="24"/>
          <w:lang w:val="ru-RU"/>
        </w:rPr>
        <w:t>2</w:t>
      </w:r>
      <w:r>
        <w:rPr>
          <w:rFonts w:ascii="Liberation Serif" w:hAnsi="Liberation Serif"/>
          <w:sz w:val="24"/>
          <w:szCs w:val="24"/>
        </w:rPr>
        <w:t xml:space="preserve"> Требования по срокам </w:t>
      </w:r>
      <w:r>
        <w:rPr>
          <w:rFonts w:ascii="Liberation Serif" w:hAnsi="Liberation Serif"/>
          <w:sz w:val="24"/>
          <w:szCs w:val="24"/>
          <w:lang w:val="ru-RU"/>
        </w:rPr>
        <w:t xml:space="preserve">оказания </w:t>
      </w:r>
      <w:r>
        <w:rPr>
          <w:rFonts w:ascii="Liberation Serif" w:hAnsi="Liberation Serif"/>
          <w:sz w:val="24"/>
          <w:szCs w:val="24"/>
        </w:rPr>
        <w:t>сопутствующих услуг</w:t>
      </w:r>
      <w:bookmarkEnd w:id="39"/>
      <w:bookmarkEnd w:id="40"/>
    </w:p>
    <w:tbl>
      <w:tblPr>
        <w:tblW w:w="9918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4"/>
        <w:gridCol w:w="2132"/>
        <w:gridCol w:w="2268"/>
        <w:gridCol w:w="2551"/>
        <w:gridCol w:w="1843"/>
      </w:tblGrid>
      <w:tr>
        <w:trPr/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№ </w:t>
            </w:r>
            <w:r>
              <w:rPr>
                <w:rFonts w:ascii="Liberation Serif" w:hAnsi="Liberation Serif"/>
                <w:sz w:val="24"/>
                <w:szCs w:val="24"/>
              </w:rPr>
              <w:t>п/п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Наименование услуг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0"/>
              <w:keepNext w:val="false"/>
              <w:widowControl w:val="false"/>
              <w:spacing w:before="40" w:after="4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Требования к началу срока оказания услуг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0"/>
              <w:keepNext w:val="false"/>
              <w:widowControl w:val="false"/>
              <w:spacing w:before="40" w:after="4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Требования к окончанию срока оказания услуг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keepNext w:val="false"/>
              <w:widowControl w:val="false"/>
              <w:spacing w:before="40" w:after="4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Примечание</w:t>
            </w:r>
          </w:p>
        </w:tc>
      </w:tr>
      <w:tr>
        <w:trPr/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1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keepNext w:val="false"/>
              <w:widowControl w:val="false"/>
              <w:spacing w:before="40" w:after="4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keepNext w:val="false"/>
              <w:widowControl w:val="false"/>
              <w:spacing w:before="40" w:after="4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keepNext w:val="false"/>
              <w:widowControl w:val="false"/>
              <w:spacing w:before="40" w:after="4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/>
                <w:iCs/>
                <w:sz w:val="24"/>
                <w:szCs w:val="24"/>
              </w:rPr>
              <w:t>1.</w:t>
            </w:r>
          </w:p>
        </w:tc>
        <w:tc>
          <w:tcPr>
            <w:tcW w:w="87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/>
                <w:iCs/>
                <w:sz w:val="24"/>
                <w:szCs w:val="24"/>
              </w:rPr>
              <w:t>отсутствуют</w:t>
            </w:r>
          </w:p>
        </w:tc>
      </w:tr>
    </w:tbl>
    <w:p>
      <w:pPr>
        <w:sectPr>
          <w:headerReference w:type="default" r:id="rId4"/>
          <w:headerReference w:type="first" r:id="rId5"/>
          <w:type w:val="nextPage"/>
          <w:pgSz w:orient="landscape" w:w="16838" w:h="11906"/>
          <w:pgMar w:left="1134" w:right="1134" w:gutter="0" w:header="0" w:top="1134" w:footer="0" w:bottom="1134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Heading4"/>
        <w:numPr>
          <w:ilvl w:val="1"/>
          <w:numId w:val="4"/>
        </w:numPr>
        <w:rPr>
          <w:rFonts w:ascii="Liberation Serif" w:hAnsi="Liberation Serif"/>
        </w:rPr>
      </w:pPr>
      <w:bookmarkStart w:id="42" w:name="__RefHeading___Toc17184_3680773314"/>
      <w:bookmarkStart w:id="43" w:name="_Toc51339698"/>
      <w:bookmarkStart w:id="44" w:name="_Toc75446581"/>
      <w:bookmarkStart w:id="45" w:name="_Toc46743511"/>
      <w:bookmarkEnd w:id="42"/>
      <w:r>
        <w:rPr>
          <w:rFonts w:ascii="Liberation Serif" w:hAnsi="Liberation Serif"/>
        </w:rPr>
        <w:t xml:space="preserve">Требования к </w:t>
      </w:r>
      <w:bookmarkEnd w:id="45"/>
      <w:r>
        <w:rPr>
          <w:rFonts w:ascii="Liberation Serif" w:hAnsi="Liberation Serif"/>
          <w:lang w:val="ru-RU"/>
        </w:rPr>
        <w:t>качеству продукции</w:t>
      </w:r>
      <w:bookmarkEnd w:id="44"/>
    </w:p>
    <w:p>
      <w:pPr>
        <w:pStyle w:val="Heading1"/>
        <w:keepLines/>
        <w:numPr>
          <w:ilvl w:val="0"/>
          <w:numId w:val="0"/>
        </w:numPr>
        <w:spacing w:before="240" w:after="60"/>
        <w:ind w:left="0" w:right="0" w:hanging="0"/>
        <w:rPr>
          <w:rFonts w:ascii="Liberation Serif" w:hAnsi="Liberation Serif"/>
        </w:rPr>
      </w:pPr>
      <w:bookmarkStart w:id="46" w:name="__RefHeading___Toc17186_3680773314"/>
      <w:bookmarkEnd w:id="46"/>
      <w:r>
        <w:rPr>
          <w:rFonts w:ascii="Liberation Serif" w:hAnsi="Liberation Serif"/>
          <w:sz w:val="24"/>
          <w:szCs w:val="24"/>
        </w:rPr>
        <w:t xml:space="preserve"> </w:t>
      </w:r>
      <w:bookmarkStart w:id="47" w:name="_Toc75446582"/>
      <w:r>
        <w:rPr>
          <w:rFonts w:ascii="Liberation Serif" w:hAnsi="Liberation Serif"/>
          <w:sz w:val="24"/>
          <w:szCs w:val="24"/>
        </w:rPr>
        <w:t>Таблица </w:t>
      </w:r>
      <w:r>
        <w:rPr>
          <w:rFonts w:ascii="Liberation Serif" w:hAnsi="Liberation Serif"/>
          <w:sz w:val="24"/>
          <w:szCs w:val="24"/>
          <w:lang w:val="ru-RU"/>
        </w:rPr>
        <w:t>3</w:t>
      </w:r>
      <w:r>
        <w:rPr>
          <w:rFonts w:ascii="Liberation Serif" w:hAnsi="Liberation Serif"/>
          <w:sz w:val="24"/>
          <w:szCs w:val="24"/>
        </w:rPr>
        <w:t xml:space="preserve">. Требования к </w:t>
      </w:r>
      <w:r>
        <w:rPr>
          <w:rFonts w:ascii="Liberation Serif" w:hAnsi="Liberation Serif"/>
          <w:sz w:val="24"/>
          <w:szCs w:val="24"/>
          <w:lang w:val="ru-RU"/>
        </w:rPr>
        <w:t>качеству продукции</w:t>
      </w:r>
      <w:bookmarkEnd w:id="47"/>
      <w:r>
        <w:rPr>
          <w:rFonts w:ascii="Liberation Serif" w:hAnsi="Liberation Serif"/>
          <w:sz w:val="24"/>
          <w:szCs w:val="24"/>
        </w:rPr>
        <w:t xml:space="preserve"> </w:t>
      </w:r>
      <w:bookmarkEnd w:id="43"/>
    </w:p>
    <w:p>
      <w:pPr>
        <w:pStyle w:val="Normal"/>
        <w:rPr/>
      </w:pPr>
      <w:r>
        <w:rPr>
          <w:rStyle w:val="Style8"/>
          <w:rFonts w:ascii="Liberation Serif" w:hAnsi="Liberation Serif"/>
          <w:b w:val="false"/>
        </w:rPr>
        <w:t xml:space="preserve"> </w:t>
      </w:r>
    </w:p>
    <w:p>
      <w:pPr>
        <w:pStyle w:val="Normal"/>
        <w:jc w:val="both"/>
        <w:rPr/>
      </w:pPr>
      <w:r>
        <w:rPr>
          <w:rFonts w:ascii="Liberation Serif" w:hAnsi="Liberation Serif"/>
          <w:b/>
          <w:bCs/>
          <w:i/>
          <w:iCs/>
          <w:sz w:val="24"/>
          <w:szCs w:val="24"/>
        </w:rPr>
        <w:t xml:space="preserve">Наименование продукции - Автогидроподъемник с высотой подъема люльки не </w:t>
      </w:r>
      <w:r>
        <w:rPr>
          <w:rFonts w:ascii="Liberation Serif" w:hAnsi="Liberation Serif"/>
          <w:b/>
          <w:bCs/>
          <w:i/>
          <w:iCs/>
          <w:sz w:val="24"/>
          <w:szCs w:val="24"/>
        </w:rPr>
        <w:t xml:space="preserve">менее </w:t>
      </w:r>
      <w:r>
        <w:rPr>
          <w:rFonts w:ascii="Liberation Serif" w:hAnsi="Liberation Serif"/>
          <w:b/>
          <w:bCs/>
          <w:i/>
          <w:iCs/>
          <w:sz w:val="24"/>
          <w:szCs w:val="24"/>
        </w:rPr>
        <w:t>20</w:t>
      </w:r>
      <w:r>
        <w:rPr>
          <w:rFonts w:ascii="Liberation Serif" w:hAnsi="Liberation Serif"/>
          <w:b/>
          <w:bCs/>
          <w:i/>
          <w:iCs/>
          <w:sz w:val="24"/>
          <w:szCs w:val="24"/>
        </w:rPr>
        <w:t xml:space="preserve"> м.</w:t>
      </w:r>
      <w:r>
        <w:rPr>
          <w:rStyle w:val="Style8"/>
          <w:rFonts w:ascii="Liberation Serif" w:hAnsi="Liberation Serif"/>
          <w:b w:val="false"/>
          <w:iCs/>
          <w:sz w:val="24"/>
          <w:szCs w:val="24"/>
        </w:rPr>
        <w:t xml:space="preserve"> </w:t>
      </w:r>
    </w:p>
    <w:tbl>
      <w:tblPr>
        <w:tblW w:w="15246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2"/>
        <w:gridCol w:w="2609"/>
        <w:gridCol w:w="4536"/>
        <w:gridCol w:w="1974"/>
        <w:gridCol w:w="3406"/>
        <w:gridCol w:w="1929"/>
      </w:tblGrid>
      <w:tr>
        <w:trPr>
          <w:trHeight w:val="23" w:hRule="atLeast"/>
        </w:trPr>
        <w:tc>
          <w:tcPr>
            <w:tcW w:w="7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eastAsia="Calibri" w:ascii="Liberation Serif" w:hAnsi="Liberation Serif"/>
                <w:b/>
                <w:bCs/>
                <w:color w:val="000000"/>
                <w:sz w:val="20"/>
                <w:szCs w:val="20"/>
                <w:lang w:eastAsia="en-US"/>
              </w:rPr>
              <w:t>№</w:t>
            </w:r>
            <w:r>
              <w:rPr>
                <w:rFonts w:eastAsia="Times New Roman" w:ascii="Liberation Serif" w:hAnsi="Liberation Serif"/>
                <w:b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Calibri" w:ascii="Liberation Serif" w:hAnsi="Liberation Serif"/>
                <w:b/>
                <w:bCs/>
                <w:color w:val="000000"/>
                <w:sz w:val="20"/>
                <w:szCs w:val="20"/>
                <w:lang w:eastAsia="en-US"/>
              </w:rPr>
              <w:t>п/п</w:t>
            </w:r>
          </w:p>
        </w:tc>
        <w:tc>
          <w:tcPr>
            <w:tcW w:w="26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b/>
                <w:bCs/>
                <w:color w:val="000000"/>
                <w:sz w:val="20"/>
                <w:szCs w:val="20"/>
                <w:lang w:eastAsia="en-US"/>
              </w:rPr>
              <w:t>Наименование параметра</w:t>
            </w:r>
          </w:p>
        </w:tc>
        <w:tc>
          <w:tcPr>
            <w:tcW w:w="4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bookmarkStart w:id="48" w:name="_Hlk51251235"/>
            <w:r>
              <w:rPr>
                <w:rFonts w:eastAsia="Calibri" w:ascii="Liberation Serif" w:hAnsi="Liberation Serif"/>
                <w:b/>
                <w:bCs/>
                <w:color w:val="000000"/>
                <w:sz w:val="20"/>
                <w:szCs w:val="20"/>
                <w:lang w:eastAsia="en-US"/>
              </w:rPr>
              <w:t>Требование заказчика</w:t>
            </w:r>
            <w:bookmarkEnd w:id="48"/>
          </w:p>
        </w:tc>
        <w:tc>
          <w:tcPr>
            <w:tcW w:w="5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b/>
                <w:bCs/>
                <w:color w:val="000000"/>
                <w:sz w:val="20"/>
                <w:szCs w:val="20"/>
                <w:lang w:eastAsia="en-US"/>
              </w:rPr>
              <w:t>Способ подтверждения участником соответствия требованиям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b/>
                <w:bCs/>
                <w:color w:val="000000"/>
                <w:sz w:val="20"/>
                <w:szCs w:val="20"/>
                <w:lang w:eastAsia="en-US"/>
              </w:rPr>
              <w:t>Предложение участника по характеристикам и параметрам</w:t>
            </w:r>
          </w:p>
        </w:tc>
      </w:tr>
      <w:tr>
        <w:trPr>
          <w:trHeight w:val="23" w:hRule="atLeast"/>
        </w:trPr>
        <w:tc>
          <w:tcPr>
            <w:tcW w:w="7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6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5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b/>
                <w:bCs/>
                <w:color w:val="000000"/>
                <w:sz w:val="20"/>
                <w:szCs w:val="20"/>
                <w:lang w:eastAsia="en-US"/>
              </w:rPr>
              <w:t>Согласие с требованием / указание характеристик</w:t>
            </w:r>
          </w:p>
          <w:p>
            <w:pPr>
              <w:pStyle w:val="Normal"/>
              <w:widowControl w:val="false"/>
              <w:jc w:val="center"/>
              <w:rPr>
                <w:rFonts w:ascii="Liberation Serif" w:hAnsi="Liberation Serif"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b/>
                <w:bCs/>
                <w:color w:val="000000"/>
                <w:sz w:val="20"/>
                <w:szCs w:val="20"/>
                <w:lang w:eastAsia="en-US"/>
              </w:rPr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bookmarkStart w:id="49" w:name="_Hlk51253264"/>
            <w:r>
              <w:rPr>
                <w:rFonts w:eastAsia="Calibri" w:ascii="Liberation Serif" w:hAnsi="Liberation Serif"/>
                <w:b/>
                <w:bCs/>
                <w:color w:val="000000"/>
                <w:sz w:val="20"/>
                <w:szCs w:val="20"/>
                <w:lang w:eastAsia="en-US"/>
              </w:rPr>
              <w:t>Предоставление подтверждающего документа или иной способ подтверждения</w:t>
            </w:r>
            <w:bookmarkEnd w:id="49"/>
            <w:r>
              <w:rPr>
                <w:rFonts w:eastAsia="Calibri" w:ascii="Liberation Serif" w:hAnsi="Liberation Serif"/>
                <w:b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Liberation Serif" w:hAnsi="Liberation Serif"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b/>
                <w:bCs/>
                <w:color w:val="000000"/>
                <w:sz w:val="20"/>
                <w:szCs w:val="20"/>
                <w:lang w:eastAsia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b/>
                <w:bCs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b/>
                <w:bCs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b/>
                <w:bCs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b/>
                <w:bCs/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b/>
                <w:bCs/>
                <w:color w:val="00000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b/>
                <w:bCs/>
                <w:color w:val="000000"/>
                <w:sz w:val="20"/>
                <w:szCs w:val="20"/>
                <w:lang w:eastAsia="en-US"/>
              </w:rPr>
              <w:t>6</w:t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b/>
                <w:bCs/>
                <w:color w:val="000000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144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>
                <w:rFonts w:ascii="Liberation Serif" w:hAnsi="Liberation Serif"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b/>
                <w:bCs/>
                <w:color w:val="000000"/>
                <w:sz w:val="20"/>
                <w:szCs w:val="20"/>
                <w:lang w:eastAsia="en-US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bCs/>
                <w:color w:val="000000"/>
                <w:sz w:val="20"/>
                <w:szCs w:val="20"/>
                <w:lang w:eastAsia="en-US"/>
              </w:rPr>
              <w:t>1.1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eastAsia="Arial Unicode MS" w:ascii="Liberation Serif" w:hAnsi="Liberation Serif"/>
                <w:color w:val="000000"/>
                <w:sz w:val="20"/>
                <w:szCs w:val="20"/>
              </w:rPr>
              <w:t>Требования к году выпуска продукции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eastAsia="Arial Unicode MS"/>
                <w:color w:val="000000"/>
                <w:sz w:val="20"/>
                <w:szCs w:val="20"/>
              </w:rPr>
            </w:pPr>
            <w:r>
              <w:rPr>
                <w:rFonts w:eastAsia="Arial Unicode MS" w:ascii="Liberation Serif" w:hAnsi="Liberation Serif"/>
                <w:color w:val="000000"/>
                <w:sz w:val="20"/>
                <w:szCs w:val="20"/>
              </w:rPr>
              <w:t>Не ранее 202</w:t>
            </w:r>
            <w:r>
              <w:rPr>
                <w:rFonts w:eastAsia="Arial Unicode MS" w:ascii="Liberation Serif" w:hAnsi="Liberation Serif"/>
                <w:color w:val="000000"/>
                <w:sz w:val="20"/>
                <w:szCs w:val="20"/>
              </w:rPr>
              <w:t>7</w:t>
            </w:r>
            <w:r>
              <w:rPr>
                <w:rFonts w:eastAsia="Arial Unicode MS" w:ascii="Liberation Serif" w:hAnsi="Liberation Serif"/>
                <w:color w:val="000000"/>
                <w:sz w:val="20"/>
                <w:szCs w:val="20"/>
              </w:rPr>
              <w:t xml:space="preserve"> г.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rStyle w:val="Style16"/>
                <w:rFonts w:eastAsia="Calibri" w:ascii="Liberation Serif" w:hAnsi="Liberation Serif"/>
                <w:iCs/>
                <w:vanish w:val="false"/>
                <w:color w:val="000000"/>
                <w:sz w:val="20"/>
                <w:szCs w:val="20"/>
                <w:lang w:eastAsia="en-US"/>
              </w:rPr>
              <w:t>Согласие с требованием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</w:r>
          </w:p>
        </w:tc>
      </w:tr>
      <w:tr>
        <w:trPr>
          <w:trHeight w:val="984" w:hRule="atLeast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Arial Unicode MS"/>
                <w:color w:val="000000"/>
                <w:sz w:val="20"/>
                <w:szCs w:val="20"/>
              </w:rPr>
            </w:pPr>
            <w:r>
              <w:rPr>
                <w:rFonts w:eastAsia="Arial Unicode MS" w:ascii="Liberation Serif" w:hAnsi="Liberation Serif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eastAsia="Arial Unicode MS" w:ascii="Liberation Serif" w:hAnsi="Liberation Serif"/>
                <w:color w:val="000000"/>
                <w:sz w:val="20"/>
                <w:szCs w:val="20"/>
              </w:rPr>
              <w:t>Требования к новизне продукции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Новая - под новым следует понимать автотехнику, которая не была в употреблении, не проходила ремонт, в том числе восстановление, замену составных частей, восстановление потребительских свойств.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Согласие с требованием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eastAsia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eastAsia="Arial Unicode MS"/>
                <w:color w:val="000000"/>
                <w:sz w:val="20"/>
                <w:szCs w:val="20"/>
              </w:rPr>
            </w:pPr>
            <w:r>
              <w:rPr>
                <w:rFonts w:eastAsia="Arial Unicode MS" w:ascii="Liberation Serif" w:hAnsi="Liberation Serif"/>
                <w:color w:val="000000"/>
                <w:sz w:val="20"/>
                <w:szCs w:val="20"/>
              </w:rPr>
              <w:t>Наименование транспортного средства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eastAsia="Arial Unicode MS"/>
                <w:color w:val="000000"/>
                <w:sz w:val="20"/>
                <w:szCs w:val="20"/>
              </w:rPr>
            </w:pPr>
            <w:r>
              <w:rPr>
                <w:rFonts w:eastAsia="Arial Unicode MS" w:ascii="Liberation Serif" w:hAnsi="Liberation Serif"/>
                <w:color w:val="000000"/>
                <w:sz w:val="20"/>
                <w:szCs w:val="20"/>
              </w:rPr>
              <w:t>-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Style w:val="Style16"/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b w:val="false"/>
                <w:bCs w:val="false"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b w:val="false"/>
                <w:bCs w:val="false"/>
                <w:iCs/>
                <w:color w:val="000000"/>
                <w:sz w:val="20"/>
                <w:szCs w:val="20"/>
                <w:lang w:val="en-US" w:eastAsia="en-US"/>
              </w:rPr>
              <w:t>Указать наименование в соответствии с ПТС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b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b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Производитель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-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Style w:val="Style16"/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val="en-US" w:eastAsia="en-US"/>
              </w:rPr>
              <w:t>Указать производителя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Категория ТС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«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С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Согласие с требованием</w:t>
            </w:r>
          </w:p>
        </w:tc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Полная масса ТС, кг. не более: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7000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Согласие с требованием</w:t>
            </w:r>
          </w:p>
        </w:tc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397" w:hRule="atLeast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Двигатель, мощность л.с. не менее: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Д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изельный, 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148,9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 л.с. экологический класс не ниже Евро-4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КПП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Механическая пятиступенчатая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589" w:hRule="atLeast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РК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Механическая, с прямой и низшей передачами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589" w:hRule="atLeast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Рулевое управление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Гидроусилитель руля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Колесная формула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4х4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Шины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Пневматические, радиальные, камерные, размером 12.00R18.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142" w:hRule="atLeast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Кабина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Цельнометаллическая, двухрядная, кресла оборудованы ремнями безопасности, аварийно-вентиляционный люк в крыше ТС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142" w:hRule="atLeast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Число мест 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Не менее 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7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, включая место водителя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142" w:hRule="atLeast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Система отопления 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2 отопителя кабины, работающие от системы охлаждения двигателя (1 отопитель у водителя, второй у заднего ряда пассажиров) 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и дополнительный автономный воздушный отопитель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.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142" w:hRule="atLeast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Северное климатическое исполнение 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шасси транспортного средства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: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Утепление кабины по всему контуру, выполняется теплоизоляционным материалом;</w:t>
            </w:r>
          </w:p>
          <w:p>
            <w:pPr>
              <w:pStyle w:val="Style39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Подогрев топлива - осуществляется за счет тепла, отводимого охлаждающей жидкостью от компрессора ДВС; </w:t>
            </w:r>
          </w:p>
          <w:p>
            <w:pPr>
              <w:pStyle w:val="Style39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Замена пластиковых трубок тормозной системы и системы питания на медные;</w:t>
            </w:r>
          </w:p>
          <w:p>
            <w:pPr>
              <w:pStyle w:val="Style39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Установка комплекса подогрева топливопроводов (подача/обратка) -  ленточный подогрев топливных трубок;</w:t>
            </w:r>
          </w:p>
          <w:p>
            <w:pPr>
              <w:pStyle w:val="Style39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Предпусковой подогреватель двигателя;</w:t>
            </w:r>
          </w:p>
          <w:p>
            <w:pPr>
              <w:pStyle w:val="Style39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Установка подогрева фильтров тонкой и грубой очистки топлива;</w:t>
            </w:r>
          </w:p>
          <w:p>
            <w:pPr>
              <w:pStyle w:val="Style39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Установка электрического обогрева АКБ;</w:t>
            </w:r>
          </w:p>
          <w:p>
            <w:pPr>
              <w:pStyle w:val="Style39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Утепление моторного отсека.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-//-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142" w:hRule="atLeast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Северное климатическое исполнение 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оборудования автогидроподъемника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: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Применение морозостойких РВД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; </w:t>
            </w:r>
          </w:p>
          <w:p>
            <w:pPr>
              <w:pStyle w:val="Style39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Установка предпускового электрического подогревателя гидравлического бака;</w:t>
            </w:r>
          </w:p>
          <w:p>
            <w:pPr>
              <w:pStyle w:val="Style39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Подогрев плат электроуправления;</w:t>
            </w:r>
          </w:p>
          <w:p>
            <w:pPr>
              <w:pStyle w:val="Style39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Применение в гидросистеме морозостойкого гидравлического масла с индексом вязкости при 40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  <w:vertAlign w:val="superscript"/>
              </w:rPr>
              <w:t>0</w:t>
            </w:r>
            <w:r>
              <w:rPr>
                <w:rFonts w:cs="Times New Roman" w:ascii="Liberation Serif" w:hAnsi="Liberation Serif"/>
                <w:color w:val="000000"/>
                <w:position w:val="0"/>
                <w:sz w:val="20"/>
                <w:sz w:val="20"/>
                <w:szCs w:val="20"/>
                <w:vertAlign w:val="baseline"/>
              </w:rPr>
              <w:t xml:space="preserve"> С не более 22 мм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  <w:vertAlign w:val="superscript"/>
              </w:rPr>
              <w:t>2</w:t>
            </w:r>
            <w:r>
              <w:rPr>
                <w:rFonts w:cs="Times New Roman" w:ascii="Liberation Serif" w:hAnsi="Liberation Serif"/>
                <w:color w:val="000000"/>
                <w:position w:val="0"/>
                <w:sz w:val="20"/>
                <w:sz w:val="20"/>
                <w:szCs w:val="20"/>
                <w:vertAlign w:val="baseline"/>
              </w:rPr>
              <w:t>/с и температурой застывания не выше  - 50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  <w:vertAlign w:val="superscript"/>
              </w:rPr>
              <w:t>0</w:t>
            </w:r>
            <w:r>
              <w:rPr>
                <w:rFonts w:cs="Times New Roman" w:ascii="Liberation Serif" w:hAnsi="Liberation Serif"/>
                <w:color w:val="000000"/>
                <w:position w:val="0"/>
                <w:sz w:val="20"/>
                <w:sz w:val="20"/>
                <w:szCs w:val="20"/>
                <w:vertAlign w:val="baseline"/>
              </w:rPr>
              <w:t>С.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-//-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142" w:hRule="atLeast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Конструктивное исполнение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1) 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Рабочее оборудование должно быть установлено стационарно. Люлька со стрелой в транспортном положении расположены в задней части автомобиля либо над кабиной.</w:t>
            </w:r>
          </w:p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2) </w:t>
            </w:r>
            <w:r>
              <w:rPr>
                <w:rFonts w:cs="Times New Roman" w:ascii="Liberation Serif" w:hAnsi="Liberation Serif"/>
                <w:i w:val="false"/>
                <w:iCs w:val="false"/>
                <w:color w:val="000000"/>
                <w:sz w:val="20"/>
                <w:szCs w:val="20"/>
              </w:rPr>
              <w:t>Грузовая платформа в габаритах транспортного средства,  выполненная из перфорированного алюминия, обеспечивающая возможность перевозки инструмента и необходимых материалов;</w:t>
            </w:r>
          </w:p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i w:val="false"/>
                <w:iCs w:val="false"/>
                <w:color w:val="000000"/>
                <w:sz w:val="20"/>
                <w:szCs w:val="20"/>
              </w:rPr>
              <w:t>3) Б</w:t>
            </w:r>
            <w:r>
              <w:rPr>
                <w:rFonts w:cs="Times New Roman" w:ascii="Liberation Serif" w:hAnsi="Liberation Serif"/>
                <w:i w:val="false"/>
                <w:iCs w:val="false"/>
                <w:color w:val="000000"/>
                <w:sz w:val="20"/>
                <w:szCs w:val="20"/>
              </w:rPr>
              <w:t>оковое ограждение из алюминия высотой не более 200 мм по периметру платформы;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1.1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9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40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Тип стрелы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40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/>
                <w:i w:val="false"/>
                <w:i w:val="false"/>
                <w:iCs w:val="false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i w:val="false"/>
                <w:iCs w:val="false"/>
                <w:color w:val="000000"/>
                <w:sz w:val="20"/>
                <w:szCs w:val="20"/>
              </w:rPr>
              <w:t xml:space="preserve">Телескопическая 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b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b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1.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 w:eastAsia="Arial Unicode MS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</w:pPr>
            <w:r>
              <w:rPr>
                <w:rFonts w:eastAsia="Arial Unicode MS" w:cs="Times New Roman" w:ascii="Liberation Serif" w:hAnsi="Liberation Serif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>Высота подъёма, м. не менее: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>20</w:t>
            </w:r>
            <w:r>
              <w:rPr>
                <w:rFonts w:cs="Times New Roman" w:ascii="Liberation Serif" w:hAnsi="Liberation Serif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>,0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rStyle w:val="Style16"/>
                <w:rFonts w:eastAsia="Calibri" w:ascii="Liberation Serif" w:hAnsi="Liberation Serif"/>
                <w:iCs/>
                <w:vanish w:val="false"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b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b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 w:eastAsia="Arial Unicode MS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</w:pPr>
            <w:r>
              <w:rPr>
                <w:rFonts w:eastAsia="Arial Unicode MS" w:cs="Times New Roman" w:ascii="Liberation Serif" w:hAnsi="Liberation Serif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>Максимальный вылет, м., не менее: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11,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rStyle w:val="Style16"/>
                <w:rFonts w:eastAsia="Calibri" w:ascii="Liberation Serif" w:hAnsi="Liberation Serif"/>
                <w:iCs/>
                <w:vanish w:val="false"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b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b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 w:eastAsia="Arial Unicode MS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</w:pPr>
            <w:r>
              <w:rPr>
                <w:rFonts w:eastAsia="Arial Unicode MS" w:cs="Times New Roman" w:ascii="Liberation Serif" w:hAnsi="Liberation Serif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>Угол поворота, град., не менее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360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rStyle w:val="Style16"/>
                <w:rFonts w:eastAsia="Calibri" w:ascii="Liberation Serif" w:hAnsi="Liberation Serif"/>
                <w:iCs/>
                <w:vanish w:val="false"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b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b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 w:eastAsia="Arial Unicode MS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</w:pPr>
            <w:r>
              <w:rPr>
                <w:rFonts w:eastAsia="Arial Unicode MS" w:cs="Times New Roman" w:ascii="Liberation Serif" w:hAnsi="Liberation Serif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>Изоляция люльки, вольт, не менее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rStyle w:val="Style16"/>
                <w:rFonts w:eastAsia="Calibri" w:ascii="Liberation Serif" w:hAnsi="Liberation Serif"/>
                <w:iCs/>
                <w:vanish w:val="false"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b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b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 w:eastAsia="Arial Unicode MS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</w:pPr>
            <w:r>
              <w:rPr>
                <w:rFonts w:eastAsia="Arial Unicode MS" w:cs="Times New Roman" w:ascii="Liberation Serif" w:hAnsi="Liberation Serif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>Грузоподъёмность люльки, кг. не менее: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rStyle w:val="Style16"/>
                <w:rFonts w:eastAsia="Calibri" w:ascii="Liberation Serif" w:hAnsi="Liberation Serif"/>
                <w:iCs/>
                <w:vanish w:val="false"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b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b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 w:eastAsia="Arial Unicode MS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</w:pPr>
            <w:r>
              <w:rPr>
                <w:rFonts w:eastAsia="Arial Unicode MS" w:cs="Times New Roman" w:ascii="Liberation Serif" w:hAnsi="Liberation Serif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>Максимальное количество человек в люльке, на менее: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rStyle w:val="Style16"/>
                <w:rFonts w:eastAsia="Calibri" w:ascii="Liberation Serif" w:hAnsi="Liberation Serif"/>
                <w:iCs/>
                <w:vanish w:val="false"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b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b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 w:eastAsia="Arial Unicode MS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</w:pPr>
            <w:r>
              <w:rPr>
                <w:rFonts w:eastAsia="Arial Unicode MS" w:cs="Times New Roman" w:ascii="Liberation Serif" w:hAnsi="Liberation Serif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>Размещение электропроводки и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 w:eastAsia="Arial Unicode MS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</w:pPr>
            <w:r>
              <w:rPr>
                <w:rFonts w:eastAsia="Arial Unicode MS" w:cs="Times New Roman" w:ascii="Liberation Serif" w:hAnsi="Liberation Serif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>рукавов высокого давления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Внутри стрелы 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либо  проложены в защитных лотках сбоку секций стрелы или в электро-гидравлическом барабане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rStyle w:val="Style16"/>
                <w:rFonts w:eastAsia="Calibri" w:ascii="Liberation Serif" w:hAnsi="Liberation Serif"/>
                <w:iCs/>
                <w:vanish w:val="false"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b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b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1.2</w:t>
            </w: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7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 w:eastAsia="Arial Unicode MS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</w:pPr>
            <w:r>
              <w:rPr>
                <w:rFonts w:eastAsia="Arial Unicode MS" w:cs="Times New Roman" w:ascii="Liberation Serif" w:hAnsi="Liberation Serif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>Управление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 w:eastAsia="Arial Unicode MS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</w:pPr>
            <w:r>
              <w:rPr>
                <w:rFonts w:eastAsia="Arial Unicode MS" w:cs="Times New Roman" w:ascii="Liberation Serif" w:hAnsi="Liberation Serif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>подъемником, шт.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Электрогидравлической, 2 пульта управления(один в люльке, второй расположен на 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поворотной 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колонне, шасси АГП). Наличие в люльке кнопки аварийной остановки ДВС, звукового сигнала.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rStyle w:val="Style16"/>
                <w:rFonts w:eastAsia="Calibri" w:ascii="Liberation Serif" w:hAnsi="Liberation Serif"/>
                <w:iCs/>
                <w:vanish w:val="false"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b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b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1.2</w:t>
            </w: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8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bidi w:val="0"/>
              <w:spacing w:before="0" w:after="0"/>
              <w:ind w:left="0" w:right="0" w:hanging="0"/>
              <w:rPr>
                <w:rFonts w:ascii="Liberation Serif" w:hAnsi="Liberation Serif" w:eastAsia="Arial Unicode MS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</w:pPr>
            <w:r>
              <w:rPr>
                <w:rFonts w:eastAsia="Arial Unicode MS" w:cs="Times New Roman" w:ascii="Liberation Serif" w:hAnsi="Liberation Serif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>Рабочее место оператора: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Кабина оператора с 2 автономными отопителями: электрический и жидкостный 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rStyle w:val="Style16"/>
                <w:rFonts w:eastAsia="Calibri" w:ascii="Liberation Serif" w:hAnsi="Liberation Serif"/>
                <w:iCs/>
                <w:vanish w:val="false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b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b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1.2</w:t>
            </w: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9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 w:eastAsia="Arial Unicode MS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</w:pPr>
            <w:r>
              <w:rPr>
                <w:rFonts w:eastAsia="Arial Unicode MS" w:cs="Times New Roman" w:ascii="Liberation Serif" w:hAnsi="Liberation Serif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 xml:space="preserve">Требования к приборам безопасности подъёмника: 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295" w:leader="none"/>
              </w:tabs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1) ограничитель предельного груза (ОПГ);</w:t>
            </w:r>
          </w:p>
          <w:p>
            <w:pPr>
              <w:pStyle w:val="Normal"/>
              <w:tabs>
                <w:tab w:val="clear" w:pos="708"/>
                <w:tab w:val="left" w:pos="295" w:leader="none"/>
              </w:tabs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2) анемометр;</w:t>
            </w:r>
          </w:p>
          <w:p>
            <w:pPr>
              <w:pStyle w:val="Normal"/>
              <w:tabs>
                <w:tab w:val="clear" w:pos="708"/>
                <w:tab w:val="left" w:pos="295" w:leader="none"/>
              </w:tabs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3</w:t>
            </w:r>
            <w:r>
              <w:rPr>
                <w:rFonts w:ascii="Liberation Serif" w:hAnsi="Liberation Serif"/>
                <w:sz w:val="20"/>
                <w:szCs w:val="20"/>
              </w:rPr>
              <w:t>) устройство ориентации пола люльки в горизонтальном положении во всей зоне обслуживания; при этом угол наклона пола люльки не должен превышать 5°;</w:t>
            </w:r>
          </w:p>
          <w:p>
            <w:pPr>
              <w:pStyle w:val="Normal"/>
              <w:tabs>
                <w:tab w:val="clear" w:pos="708"/>
                <w:tab w:val="left" w:pos="295" w:leader="none"/>
              </w:tabs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4</w:t>
            </w:r>
            <w:r>
              <w:rPr>
                <w:rFonts w:ascii="Liberation Serif" w:hAnsi="Liberation Serif"/>
                <w:sz w:val="20"/>
                <w:szCs w:val="20"/>
              </w:rPr>
              <w:t>) устройство (устройствами), ограничивающим зону обслуживания;</w:t>
            </w:r>
          </w:p>
          <w:p>
            <w:pPr>
              <w:pStyle w:val="Normal"/>
              <w:tabs>
                <w:tab w:val="clear" w:pos="708"/>
                <w:tab w:val="left" w:pos="295" w:leader="none"/>
              </w:tabs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5</w:t>
            </w:r>
            <w:r>
              <w:rPr>
                <w:rFonts w:ascii="Liberation Serif" w:hAnsi="Liberation Serif"/>
                <w:sz w:val="20"/>
                <w:szCs w:val="20"/>
              </w:rPr>
              <w:t>) устройство блокировки подъема и поворота колен при не выставленном на опоры подъемнике;</w:t>
            </w:r>
          </w:p>
          <w:p>
            <w:pPr>
              <w:pStyle w:val="Normal"/>
              <w:tabs>
                <w:tab w:val="clear" w:pos="708"/>
                <w:tab w:val="left" w:pos="295" w:leader="none"/>
              </w:tabs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6</w:t>
            </w:r>
            <w:r>
              <w:rPr>
                <w:rFonts w:ascii="Liberation Serif" w:hAnsi="Liberation Serif"/>
                <w:sz w:val="20"/>
                <w:szCs w:val="20"/>
              </w:rPr>
              <w:t>) устройство блокировки подъема опор при рабочем положении стрелы;</w:t>
            </w:r>
          </w:p>
          <w:p>
            <w:pPr>
              <w:pStyle w:val="Normal"/>
              <w:tabs>
                <w:tab w:val="clear" w:pos="708"/>
                <w:tab w:val="left" w:pos="295" w:leader="none"/>
              </w:tabs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7</w:t>
            </w:r>
            <w:r>
              <w:rPr>
                <w:rFonts w:ascii="Liberation Serif" w:hAnsi="Liberation Serif"/>
                <w:sz w:val="20"/>
                <w:szCs w:val="20"/>
              </w:rPr>
              <w:t>) устройство аварийного опускания люльки при отказе гидросистемы, электропривода или привода гидронасоса;</w:t>
            </w:r>
          </w:p>
          <w:p>
            <w:pPr>
              <w:pStyle w:val="Normal"/>
              <w:tabs>
                <w:tab w:val="clear" w:pos="708"/>
                <w:tab w:val="left" w:pos="295" w:leader="none"/>
              </w:tabs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8</w:t>
            </w:r>
            <w:r>
              <w:rPr>
                <w:rFonts w:ascii="Liberation Serif" w:hAnsi="Liberation Serif"/>
                <w:sz w:val="20"/>
                <w:szCs w:val="20"/>
              </w:rPr>
              <w:t>) устройство, предохраняющим выносные опоры подъемника от самопроизвольного выдвижения (поворота) во время движения подъемника;</w:t>
            </w:r>
          </w:p>
          <w:p>
            <w:pPr>
              <w:pStyle w:val="Normal"/>
              <w:tabs>
                <w:tab w:val="clear" w:pos="708"/>
                <w:tab w:val="left" w:pos="295" w:leader="none"/>
              </w:tabs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9</w:t>
            </w:r>
            <w:r>
              <w:rPr>
                <w:rFonts w:ascii="Liberation Serif" w:hAnsi="Liberation Serif"/>
                <w:sz w:val="20"/>
                <w:szCs w:val="20"/>
              </w:rPr>
              <w:t>) устройство (указатель) угла наклона подъемника.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rStyle w:val="Style16"/>
                <w:rFonts w:eastAsia="Calibri" w:ascii="Liberation Serif" w:hAnsi="Liberation Serif"/>
                <w:iCs/>
                <w:vanish w:val="false"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b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b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1.</w:t>
            </w: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 w:eastAsia="Arial Unicode MS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</w:pPr>
            <w:r>
              <w:rPr>
                <w:rFonts w:eastAsia="Arial Unicode MS" w:cs="Times New Roman" w:ascii="Liberation Serif" w:hAnsi="Liberation Serif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>Гидравлические опоры (аутригеры), шт.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rStyle w:val="Style16"/>
                <w:rFonts w:eastAsia="Calibri" w:ascii="Liberation Serif" w:hAnsi="Liberation Serif"/>
                <w:iCs/>
                <w:vanish w:val="false"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b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b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1.</w:t>
            </w: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31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 w:eastAsia="Arial Unicode MS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</w:pPr>
            <w:r>
              <w:rPr>
                <w:rFonts w:eastAsia="Arial Unicode MS" w:cs="Times New Roman" w:ascii="Liberation Serif" w:hAnsi="Liberation Serif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>Температурный режим эксплуатации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от -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5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0°С до +40°С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rStyle w:val="Style16"/>
                <w:rFonts w:eastAsia="Calibri" w:ascii="Liberation Serif" w:hAnsi="Liberation Serif"/>
                <w:iCs/>
                <w:vanish w:val="false"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b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b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bidi w:val="0"/>
              <w:spacing w:before="0" w:after="0"/>
              <w:ind w:left="0" w:right="0" w:hanging="0"/>
              <w:contextualSpacing w:val="false"/>
              <w:jc w:val="center"/>
              <w:rPr>
                <w:rFonts w:ascii="Liberation Serif" w:hAnsi="Liberation Serif"/>
                <w:b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b/>
                <w:color w:val="000000"/>
                <w:sz w:val="20"/>
                <w:szCs w:val="20"/>
              </w:rPr>
              <w:t>2.</w:t>
            </w:r>
          </w:p>
        </w:tc>
        <w:tc>
          <w:tcPr>
            <w:tcW w:w="144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/>
                <w:b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b/>
                <w:color w:val="000000"/>
                <w:sz w:val="20"/>
                <w:szCs w:val="20"/>
              </w:rPr>
              <w:t>Требования к безопасности</w:t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color w:val="000000"/>
                <w:sz w:val="20"/>
                <w:szCs w:val="20"/>
              </w:rPr>
            </w:pPr>
            <w:r>
              <w:rPr>
                <w:rFonts w:eastAsia="Calibri" w:ascii="Liberation Serif" w:hAnsi="Liberation Serif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Требования безопасности ТС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41"/>
              <w:widowControl w:val="false"/>
              <w:tabs>
                <w:tab w:val="clear" w:pos="708"/>
                <w:tab w:val="left" w:pos="461" w:leader="none"/>
              </w:tabs>
              <w:suppressAutoHyphens w:val="true"/>
              <w:bidi w:val="0"/>
              <w:snapToGrid w:val="false"/>
              <w:spacing w:before="0" w:after="0"/>
              <w:ind w:left="0" w:right="0" w:hanging="0"/>
              <w:contextualSpacing w:val="false"/>
              <w:jc w:val="lef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Соответствие требованиям технического регламента Таможенного союза ТР ТС 010/2011 «О безопасности машин и оборудования»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Style w:val="Style16"/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Предоставить сертификат о соответствии требованиям ТР ТС 010/2011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  <w:lang w:val="en-US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  <w:lang w:val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color w:val="000000"/>
                <w:sz w:val="20"/>
                <w:szCs w:val="20"/>
              </w:rPr>
            </w:pPr>
            <w:r>
              <w:rPr>
                <w:rFonts w:eastAsia="Calibri" w:ascii="Liberation Serif" w:hAnsi="Liberation Serif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>Устройство в</w:t>
            </w:r>
            <w:r>
              <w:rPr>
                <w:rFonts w:cs="Times New Roman" w:ascii="Liberation Serif" w:hAnsi="Liberation Serif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>ызова экстренных оперативных служб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1"/>
              <w:widowControl w:val="false"/>
              <w:tabs>
                <w:tab w:val="clear" w:pos="708"/>
                <w:tab w:val="left" w:pos="461" w:leader="none"/>
              </w:tabs>
              <w:bidi w:val="0"/>
              <w:snapToGrid w:val="false"/>
              <w:spacing w:before="0" w:after="0"/>
              <w:ind w:left="0" w:right="0" w:hanging="0"/>
              <w:contextualSpacing w:val="false"/>
              <w:rPr>
                <w:rFonts w:ascii="Liberation Serif" w:hAnsi="Liberation Serif" w:eastAsia="Arial Unicode MS"/>
                <w:color w:val="000000"/>
                <w:sz w:val="20"/>
                <w:szCs w:val="20"/>
              </w:rPr>
            </w:pPr>
            <w:r>
              <w:rPr>
                <w:rFonts w:eastAsia="Arial Unicode MS" w:ascii="Liberation Serif" w:hAnsi="Liberation Serif"/>
                <w:color w:val="000000"/>
                <w:sz w:val="20"/>
                <w:szCs w:val="20"/>
              </w:rPr>
              <w:t>Устройство ЭВ «ЭРА ГЛОНАСС»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rStyle w:val="Style16"/>
                <w:rFonts w:eastAsia="Calibri" w:ascii="Liberation Serif" w:hAnsi="Liberation Serif"/>
                <w:iCs/>
                <w:vanish w:val="false"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  <w:lang w:val="en-US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  <w:lang w:val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eastAsia="Calibri" w:ascii="Liberation Serif" w:hAnsi="Liberation Serif"/>
                <w:b w:val="false"/>
                <w:bCs w:val="false"/>
                <w:color w:val="000000"/>
                <w:sz w:val="20"/>
                <w:szCs w:val="20"/>
              </w:rPr>
              <w:t>2.3.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>Приборы безопасности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61" w:leader="none"/>
              </w:tabs>
              <w:bidi w:val="0"/>
              <w:snapToGrid w:val="false"/>
              <w:spacing w:before="0" w:after="0"/>
              <w:ind w:left="0" w:right="0" w:hanging="0"/>
              <w:rPr>
                <w:rFonts w:ascii="Liberation Serif" w:hAnsi="Liberation Serif" w:eastAsia="Arial Unicode MS"/>
                <w:color w:val="000000"/>
                <w:sz w:val="20"/>
                <w:szCs w:val="20"/>
              </w:rPr>
            </w:pPr>
            <w:r>
              <w:rPr>
                <w:rFonts w:eastAsia="Arial Unicode MS" w:ascii="Liberation Serif" w:hAnsi="Liberation Serif"/>
                <w:color w:val="000000"/>
                <w:sz w:val="20"/>
                <w:szCs w:val="20"/>
              </w:rPr>
              <w:t>Обязательное наличие, с указанием марки приборов.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Указать характеристики</w:t>
            </w:r>
          </w:p>
        </w:tc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  <w:lang w:val="en-US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  <w:lang w:val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 w:ascii="Liberation Serif" w:hAnsi="Liberation Serif"/>
                <w:b/>
                <w:color w:val="000000"/>
                <w:sz w:val="20"/>
                <w:szCs w:val="20"/>
              </w:rPr>
              <w:t>3.</w:t>
            </w:r>
          </w:p>
        </w:tc>
        <w:tc>
          <w:tcPr>
            <w:tcW w:w="14454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</w:tr>
      <w:tr>
        <w:trPr>
          <w:trHeight w:val="317" w:hRule="atLeast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bidi w:val="0"/>
              <w:spacing w:before="0" w:after="0"/>
              <w:ind w:left="0" w:right="0" w:hanging="0"/>
              <w:contextualSpacing w:val="false"/>
              <w:jc w:val="left"/>
              <w:rPr/>
            </w:pPr>
            <w:r>
              <w:rPr>
                <w:rStyle w:val="Style16"/>
                <w:rFonts w:ascii="Liberation Serif" w:hAnsi="Liberation Serif"/>
                <w:vanish w:val="false"/>
                <w:color w:val="000000"/>
                <w:sz w:val="20"/>
                <w:szCs w:val="20"/>
              </w:rPr>
              <w:t>Поставка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bidi w:val="0"/>
              <w:spacing w:before="0" w:after="0"/>
              <w:ind w:left="0" w:right="0" w:hanging="0"/>
              <w:contextualSpacing w:val="false"/>
              <w:jc w:val="both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>Доставка ж/д транспортом, автотранспортом. Не допускается доставка своим ходом.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rStyle w:val="Style16"/>
                <w:rFonts w:eastAsia="Calibri" w:ascii="Liberation Serif" w:hAnsi="Liberation Serif"/>
                <w:iCs/>
                <w:vanish w:val="false"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  <w:lang w:val="en-US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  <w:lang w:val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3.2.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Место поставки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Республика Саха (Якутия) г. Алдан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Согласие с требованием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 w:ascii="Liberation Serif" w:hAnsi="Liberation Serif"/>
                <w:b/>
                <w:color w:val="000000"/>
                <w:sz w:val="20"/>
                <w:szCs w:val="20"/>
              </w:rPr>
              <w:t>4.</w:t>
            </w:r>
          </w:p>
        </w:tc>
        <w:tc>
          <w:tcPr>
            <w:tcW w:w="144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/>
                <w:b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b/>
                <w:color w:val="000000"/>
                <w:sz w:val="20"/>
                <w:szCs w:val="20"/>
              </w:rPr>
              <w:t xml:space="preserve">Требования к гарантиям, гарантийному и послегарантийному обслуживанию </w:t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4.1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 xml:space="preserve">Гарантия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Не менее 24 месяцев. С момента поставки товара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Указать срок гарантии на предлагаемую продукцию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  <w:lang w:val="en-US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  <w:lang w:val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rFonts w:eastAsia="Calibri" w:ascii="Liberation Serif" w:hAnsi="Liberation Serif"/>
                <w:b/>
                <w:color w:val="000000"/>
                <w:sz w:val="20"/>
                <w:szCs w:val="20"/>
                <w:lang w:val="en-US"/>
              </w:rPr>
              <w:t>5.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/>
                <w:b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b/>
                <w:color w:val="000000"/>
                <w:sz w:val="20"/>
                <w:szCs w:val="20"/>
              </w:rPr>
              <w:t xml:space="preserve">Требования к происхождению поставляемой продукции 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В соответствии с Постановлением Правительства РФ от 23.12.2024 № 1875 “О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лиц” установлен запрет закупок товаров (в том числе поставляемых при выполнении закупаемых работ, оказании закупаемых услуг), происходящих из иностранных государств.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Все заявки на участие в закупке, содержащие предложение о поставке товара, происходящего из иностранного государства, в отношении которого установлен запрет подлежат отклонению.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Участник должен предоставить в составе заявки Коммерческое предложение по форме, установленной документацией о закупке, с указанием в отношении поставляемой продукции информации о номере реестровой записи из реестра российской промышленной продукции, содержащей в том числе: 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Российской Федерации от 17 июля 2015 г. № 719 «О подтверждении производства российской промышленной продукции»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Российской Федерации от 17 июля 2015 г. № 719 «О подтверждении производства российской промышленной продукции» для целей осуществления закупок или номер реестровой записи из евразийского реестра промышленных товаров государств - членов Евразийского экономического союза, содержащей в том числе: информацию о совокупном количестве баллов за выполнение (освоение) на территории Евразийского экономического союза соответствующих операций (условий) (если в отношении такого товара правом Евразийского экономического союза за выполнение (освоение) на территории Евразийского экономического союза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Евразийского экономического союза.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  <w:lang w:val="en-US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  <w:lang w:val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rFonts w:eastAsia="Calibri" w:ascii="Liberation Serif" w:hAnsi="Liberation Serif"/>
                <w:b/>
                <w:color w:val="000000"/>
                <w:sz w:val="20"/>
                <w:szCs w:val="20"/>
                <w:lang w:val="en-US"/>
              </w:rPr>
              <w:t>6.</w:t>
            </w:r>
          </w:p>
        </w:tc>
        <w:tc>
          <w:tcPr>
            <w:tcW w:w="125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/>
                <w:b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b/>
                <w:color w:val="000000"/>
                <w:sz w:val="20"/>
                <w:szCs w:val="20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/>
                <w:b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b/>
                <w:color w:val="000000"/>
                <w:sz w:val="20"/>
                <w:szCs w:val="20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6.1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Комплектация: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ЗИП согласно комплектации завода-изготовителя;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Противотуманные фары;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Домкрат – 1 шт.;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Набор шоферского инструмента;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Счетчик моточасов работы установки;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Прожектор на стрелу;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Огнетушитель ОП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2 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(3) - 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2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 шт.;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Знак аварийной остановки-2 шт.;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Противооткатные упоры - 2 шт.;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Аптечка первой помощи автомобильная 1 шт.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  <w:lang w:val="en-US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  <w:lang w:val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6.2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Дополнительная комплектация: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 xml:space="preserve">Утеплитель передка – 1 шт.; 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 xml:space="preserve">Шприц рычажно-плунжерный – 1 шт.; 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Ключ для регулировки подшипников ступиц колес– 1 шт.;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Набор головок торцевых ½” (8-32) с воротком, трещоткой и удлинителями - 1 шт.;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Набор ключей, комбинированных (8-32) – 1 шт.;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Видеорегистратор — техническое средство, работающее в автоматическом режиме, с поддержкой функций фото-, видеофиксации, для обеспечения контроля за дорожным движением. Конструктивно не ограничивающее  обзора дорожной ситуации при установке регистратора на ветровое стекло с учетом требований ПДД РФ. Имеющее возможность расширения внутренней памяти по средствам установки карты памяти типа MicroSD — 1шт.;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Карта памяти  типа MicroSD объемом не менее 64 Gb — 1 шт.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Комплект применяемых фильтрующих элементов для проведения 1 и 2 ТО ТС (топливные, масляные, воздушные).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Комплект применяемых фильтрующих элементов для проведения 1 и 2 ТО  установки гидроподъемника.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b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b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6.3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Необходимое наличие комплекта документов при поставке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11" w:leader="none"/>
              </w:tabs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1)</w:t>
              <w:tab/>
              <w:t>заверенная поставщиком копия выписки из электронного паспорта транспортного средства</w:t>
            </w:r>
          </w:p>
          <w:p>
            <w:pPr>
              <w:pStyle w:val="BodyTextIndent"/>
              <w:widowControl w:val="false"/>
              <w:tabs>
                <w:tab w:val="clear" w:pos="708"/>
                <w:tab w:val="left" w:pos="272" w:leader="none"/>
                <w:tab w:val="left" w:pos="1080" w:leader="none"/>
              </w:tabs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2)</w:t>
              <w:tab/>
              <w:t>руководство (инструкция) по эксплуатации автоподъемника;</w:t>
            </w:r>
          </w:p>
          <w:p>
            <w:pPr>
              <w:pStyle w:val="BodyTextIndent"/>
              <w:widowControl w:val="false"/>
              <w:tabs>
                <w:tab w:val="clear" w:pos="708"/>
                <w:tab w:val="left" w:pos="272" w:leader="none"/>
                <w:tab w:val="left" w:pos="1080" w:leader="none"/>
              </w:tabs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3)</w:t>
              <w:tab/>
              <w:t>паспорт на автоподъёмник для регистрации в органах Ростехнадзора;</w:t>
            </w:r>
          </w:p>
          <w:p>
            <w:pPr>
              <w:pStyle w:val="BodyTextIndent"/>
              <w:widowControl w:val="false"/>
              <w:tabs>
                <w:tab w:val="clear" w:pos="708"/>
                <w:tab w:val="left" w:pos="272" w:leader="none"/>
                <w:tab w:val="left" w:pos="1080" w:leader="none"/>
              </w:tabs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4) паспорта и руководства по эксплуатации приборов и устройств безопасности.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11" w:leader="none"/>
              </w:tabs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5) каталог сборочных единиц.</w:t>
            </w:r>
          </w:p>
          <w:p>
            <w:pPr>
              <w:pStyle w:val="Normal"/>
              <w:tabs>
                <w:tab w:val="clear" w:pos="708"/>
                <w:tab w:val="left" w:pos="411" w:leader="none"/>
              </w:tabs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6) сервисная книжка.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Согласие с требованием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</w:r>
          </w:p>
        </w:tc>
      </w:tr>
    </w:tbl>
    <w:p>
      <w:pPr>
        <w:sectPr>
          <w:headerReference w:type="default" r:id="rId6"/>
          <w:headerReference w:type="first" r:id="rId7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1"/>
        <w:keepNext w:val="true"/>
        <w:keepLines/>
        <w:widowControl/>
        <w:numPr>
          <w:ilvl w:val="0"/>
          <w:numId w:val="0"/>
        </w:numPr>
        <w:tabs>
          <w:tab w:val="clear" w:pos="708"/>
          <w:tab w:val="left" w:pos="632" w:leader="none"/>
          <w:tab w:val="left" w:pos="1134" w:leader="none"/>
        </w:tabs>
        <w:bidi w:val="0"/>
        <w:spacing w:lineRule="auto" w:line="240" w:before="0" w:after="0"/>
        <w:ind w:left="567" w:right="0" w:hanging="0"/>
        <w:contextualSpacing/>
        <w:jc w:val="left"/>
        <w:rPr>
          <w:rFonts w:ascii="Liberation Serif" w:hAnsi="Liberation Serif"/>
        </w:rPr>
      </w:pPr>
      <w:bookmarkStart w:id="50" w:name="__RefHeading___Toc17188_3680773314"/>
      <w:bookmarkEnd w:id="50"/>
      <w:r>
        <w:rPr>
          <w:rFonts w:ascii="Liberation Serif" w:hAnsi="Liberation Serif"/>
          <w:sz w:val="22"/>
          <w:szCs w:val="22"/>
          <w:lang w:val="ru-RU"/>
        </w:rPr>
        <w:t xml:space="preserve">3. </w:t>
      </w:r>
      <w:bookmarkStart w:id="51" w:name="_Toc75446583"/>
      <w:bookmarkStart w:id="52" w:name="_Toc53393312"/>
      <w:r>
        <w:rPr>
          <w:rFonts w:ascii="Liberation Serif" w:hAnsi="Liberation Serif"/>
          <w:sz w:val="22"/>
          <w:szCs w:val="22"/>
          <w:lang w:val="ru-RU"/>
        </w:rPr>
        <w:t>Требования к документации по ценообразованию</w:t>
      </w:r>
      <w:bookmarkEnd w:id="52"/>
      <w:r>
        <w:rPr>
          <w:rFonts w:ascii="Liberation Serif" w:hAnsi="Liberation Serif"/>
          <w:sz w:val="22"/>
          <w:szCs w:val="22"/>
          <w:lang w:val="ru-RU"/>
        </w:rPr>
        <w:t xml:space="preserve"> на этапе закупки</w:t>
      </w:r>
      <w:bookmarkEnd w:id="51"/>
    </w:p>
    <w:p>
      <w:pPr>
        <w:pStyle w:val="Normal"/>
        <w:tabs>
          <w:tab w:val="clear" w:pos="708"/>
          <w:tab w:val="left" w:pos="1134" w:leader="none"/>
        </w:tabs>
        <w:suppressAutoHyphens w:val="true"/>
        <w:bidi w:val="0"/>
        <w:spacing w:lineRule="auto" w:line="240" w:before="0" w:after="0"/>
        <w:ind w:left="0" w:right="593" w:hanging="0"/>
        <w:contextualSpacing/>
        <w:jc w:val="both"/>
        <w:rPr>
          <w:rFonts w:ascii="Liberation Serif" w:hAnsi="Liberation Serif"/>
        </w:rPr>
      </w:pPr>
      <w:r>
        <w:rPr>
          <w:rFonts w:ascii="Liberation Serif" w:hAnsi="Liberation Serif"/>
          <w:bCs/>
          <w:iCs/>
          <w:sz w:val="22"/>
          <w:szCs w:val="22"/>
          <w:lang w:eastAsia="x-none"/>
        </w:rPr>
        <w:t>3.1. 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>
      <w:pPr>
        <w:pStyle w:val="Normal"/>
        <w:suppressAutoHyphens w:val="true"/>
        <w:bidi w:val="0"/>
        <w:spacing w:lineRule="auto" w:line="240" w:before="0" w:after="0"/>
        <w:ind w:left="0" w:right="593" w:hanging="0"/>
        <w:contextualSpacing/>
        <w:jc w:val="both"/>
        <w:rPr>
          <w:rFonts w:ascii="Liberation Serif" w:hAnsi="Liberation Serif"/>
        </w:rPr>
      </w:pPr>
      <w:r>
        <w:rPr>
          <w:rFonts w:ascii="Liberation Serif" w:hAnsi="Liberation Serif"/>
          <w:bCs/>
          <w:sz w:val="22"/>
          <w:szCs w:val="22"/>
          <w:lang w:val="ru-RU"/>
        </w:rPr>
        <w:t>3.2.</w:t>
      </w:r>
      <w:r>
        <w:rPr>
          <w:rFonts w:ascii="Liberation Serif" w:hAnsi="Liberation Serif"/>
          <w:sz w:val="22"/>
          <w:szCs w:val="22"/>
          <w:lang w:val="ru-RU"/>
        </w:rPr>
        <w:t xml:space="preserve"> Все цены в предложении должны включать все налоги, транспортные расходы и другие обязательные платежи, стоимость всех сопутствующих работ (услуг), а также все скидки, предлагаемые участником.</w:t>
      </w:r>
    </w:p>
    <w:sectPr>
      <w:headerReference w:type="default" r:id="rId8"/>
      <w:headerReference w:type="first" r:id="rId9"/>
      <w:type w:val="nextPage"/>
      <w:pgSz w:w="11906" w:h="16838"/>
      <w:pgMar w:left="1134" w:right="851" w:gutter="0" w:header="680" w:top="1134" w:footer="0" w:bottom="992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rlito">
    <w:altName w:val="Calibri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12</w:t>
    </w:r>
    <w:r>
      <w:rPr/>
      <w:fldChar w:fldCharType="end"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3">
    <w:lvl w:ilvl="0">
      <w:start w:val="1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1134" w:hanging="0"/>
      </w:pPr>
      <w:rPr/>
    </w:lvl>
  </w:abstractNum>
  <w:abstractNum w:abstractNumId="6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04"/>
  <w:defaultTabStop w:val="708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pPr>
      <w:outlineLvl w:val="1"/>
    </w:pPr>
    <w:rPr/>
  </w:style>
  <w:style w:type="paragraph" w:styleId="Heading3">
    <w:name w:val="Heading 3"/>
    <w:basedOn w:val="Normal"/>
    <w:next w:val="Normal"/>
    <w:link w:val="3"/>
    <w:qFormat/>
    <w:pPr>
      <w:keepNext w:val="true"/>
      <w:numPr>
        <w:ilvl w:val="2"/>
        <w:numId w:val="4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qFormat/>
    <w:pPr>
      <w:numPr>
        <w:ilvl w:val="0"/>
        <w:numId w:val="0"/>
      </w:num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qFormat/>
    <w:pPr>
      <w:keepNext w:val="true"/>
      <w:keepLines/>
      <w:numPr>
        <w:ilvl w:val="0"/>
        <w:numId w:val="0"/>
      </w:numPr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qFormat/>
    <w:pPr>
      <w:keepNext w:val="true"/>
      <w:keepLines/>
      <w:numPr>
        <w:ilvl w:val="0"/>
        <w:numId w:val="0"/>
      </w:numPr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qFormat/>
    <w:pPr>
      <w:keepNext w:val="true"/>
      <w:keepLines/>
      <w:numPr>
        <w:ilvl w:val="0"/>
        <w:numId w:val="0"/>
      </w:numPr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qFormat/>
    <w:pPr>
      <w:numPr>
        <w:ilvl w:val="0"/>
        <w:numId w:val="0"/>
      </w:num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>
    <w:name w:val="Default Paragraph Font"/>
    <w:qFormat/>
    <w:rPr/>
  </w:style>
  <w:style w:type="character" w:styleId="Style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Pr/>
  </w:style>
  <w:style w:type="character" w:styleId="Hyperlink">
    <w:name w:val="Hyperlink"/>
    <w:rPr>
      <w:color w:val="0000FF"/>
      <w:u w:val="single"/>
    </w:rPr>
  </w:style>
  <w:style w:type="character" w:styleId="Annotationreference">
    <w:name w:val="annotation reference"/>
    <w:qFormat/>
    <w:rPr>
      <w:sz w:val="16"/>
      <w:szCs w:val="16"/>
    </w:rPr>
  </w:style>
  <w:style w:type="character" w:styleId="Strong">
    <w:name w:val="Strong"/>
    <w:qFormat/>
    <w:rPr>
      <w:b/>
      <w:bCs/>
    </w:rPr>
  </w:style>
  <w:style w:type="character" w:styleId="6">
    <w:name w:val="Заголовок 6 Знак"/>
    <w:qFormat/>
    <w:rPr>
      <w:rFonts w:ascii="Cambria" w:hAnsi="Cambria"/>
      <w:i/>
      <w:iCs/>
      <w:color w:val="243F60"/>
      <w:lang w:val="x-none" w:eastAsia="x-none"/>
    </w:rPr>
  </w:style>
  <w:style w:type="character" w:styleId="7">
    <w:name w:val="Заголовок 7 Знак"/>
    <w:qFormat/>
    <w:rPr>
      <w:rFonts w:ascii="Cambria" w:hAnsi="Cambria"/>
      <w:i/>
      <w:iCs/>
      <w:color w:val="404040"/>
      <w:lang w:val="x-none" w:eastAsia="x-none"/>
    </w:rPr>
  </w:style>
  <w:style w:type="character" w:styleId="8">
    <w:name w:val="Заголовок 8 Знак"/>
    <w:qFormat/>
    <w:rPr>
      <w:rFonts w:ascii="Cambria" w:hAnsi="Cambria"/>
      <w:color w:val="4F81BD"/>
      <w:lang w:val="x-none" w:eastAsia="x-none"/>
    </w:rPr>
  </w:style>
  <w:style w:type="character" w:styleId="1">
    <w:name w:val="Заголовок 1 Знак"/>
    <w:qFormat/>
    <w:rPr>
      <w:rFonts w:eastAsia="Calibri"/>
      <w:b/>
      <w:sz w:val="28"/>
      <w:szCs w:val="28"/>
      <w:lang w:val="x-none" w:eastAsia="x-none"/>
    </w:rPr>
  </w:style>
  <w:style w:type="character" w:styleId="2">
    <w:name w:val="Заголовок 2 Знак"/>
    <w:qFormat/>
    <w:rPr>
      <w:rFonts w:eastAsia="Calibri"/>
      <w:b/>
      <w:bCs/>
      <w:sz w:val="24"/>
      <w:szCs w:val="24"/>
      <w:lang w:val="x-none" w:eastAsia="x-none"/>
    </w:rPr>
  </w:style>
  <w:style w:type="character" w:styleId="3">
    <w:name w:val="Заголовок 3 Знак"/>
    <w:qFormat/>
    <w:rPr>
      <w:rFonts w:eastAsia="Calibri"/>
      <w:b/>
      <w:sz w:val="24"/>
      <w:szCs w:val="24"/>
      <w:lang w:val="x-none" w:eastAsia="x-none"/>
    </w:rPr>
  </w:style>
  <w:style w:type="character" w:styleId="4">
    <w:name w:val="Заголовок 4 Знак"/>
    <w:qFormat/>
    <w:rPr>
      <w:rFonts w:eastAsia="Calibri"/>
      <w:b/>
      <w:bCs/>
      <w:sz w:val="24"/>
      <w:szCs w:val="24"/>
      <w:lang w:val="x-none" w:eastAsia="x-none"/>
    </w:rPr>
  </w:style>
  <w:style w:type="character" w:styleId="5">
    <w:name w:val="Заголовок 5 Знак"/>
    <w:qFormat/>
    <w:rPr>
      <w:b/>
      <w:bCs/>
      <w:i/>
      <w:iCs/>
      <w:sz w:val="26"/>
      <w:szCs w:val="26"/>
    </w:rPr>
  </w:style>
  <w:style w:type="character" w:styleId="9">
    <w:name w:val="Заголовок 9 Знак"/>
    <w:qFormat/>
    <w:rPr>
      <w:rFonts w:ascii="Arial" w:hAnsi="Arial" w:cs="Arial"/>
      <w:sz w:val="22"/>
      <w:szCs w:val="22"/>
    </w:rPr>
  </w:style>
  <w:style w:type="character" w:styleId="Style1">
    <w:name w:val="Название Знак"/>
    <w:link w:val="15"/>
    <w:qFormat/>
    <w:rPr>
      <w:sz w:val="28"/>
    </w:rPr>
  </w:style>
  <w:style w:type="character" w:styleId="Style2">
    <w:name w:val="Подзаголовок Знак"/>
    <w:qFormat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qFormat/>
    <w:rPr>
      <w:i/>
      <w:iCs/>
    </w:rPr>
  </w:style>
  <w:style w:type="character" w:styleId="21">
    <w:name w:val="Цитата 2 Знак"/>
    <w:link w:val="Quote"/>
    <w:qFormat/>
    <w:rPr>
      <w:rFonts w:ascii="Calibri" w:hAnsi="Calibri" w:eastAsia="Calibri"/>
      <w:i/>
      <w:iCs/>
      <w:color w:val="000000"/>
      <w:lang w:val="x-none" w:eastAsia="x-none"/>
    </w:rPr>
  </w:style>
  <w:style w:type="character" w:styleId="Style3">
    <w:name w:val="Выделенная цитата Знак"/>
    <w:link w:val="IntenseQuote"/>
    <w:qFormat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qFormat/>
    <w:rPr>
      <w:i/>
      <w:iCs/>
      <w:color w:val="808080"/>
    </w:rPr>
  </w:style>
  <w:style w:type="character" w:styleId="IntenseEmphasis">
    <w:name w:val="Intense Emphasis"/>
    <w:qFormat/>
    <w:rPr>
      <w:b/>
      <w:bCs/>
      <w:i/>
      <w:iCs/>
      <w:color w:val="4F81BD"/>
    </w:rPr>
  </w:style>
  <w:style w:type="character" w:styleId="SubtleReference">
    <w:name w:val="Subtle Reference"/>
    <w:qFormat/>
    <w:rPr>
      <w:smallCaps/>
      <w:color w:val="C0504D"/>
      <w:u w:val="single"/>
    </w:rPr>
  </w:style>
  <w:style w:type="character" w:styleId="IntenseReference">
    <w:name w:val="Intense Reference"/>
    <w:qFormat/>
    <w:rPr>
      <w:b/>
      <w:bCs/>
      <w:smallCaps/>
      <w:color w:val="C0504D"/>
      <w:spacing w:val="5"/>
      <w:u w:val="single"/>
    </w:rPr>
  </w:style>
  <w:style w:type="character" w:styleId="BookTitle">
    <w:name w:val="Book Title"/>
    <w:qFormat/>
    <w:rPr>
      <w:b/>
      <w:bCs/>
      <w:smallCaps/>
      <w:spacing w:val="5"/>
    </w:rPr>
  </w:style>
  <w:style w:type="character" w:styleId="Style4">
    <w:name w:val="Электронная подпись Знак"/>
    <w:link w:val="E-mailSignature"/>
    <w:qFormat/>
    <w:rPr>
      <w:rFonts w:eastAsia="Calibri"/>
      <w:sz w:val="24"/>
      <w:szCs w:val="24"/>
    </w:rPr>
  </w:style>
  <w:style w:type="character" w:styleId="11">
    <w:name w:val="Подпункт Знак1"/>
    <w:link w:val="Style23"/>
    <w:qFormat/>
    <w:rPr>
      <w:sz w:val="28"/>
    </w:rPr>
  </w:style>
  <w:style w:type="character" w:styleId="Style5">
    <w:name w:val="Текст сноски Знак"/>
    <w:qFormat/>
    <w:rPr/>
  </w:style>
  <w:style w:type="character" w:styleId="Style6">
    <w:name w:val="Основной текст Знак"/>
    <w:qFormat/>
    <w:rPr>
      <w:sz w:val="28"/>
      <w:szCs w:val="28"/>
    </w:rPr>
  </w:style>
  <w:style w:type="character" w:styleId="Blk">
    <w:name w:val="blk"/>
    <w:qFormat/>
    <w:rPr/>
  </w:style>
  <w:style w:type="character" w:styleId="Style7">
    <w:name w:val="Абзац списка Знак"/>
    <w:link w:val="ListParagraph"/>
    <w:qFormat/>
    <w:rPr>
      <w:rFonts w:eastAsia="Calibri"/>
      <w:sz w:val="24"/>
      <w:szCs w:val="24"/>
    </w:rPr>
  </w:style>
  <w:style w:type="character" w:styleId="Style8">
    <w:name w:val="комментарий"/>
    <w:qFormat/>
    <w:rPr>
      <w:b/>
      <w:i/>
      <w:shd w:fill="FFFF99" w:val="clear"/>
    </w:rPr>
  </w:style>
  <w:style w:type="character" w:styleId="Style9">
    <w:name w:val="Подподпункт Знак"/>
    <w:link w:val="Style31"/>
    <w:qFormat/>
    <w:rPr>
      <w:sz w:val="26"/>
      <w:szCs w:val="26"/>
    </w:rPr>
  </w:style>
  <w:style w:type="character" w:styleId="31">
    <w:name w:val="УРОВЕНЬ_Абзац_тип3 Знак"/>
    <w:link w:val="36"/>
    <w:qFormat/>
    <w:rPr>
      <w:rFonts w:eastAsia="Calibri"/>
      <w:sz w:val="26"/>
      <w:szCs w:val="28"/>
      <w:lang w:eastAsia="en-US"/>
    </w:rPr>
  </w:style>
  <w:style w:type="character" w:styleId="Style10">
    <w:name w:val="Верхний колонтитул Знак"/>
    <w:qFormat/>
    <w:rPr>
      <w:sz w:val="24"/>
      <w:szCs w:val="24"/>
    </w:rPr>
  </w:style>
  <w:style w:type="character" w:styleId="Style11">
    <w:name w:val="Текст примечания Знак"/>
    <w:link w:val="Annotationtext"/>
    <w:qFormat/>
    <w:rPr/>
  </w:style>
  <w:style w:type="character" w:styleId="Style12">
    <w:name w:val="Текст концевой сноски Знак"/>
    <w:basedOn w:val="DefaultParagraphFont"/>
    <w:qFormat/>
    <w:rPr/>
  </w:style>
  <w:style w:type="character" w:styleId="Style13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>
    <w:name w:val="Пункт2 Знак"/>
    <w:link w:val="24"/>
    <w:qFormat/>
    <w:rPr>
      <w:b/>
      <w:sz w:val="28"/>
    </w:rPr>
  </w:style>
  <w:style w:type="character" w:styleId="12">
    <w:name w:val="УРОВЕНЬ_1. Знак"/>
    <w:link w:val="19"/>
    <w:qFormat/>
    <w:rPr>
      <w:rFonts w:eastAsia="Calibri"/>
      <w:caps/>
      <w:sz w:val="28"/>
      <w:szCs w:val="28"/>
      <w:lang w:eastAsia="en-US"/>
    </w:rPr>
  </w:style>
  <w:style w:type="character" w:styleId="13">
    <w:name w:val="Неразрешенное упоминание1"/>
    <w:basedOn w:val="DefaultParagraphFont"/>
    <w:qFormat/>
    <w:rPr>
      <w:color w:val="605E5C"/>
      <w:shd w:fill="E1DFDD" w:val="clear"/>
    </w:rPr>
  </w:style>
  <w:style w:type="character" w:styleId="32">
    <w:name w:val="Основной текст с отступом 3 Знак"/>
    <w:link w:val="BodyTextIndent3"/>
    <w:qFormat/>
    <w:rPr>
      <w:sz w:val="16"/>
      <w:szCs w:val="16"/>
    </w:rPr>
  </w:style>
  <w:style w:type="character" w:styleId="Style14">
    <w:name w:val="Ссылка указателя"/>
    <w:qFormat/>
    <w:rPr/>
  </w:style>
  <w:style w:type="character" w:styleId="Style15">
    <w:name w:val="Основной шрифт абзаца"/>
    <w:qFormat/>
    <w:rPr/>
  </w:style>
  <w:style w:type="character" w:styleId="Style16">
    <w:name w:val="Знак примечания"/>
    <w:qFormat/>
    <w:rPr>
      <w:sz w:val="16"/>
      <w:szCs w:val="16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BodyText">
    <w:name w:val="Body Text"/>
    <w:basedOn w:val="Normal"/>
    <w:link w:val="Style6"/>
    <w:pPr>
      <w:spacing w:before="0" w:after="12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ohit Devanagari"/>
    </w:rPr>
  </w:style>
  <w:style w:type="paragraph" w:styleId="Style19">
    <w:name w:val="Название раздела инструкции"/>
    <w:basedOn w:val="Normal"/>
    <w:autoRedefine/>
    <w:qFormat/>
    <w:pPr>
      <w:jc w:val="center"/>
    </w:pPr>
    <w:rPr>
      <w:b/>
    </w:rPr>
  </w:style>
  <w:style w:type="paragraph" w:styleId="Style20">
    <w:name w:val="Раздел положения"/>
    <w:basedOn w:val="Normal"/>
    <w:autoRedefine/>
    <w:qFormat/>
    <w:pPr>
      <w:numPr>
        <w:ilvl w:val="0"/>
        <w:numId w:val="2"/>
      </w:numPr>
      <w:spacing w:before="80" w:after="80"/>
      <w:jc w:val="center"/>
    </w:pPr>
    <w:rPr>
      <w:b/>
      <w:sz w:val="32"/>
      <w:szCs w:val="32"/>
    </w:rPr>
  </w:style>
  <w:style w:type="paragraph" w:styleId="Style21">
    <w:name w:val="Подраздел раздела положения"/>
    <w:basedOn w:val="Normal"/>
    <w:autoRedefine/>
    <w:qFormat/>
    <w:pPr>
      <w:numPr>
        <w:ilvl w:val="1"/>
        <w:numId w:val="2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pPr/>
    <w:rPr>
      <w:sz w:val="20"/>
      <w:szCs w:val="20"/>
    </w:rPr>
  </w:style>
  <w:style w:type="paragraph" w:styleId="14">
    <w:name w:val="Шапка 1"/>
    <w:basedOn w:val="Normal"/>
    <w:qFormat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>
    <w:name w:val="Шапка 2"/>
    <w:basedOn w:val="Normal"/>
    <w:qFormat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>
    <w:name w:val="Шапка 3"/>
    <w:basedOn w:val="Normal"/>
    <w:qFormat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>
    <w:name w:val="Название1"/>
    <w:basedOn w:val="Normal"/>
    <w:link w:val="Style1"/>
    <w:qFormat/>
    <w:pPr>
      <w:jc w:val="center"/>
    </w:pPr>
    <w:rPr>
      <w:szCs w:val="20"/>
      <w:lang w:val="x-none" w:eastAsia="x-none"/>
    </w:rPr>
  </w:style>
  <w:style w:type="paragraph" w:styleId="Style22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pPr>
      <w:ind w:left="360" w:right="0" w:hanging="0"/>
    </w:pPr>
    <w:rPr>
      <w:sz w:val="24"/>
      <w:szCs w:val="24"/>
    </w:rPr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pPr>
      <w:spacing w:lineRule="auto" w:line="480" w:before="0" w:after="120"/>
      <w:ind w:left="283" w:right="0" w:hanging="0"/>
    </w:pPr>
    <w:rPr/>
  </w:style>
  <w:style w:type="paragraph" w:styleId="BodyText3">
    <w:name w:val="Body Text 3"/>
    <w:basedOn w:val="Normal"/>
    <w:qFormat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pPr>
      <w:spacing w:before="0" w:after="120"/>
      <w:ind w:left="283" w:right="0" w:hanging="0"/>
    </w:pPr>
    <w:rPr>
      <w:sz w:val="16"/>
      <w:szCs w:val="16"/>
    </w:rPr>
  </w:style>
  <w:style w:type="paragraph" w:styleId="BodyText2">
    <w:name w:val="Body Text 2"/>
    <w:basedOn w:val="Normal"/>
    <w:qFormat/>
    <w:pPr>
      <w:spacing w:lineRule="auto" w:line="480" w:before="0" w:after="120"/>
    </w:pPr>
    <w:rPr/>
  </w:style>
  <w:style w:type="paragraph" w:styleId="BlockText">
    <w:name w:val="Block Text"/>
    <w:basedOn w:val="Normal"/>
    <w:qFormat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3">
    <w:name w:val="Подпункт"/>
    <w:basedOn w:val="Normal"/>
    <w:link w:val="11"/>
    <w:qFormat/>
    <w:pPr>
      <w:tabs>
        <w:tab w:val="clear" w:pos="708"/>
        <w:tab w:val="left" w:pos="1134" w:leader="none"/>
      </w:tabs>
      <w:snapToGrid w:val="false"/>
      <w:spacing w:lineRule="auto" w:line="360"/>
      <w:ind w:left="1134" w:right="0" w:hanging="1134"/>
      <w:jc w:val="both"/>
    </w:pPr>
    <w:rPr>
      <w:szCs w:val="20"/>
      <w:lang w:val="x-none" w:eastAsia="x-none"/>
    </w:rPr>
  </w:style>
  <w:style w:type="paragraph" w:styleId="24">
    <w:name w:val="Пункт2"/>
    <w:basedOn w:val="Normal"/>
    <w:link w:val="22"/>
    <w:qFormat/>
    <w:pPr>
      <w:keepNext w:val="true"/>
      <w:numPr>
        <w:ilvl w:val="0"/>
        <w:numId w:val="0"/>
      </w:numPr>
      <w:tabs>
        <w:tab w:val="clear" w:pos="708"/>
        <w:tab w:val="left" w:pos="1134" w:leader="none"/>
      </w:tabs>
      <w:suppressAutoHyphens w:val="true"/>
      <w:snapToGrid w:val="false"/>
      <w:spacing w:before="240" w:after="120"/>
      <w:ind w:left="1134" w:right="0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pPr>
      <w:ind w:left="280" w:right="0" w:hanging="0"/>
    </w:pPr>
    <w:rPr>
      <w:rFonts w:cs="Calibri"/>
      <w:sz w:val="20"/>
      <w:szCs w:val="20"/>
    </w:rPr>
  </w:style>
  <w:style w:type="paragraph" w:styleId="Style24">
    <w:name w:val="Раздел регламента"/>
    <w:basedOn w:val="Normal"/>
    <w:qFormat/>
    <w:pPr/>
    <w:rPr/>
  </w:style>
  <w:style w:type="paragraph" w:styleId="Style25">
    <w:name w:val="Приложение к регламенту"/>
    <w:basedOn w:val="Normal"/>
    <w:qFormat/>
    <w:pPr>
      <w:jc w:val="right"/>
    </w:pPr>
    <w:rPr/>
  </w:style>
  <w:style w:type="paragraph" w:styleId="TOC2">
    <w:name w:val="TOC 2"/>
    <w:basedOn w:val="Normal"/>
    <w:next w:val="Normal"/>
    <w:autoRedefine/>
    <w:pPr>
      <w:spacing w:before="240" w:after="0"/>
    </w:pPr>
    <w:rPr>
      <w:rFonts w:cs="Calibri"/>
      <w:b/>
      <w:bCs/>
      <w:sz w:val="20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qFormat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qFormat/>
    <w:pPr/>
    <w:rPr>
      <w:b/>
      <w:bCs/>
    </w:rPr>
  </w:style>
  <w:style w:type="paragraph" w:styleId="16">
    <w:name w:val="Обычный (веб)1"/>
    <w:basedOn w:val="Normal"/>
    <w:qFormat/>
    <w:pPr>
      <w:spacing w:before="280" w:after="280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pPr>
      <w:ind w:left="1960" w:right="0" w:hanging="0"/>
    </w:pPr>
    <w:rPr>
      <w:rFonts w:ascii="Calibri" w:hAnsi="Calibri" w:cs="Calibri"/>
      <w:sz w:val="20"/>
      <w:szCs w:val="20"/>
    </w:rPr>
  </w:style>
  <w:style w:type="paragraph" w:styleId="TOC5">
    <w:name w:val="TOC 5"/>
    <w:basedOn w:val="Normal"/>
    <w:next w:val="Normal"/>
    <w:autoRedefine/>
    <w:pPr>
      <w:ind w:left="840" w:right="0" w:hanging="0"/>
    </w:pPr>
    <w:rPr>
      <w:rFonts w:ascii="Calibri" w:hAnsi="Calibri" w:cs="Calibri"/>
      <w:sz w:val="20"/>
      <w:szCs w:val="20"/>
    </w:rPr>
  </w:style>
  <w:style w:type="paragraph" w:styleId="TOC4">
    <w:name w:val="TOC 4"/>
    <w:basedOn w:val="Normal"/>
    <w:next w:val="Normal"/>
    <w:autoRedefine/>
    <w:pPr>
      <w:ind w:left="560" w:right="0" w:hanging="0"/>
    </w:pPr>
    <w:rPr>
      <w:rFonts w:cs="Calibri"/>
      <w:sz w:val="20"/>
      <w:szCs w:val="20"/>
    </w:rPr>
  </w:style>
  <w:style w:type="paragraph" w:styleId="25">
    <w:name w:val="Раздел положения 2"/>
    <w:basedOn w:val="Normal"/>
    <w:qFormat/>
    <w:pPr>
      <w:pageBreakBefore/>
      <w:numPr>
        <w:ilvl w:val="0"/>
        <w:numId w:val="0"/>
      </w:numPr>
      <w:jc w:val="both"/>
      <w:outlineLvl w:val="0"/>
    </w:pPr>
    <w:rPr>
      <w:b/>
    </w:rPr>
  </w:style>
  <w:style w:type="paragraph" w:styleId="Style26">
    <w:name w:val="Знак Знак Знак Знак Знак Знак Знак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qFormat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qFormat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qFormat/>
    <w:pPr>
      <w:ind w:left="1066" w:right="0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qFormat/>
    <w:pPr>
      <w:spacing w:before="0" w:after="0"/>
      <w:ind w:left="720" w:right="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qFormat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qFormat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7"/>
    <w:pPr/>
    <w:rPr/>
  </w:style>
  <w:style w:type="paragraph" w:styleId="TOCHeading">
    <w:name w:val="TOC Heading"/>
    <w:basedOn w:val="Heading1"/>
    <w:next w:val="Normal"/>
    <w:qFormat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qFormat/>
    <w:pPr/>
    <w:rPr>
      <w:rFonts w:eastAsia="Calibri"/>
      <w:sz w:val="24"/>
      <w:szCs w:val="24"/>
      <w:lang w:val="x-none" w:eastAsia="x-none"/>
    </w:rPr>
  </w:style>
  <w:style w:type="paragraph" w:styleId="Style27">
    <w:name w:val="Знак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>
    <w:name w:val="Нумерованный список ур3"/>
    <w:basedOn w:val="Normal"/>
    <w:qFormat/>
    <w:pPr>
      <w:numPr>
        <w:ilvl w:val="2"/>
        <w:numId w:val="3"/>
      </w:numPr>
      <w:jc w:val="both"/>
    </w:pPr>
    <w:rPr>
      <w:rFonts w:ascii="Garamond" w:hAnsi="Garamond"/>
      <w:sz w:val="24"/>
      <w:szCs w:val="20"/>
    </w:rPr>
  </w:style>
  <w:style w:type="paragraph" w:styleId="ListBullet4">
    <w:name w:val="List Bullet 4"/>
    <w:basedOn w:val="Normal"/>
    <w:qFormat/>
    <w:pPr>
      <w:numPr>
        <w:ilvl w:val="0"/>
        <w:numId w:val="3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>
    <w:name w:val="Нумерованный список ур2"/>
    <w:basedOn w:val="Normal"/>
    <w:qFormat/>
    <w:pPr>
      <w:numPr>
        <w:ilvl w:val="1"/>
        <w:numId w:val="3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qFormat/>
    <w:pPr>
      <w:widowControl/>
      <w:suppressAutoHyphens w:val="true"/>
      <w:kinsoku w:val="true"/>
      <w:overflowPunct w:val="true"/>
      <w:autoSpaceDE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>
    <w:name w:val="ConsPlusNormal"/>
    <w:qFormat/>
    <w:pPr>
      <w:widowControl w:val="false"/>
      <w:suppressAutoHyphens w:val="true"/>
      <w:kinsoku w:val="true"/>
      <w:overflowPunct w:val="true"/>
      <w:autoSpaceDE w:val="true"/>
      <w:bidi w:val="0"/>
      <w:spacing w:before="0" w:after="0"/>
      <w:ind w:left="0" w:right="0"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>
    <w:name w:val="Знак Знак3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8">
    <w:name w:val="Пункт"/>
    <w:basedOn w:val="Normal"/>
    <w:qFormat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7">
    <w:name w:val="Абзац списка1"/>
    <w:basedOn w:val="Normal"/>
    <w:qFormat/>
    <w:pPr>
      <w:spacing w:lineRule="auto" w:line="276" w:before="0" w:after="200"/>
      <w:ind w:left="720" w:right="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9">
    <w:name w:val="Таблица"/>
    <w:basedOn w:val="Normal"/>
    <w:qFormat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30">
    <w:name w:val="Таблица шапка"/>
    <w:basedOn w:val="Normal"/>
    <w:qFormat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1">
    <w:name w:val="Подподпункт"/>
    <w:basedOn w:val="Style23"/>
    <w:link w:val="Style9"/>
    <w:qFormat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right="0" w:hanging="567"/>
    </w:pPr>
    <w:rPr>
      <w:sz w:val="26"/>
      <w:szCs w:val="26"/>
      <w:lang w:val="ru-RU" w:eastAsia="ru-RU"/>
    </w:rPr>
  </w:style>
  <w:style w:type="paragraph" w:styleId="Style32">
    <w:name w:val="УРОВЕНЬ_(а)"/>
    <w:basedOn w:val="ListParagraph"/>
    <w:qFormat/>
    <w:pPr>
      <w:numPr>
        <w:ilvl w:val="3"/>
        <w:numId w:val="5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>
    <w:name w:val="УРОВЕНЬ_-"/>
    <w:basedOn w:val="ListParagraph"/>
    <w:qFormat/>
    <w:pPr>
      <w:numPr>
        <w:ilvl w:val="4"/>
        <w:numId w:val="5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>
    <w:name w:val="УРОВЕНЬ_Абзац_тип2"/>
    <w:basedOn w:val="ListParagraph"/>
    <w:qFormat/>
    <w:pPr>
      <w:numPr>
        <w:ilvl w:val="6"/>
        <w:numId w:val="5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>
    <w:name w:val="УРОВЕНЬ_Абзац_тип3"/>
    <w:basedOn w:val="ListParagraph"/>
    <w:link w:val="31"/>
    <w:qFormat/>
    <w:pPr>
      <w:numPr>
        <w:ilvl w:val="7"/>
        <w:numId w:val="5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3">
    <w:name w:val="УРОВЕНЬ_Подпись"/>
    <w:basedOn w:val="ListParagraph"/>
    <w:qFormat/>
    <w:pPr>
      <w:keepNext w:val="true"/>
      <w:numPr>
        <w:ilvl w:val="5"/>
        <w:numId w:val="5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>
    <w:name w:val="Стиль Заголовок 1 + по ширине"/>
    <w:basedOn w:val="Heading1"/>
    <w:qFormat/>
    <w:pPr>
      <w:keepLines/>
      <w:numPr>
        <w:ilvl w:val="0"/>
        <w:numId w:val="0"/>
      </w:numPr>
      <w:tabs>
        <w:tab w:val="clear" w:pos="708"/>
        <w:tab w:val="left" w:pos="567" w:leader="none"/>
      </w:tabs>
      <w:suppressAutoHyphens w:val="true"/>
      <w:spacing w:before="480" w:after="240"/>
      <w:ind w:left="567" w:right="0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pPr/>
    <w:rPr>
      <w:sz w:val="20"/>
      <w:szCs w:val="20"/>
    </w:rPr>
  </w:style>
  <w:style w:type="paragraph" w:styleId="28">
    <w:name w:val="Заголовок 2 КВВ"/>
    <w:basedOn w:val="Normal"/>
    <w:qFormat/>
    <w:pPr>
      <w:keepNext w:val="true"/>
      <w:numPr>
        <w:ilvl w:val="0"/>
        <w:numId w:val="6"/>
      </w:numPr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4">
    <w:name w:val="Таблица текст"/>
    <w:basedOn w:val="Normal"/>
    <w:qFormat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qFormat/>
    <w:pPr>
      <w:spacing w:before="280" w:after="280"/>
    </w:pPr>
    <w:rPr>
      <w:sz w:val="24"/>
      <w:szCs w:val="24"/>
    </w:rPr>
  </w:style>
  <w:style w:type="paragraph" w:styleId="19">
    <w:name w:val="УРОВЕНЬ_1."/>
    <w:basedOn w:val="ListParagraph"/>
    <w:link w:val="12"/>
    <w:qFormat/>
    <w:pPr>
      <w:keepNext w:val="true"/>
      <w:keepLines/>
      <w:numPr>
        <w:ilvl w:val="0"/>
        <w:numId w:val="0"/>
      </w:numPr>
      <w:spacing w:lineRule="auto" w:line="276" w:before="240" w:after="120"/>
      <w:ind w:left="0" w:righ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pPr>
      <w:ind w:left="1120" w:right="0" w:hanging="0"/>
    </w:pPr>
    <w:rPr>
      <w:rFonts w:ascii="Calibri" w:hAnsi="Calibri" w:cs="Calibri"/>
      <w:sz w:val="20"/>
      <w:szCs w:val="20"/>
    </w:rPr>
  </w:style>
  <w:style w:type="paragraph" w:styleId="TOC7">
    <w:name w:val="TOC 7"/>
    <w:basedOn w:val="Normal"/>
    <w:next w:val="Normal"/>
    <w:autoRedefine/>
    <w:pPr>
      <w:ind w:left="1400" w:right="0" w:hanging="0"/>
    </w:pPr>
    <w:rPr>
      <w:rFonts w:ascii="Calibri" w:hAnsi="Calibri" w:cs="Calibri"/>
      <w:sz w:val="20"/>
      <w:szCs w:val="20"/>
    </w:rPr>
  </w:style>
  <w:style w:type="paragraph" w:styleId="TOC8">
    <w:name w:val="TOC 8"/>
    <w:basedOn w:val="Normal"/>
    <w:next w:val="Normal"/>
    <w:autoRedefine/>
    <w:pPr>
      <w:ind w:left="1680" w:right="0" w:hanging="0"/>
    </w:pPr>
    <w:rPr>
      <w:rFonts w:ascii="Calibri" w:hAnsi="Calibri" w:cs="Calibri"/>
      <w:sz w:val="20"/>
      <w:szCs w:val="20"/>
    </w:rPr>
  </w:style>
  <w:style w:type="paragraph" w:styleId="Style35">
    <w:name w:val="Содержимое врезки"/>
    <w:basedOn w:val="Normal"/>
    <w:qFormat/>
    <w:pPr/>
    <w:rPr/>
  </w:style>
  <w:style w:type="paragraph" w:styleId="Style36">
    <w:name w:val="Содержимое таблицы"/>
    <w:basedOn w:val="Normal"/>
    <w:qFormat/>
    <w:pPr/>
    <w:rPr/>
  </w:style>
  <w:style w:type="paragraph" w:styleId="Style37">
    <w:name w:val="Нумерованный список"/>
    <w:basedOn w:val="Normal"/>
    <w:qFormat/>
    <w:pPr>
      <w:widowControl/>
      <w:spacing w:lineRule="auto" w:line="360" w:before="60" w:after="0"/>
      <w:jc w:val="both"/>
    </w:pPr>
    <w:rPr>
      <w:sz w:val="28"/>
      <w:szCs w:val="24"/>
    </w:rPr>
  </w:style>
  <w:style w:type="paragraph" w:styleId="Style38">
    <w:name w:val="Заголовок таблицы"/>
    <w:basedOn w:val="Style36"/>
    <w:qFormat/>
    <w:pPr>
      <w:suppressLineNumbers/>
      <w:jc w:val="center"/>
    </w:pPr>
    <w:rPr>
      <w:b/>
      <w:bCs/>
    </w:rPr>
  </w:style>
  <w:style w:type="paragraph" w:styleId="Style39">
    <w:name w:val="Обычный (веб)"/>
    <w:basedOn w:val="Normal"/>
    <w:qFormat/>
    <w:pPr>
      <w:spacing w:before="280" w:after="280"/>
    </w:pPr>
    <w:rPr>
      <w:rFonts w:ascii="Verdana" w:hAnsi="Verdana" w:eastAsia="Arial Unicode MS" w:cs="Arial Unicode MS"/>
      <w:color w:val="333333"/>
      <w:sz w:val="16"/>
      <w:szCs w:val="16"/>
    </w:rPr>
  </w:style>
  <w:style w:type="paragraph" w:styleId="Style40">
    <w:name w:val="Без интервала"/>
    <w:qFormat/>
    <w:pPr>
      <w:widowControl/>
      <w:suppressAutoHyphens w:val="true"/>
      <w:kinsoku w:val="true"/>
      <w:overflowPunct w:val="true"/>
      <w:autoSpaceDE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paragraph" w:styleId="Style41">
    <w:name w:val="Абзац списка"/>
    <w:basedOn w:val="Normal"/>
    <w:qFormat/>
    <w:pPr>
      <w:spacing w:before="0" w:after="0"/>
      <w:ind w:left="720" w:right="0" w:hanging="0"/>
      <w:contextualSpacing/>
    </w:pPr>
    <w:rPr>
      <w:rFonts w:eastAsia="Calibri"/>
    </w:rPr>
  </w:style>
  <w:style w:type="numbering" w:styleId="110">
    <w:name w:val="Стиль1"/>
    <w:qFormat/>
  </w:style>
  <w:style w:type="numbering" w:styleId="29">
    <w:name w:val="Стиль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header" Target="header8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1194</TotalTime>
  <Application>AlterOffice/2025.3.1.0$Linux_X86_64 LibreOffice_project/431cd1b79110582f53535c95ed0a2449aadc8bf9</Application>
  <AppVersion>15.0000</AppVersion>
  <Pages>13</Pages>
  <Words>1758</Words>
  <Characters>11957</Characters>
  <CharactersWithSpaces>13372</CharactersWithSpaces>
  <Paragraphs>370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2021-04-05T15:04:00Z</dcterms:created>
  <dc:creator>Быстров Олег Геннадьевич</dc:creator>
  <dc:description/>
  <dc:language>ru-RU</dc:language>
  <cp:lastModifiedBy>lapukhin_an</cp:lastModifiedBy>
  <cp:lastPrinted>2025-10-21T20:05:46Z</cp:lastPrinted>
  <dcterms:modified xsi:type="dcterms:W3CDTF">2026-08-16T12:42:09Z</dcterms:modified>
  <cp:revision>45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